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漳平市第八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批市（县）级文物保护单位</w:t>
      </w:r>
      <w:r>
        <w:rPr>
          <w:rFonts w:hint="eastAsia" w:ascii="方正小标宋简体" w:hAnsi="宋体" w:eastAsia="方正小标宋简体"/>
          <w:sz w:val="40"/>
          <w:szCs w:val="40"/>
        </w:rPr>
        <w:t>和保护范围及建设控制地带概况一览表</w:t>
      </w:r>
    </w:p>
    <w:tbl>
      <w:tblPr>
        <w:tblStyle w:val="6"/>
        <w:tblW w:w="14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60"/>
        <w:gridCol w:w="900"/>
        <w:gridCol w:w="1014"/>
        <w:gridCol w:w="8276"/>
        <w:gridCol w:w="108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72" w:type="dxa"/>
            <w:vAlign w:val="center"/>
          </w:tcPr>
          <w:p>
            <w:pPr>
              <w:spacing w:line="280" w:lineRule="exact"/>
              <w:ind w:left="-67" w:leftChars="-32" w:right="-57" w:rightChars="-27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名称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年代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地址</w:t>
            </w:r>
          </w:p>
        </w:tc>
        <w:tc>
          <w:tcPr>
            <w:tcW w:w="827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简</w:t>
            </w:r>
            <w:r>
              <w:rPr>
                <w:rFonts w:hint="eastAsia" w:eastAsia="仿宋_GB2312"/>
                <w:sz w:val="23"/>
                <w:szCs w:val="23"/>
              </w:rPr>
              <w:t xml:space="preserve">            </w:t>
            </w:r>
            <w:r>
              <w:rPr>
                <w:rFonts w:eastAsia="仿宋_GB2312"/>
                <w:sz w:val="23"/>
                <w:szCs w:val="23"/>
              </w:rPr>
              <w:t>介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保护范围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建设控制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280" w:lineRule="exact"/>
              <w:ind w:left="-67" w:leftChars="-32" w:right="-57" w:rightChars="-27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left="-90" w:leftChars="-43" w:right="-109" w:rightChars="-52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溪南南柄村观音厝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清代1833年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溪南镇南柄村</w:t>
            </w:r>
          </w:p>
        </w:tc>
        <w:tc>
          <w:tcPr>
            <w:tcW w:w="8276" w:type="dxa"/>
            <w:vAlign w:val="center"/>
          </w:tcPr>
          <w:p>
            <w:pPr>
              <w:spacing w:line="280" w:lineRule="exact"/>
              <w:ind w:firstLine="460" w:firstLineChars="200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溪南南柄村历史建筑观音厝，建于清道光一十三年（1833），</w:t>
            </w:r>
            <w:r>
              <w:rPr>
                <w:rFonts w:eastAsia="仿宋_GB2312"/>
                <w:sz w:val="23"/>
                <w:szCs w:val="23"/>
              </w:rPr>
              <w:t>坐西朝东，占地面积二千多平方米，土木结构。整体格局依山而建，梯式上下层建筑，错落有致，大宅院三进三院组合而成。正厝左右对称，八房一厅；护厝左边是五房两厅，右边是四房两厅。下厝是以排房为主，十六房一厅，左右对称，中间为厅。道光二十六年（1846年），漳平知县授予“阶前济美”牌匾。</w:t>
            </w:r>
            <w:r>
              <w:rPr>
                <w:rFonts w:eastAsia="仿宋_GB2312"/>
                <w:bCs/>
                <w:sz w:val="23"/>
                <w:szCs w:val="23"/>
              </w:rPr>
              <w:t>该建筑</w:t>
            </w:r>
            <w:r>
              <w:rPr>
                <w:rFonts w:eastAsia="仿宋_GB2312"/>
                <w:sz w:val="23"/>
                <w:szCs w:val="23"/>
              </w:rPr>
              <w:t>具有典型清代建筑风格，</w:t>
            </w:r>
            <w:r>
              <w:rPr>
                <w:rFonts w:eastAsia="仿宋_GB2312"/>
                <w:bCs/>
                <w:sz w:val="23"/>
                <w:szCs w:val="23"/>
              </w:rPr>
              <w:t>内涵丰富，具有较高的保护和利用价值</w:t>
            </w:r>
            <w:r>
              <w:rPr>
                <w:rFonts w:eastAsia="仿宋_GB2312"/>
                <w:sz w:val="23"/>
                <w:szCs w:val="23"/>
              </w:rPr>
              <w:t>。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本体周围</w:t>
            </w:r>
          </w:p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20米内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保护范围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再延伸10米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572" w:type="dxa"/>
            <w:vAlign w:val="center"/>
          </w:tcPr>
          <w:p>
            <w:pPr>
              <w:spacing w:line="280" w:lineRule="exact"/>
              <w:ind w:left="-67" w:leftChars="-32" w:right="-57" w:rightChars="-27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left="-90" w:leftChars="-43" w:right="-109" w:rightChars="-52"/>
              <w:jc w:val="center"/>
              <w:rPr>
                <w:rFonts w:hint="eastAsia" w:eastAsia="仿宋_GB2312"/>
                <w:bCs/>
                <w:sz w:val="23"/>
                <w:szCs w:val="23"/>
              </w:rPr>
            </w:pPr>
            <w:r>
              <w:rPr>
                <w:rFonts w:hint="eastAsia" w:eastAsia="仿宋_GB2312"/>
                <w:bCs/>
                <w:sz w:val="23"/>
                <w:szCs w:val="23"/>
              </w:rPr>
              <w:t>永福</w:t>
            </w:r>
            <w:r>
              <w:rPr>
                <w:rFonts w:eastAsia="仿宋_GB2312"/>
                <w:bCs/>
                <w:sz w:val="23"/>
                <w:szCs w:val="23"/>
              </w:rPr>
              <w:t>菁华</w:t>
            </w:r>
          </w:p>
          <w:p>
            <w:pPr>
              <w:spacing w:line="280" w:lineRule="exact"/>
              <w:ind w:left="-90" w:leftChars="-43" w:right="-109" w:rightChars="-52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书院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90" w:leftChars="-43" w:right="-92" w:rightChars="-44"/>
              <w:jc w:val="center"/>
              <w:rPr>
                <w:rFonts w:hint="eastAsia" w:eastAsia="仿宋_GB2312"/>
                <w:bCs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明万历年间1573</w:t>
            </w:r>
          </w:p>
          <w:p>
            <w:pPr>
              <w:spacing w:line="280" w:lineRule="exact"/>
              <w:ind w:left="-90" w:leftChars="-43" w:right="-92" w:rightChars="-44"/>
              <w:jc w:val="center"/>
              <w:rPr>
                <w:rFonts w:hint="eastAsia"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-1620</w:t>
            </w:r>
            <w:r>
              <w:rPr>
                <w:rFonts w:hint="eastAsia" w:eastAsia="仿宋_GB2312"/>
                <w:bCs/>
                <w:sz w:val="23"/>
                <w:szCs w:val="23"/>
              </w:rPr>
              <w:t>年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永福镇福里村永福中学内</w:t>
            </w:r>
          </w:p>
        </w:tc>
        <w:tc>
          <w:tcPr>
            <w:tcW w:w="8276" w:type="dxa"/>
            <w:vAlign w:val="center"/>
          </w:tcPr>
          <w:p>
            <w:pPr>
              <w:spacing w:line="280" w:lineRule="exact"/>
              <w:ind w:firstLine="460" w:firstLineChars="200"/>
              <w:rPr>
                <w:rFonts w:eastAsia="仿宋_GB2312"/>
                <w:bCs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菁华书院位于漳平市永福镇福里村永福中学内。始建于明万历年间（1573－1620），清代重建。坐西朝东，占地面积约420平方米，歇山顶，穿斗式木构架，土木结构。中轴线上由东向西依次为大门、厢房、天井、后楼组成。后楼二层，底层堂厅面阔三间，进深4柱，门额有石匾，上刻楷书“菁华书院”,院门前立有一对抱鼓石，左边立有明嘉靖年间（1522－1566）一块石碑，高2.23米，宽0.85米。菁华书院是漳平县早期中共党员革命活动旧址。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本体周围</w:t>
            </w:r>
          </w:p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20米内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保护范围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再延伸30米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572" w:type="dxa"/>
            <w:vAlign w:val="center"/>
          </w:tcPr>
          <w:p>
            <w:pPr>
              <w:spacing w:line="280" w:lineRule="exact"/>
              <w:ind w:left="-67" w:leftChars="-32" w:right="-57" w:rightChars="-27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left="-90" w:leftChars="-43" w:right="-109" w:rightChars="-52"/>
              <w:jc w:val="center"/>
              <w:rPr>
                <w:rFonts w:hint="eastAsia" w:eastAsia="仿宋_GB2312"/>
                <w:sz w:val="23"/>
                <w:szCs w:val="23"/>
              </w:rPr>
            </w:pPr>
            <w:r>
              <w:rPr>
                <w:rFonts w:hint="eastAsia" w:eastAsia="仿宋_GB2312"/>
                <w:sz w:val="23"/>
                <w:szCs w:val="23"/>
              </w:rPr>
              <w:t>拱桥</w:t>
            </w:r>
            <w:r>
              <w:rPr>
                <w:rFonts w:eastAsia="仿宋_GB2312"/>
                <w:sz w:val="23"/>
                <w:szCs w:val="23"/>
              </w:rPr>
              <w:t>红八团革命标语</w:t>
            </w:r>
          </w:p>
          <w:p>
            <w:pPr>
              <w:spacing w:line="280" w:lineRule="exact"/>
              <w:ind w:left="-90" w:leftChars="-43" w:right="-109" w:rightChars="-52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旧址黄国川故居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明朝嘉靖年间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拱桥镇罗山村内山21-1号</w:t>
            </w:r>
          </w:p>
        </w:tc>
        <w:tc>
          <w:tcPr>
            <w:tcW w:w="8276" w:type="dxa"/>
            <w:vAlign w:val="center"/>
          </w:tcPr>
          <w:p>
            <w:pPr>
              <w:spacing w:line="280" w:lineRule="exact"/>
              <w:ind w:firstLine="460" w:firstLineChars="200"/>
              <w:rPr>
                <w:rFonts w:eastAsia="仿宋_GB2312"/>
                <w:bCs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庆福祠，建于明朝嘉靖年间（1548年），坐西北朝东南，占地面积约850平方米，悬山穿斗式土木结构。中轴建筑依次由外坪、前厅、祭坛、正厅组成，侧有厢房、边厅和护厝。正厅面阔三间，带前廊，抬梁式木结构，悬山顶。该建筑规模较大，风貌古朴，内涵丰富，具有较高的保护和利用价值。</w:t>
            </w:r>
          </w:p>
          <w:p>
            <w:pPr>
              <w:spacing w:line="280" w:lineRule="exact"/>
              <w:ind w:firstLine="460" w:firstLineChars="200"/>
              <w:rPr>
                <w:rFonts w:eastAsia="仿宋_GB2312"/>
                <w:bCs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系黄氏古民居、黄国川故居，1934年红八团、岩南漳游击队在庆福祠厢房房内墙上刷写抗日、土地革命时期15条革命标语，是漳平市乃至闽西发现的在单位内书写最密集的红色标语，是闽西苏维埃政府革命根据地重要的革命活动旧址。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主体周围</w:t>
            </w:r>
          </w:p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20米内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保护范围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再延伸10米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572" w:type="dxa"/>
            <w:vAlign w:val="center"/>
          </w:tcPr>
          <w:p>
            <w:pPr>
              <w:spacing w:line="280" w:lineRule="exact"/>
              <w:ind w:left="-67" w:leftChars="-32" w:right="-57" w:rightChars="-27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ind w:left="-90" w:leftChars="-43" w:right="-109" w:rightChars="-52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hint="eastAsia" w:eastAsia="仿宋_GB2312"/>
                <w:bCs/>
                <w:sz w:val="23"/>
                <w:szCs w:val="23"/>
              </w:rPr>
              <w:t>芦芝</w:t>
            </w:r>
            <w:r>
              <w:rPr>
                <w:rFonts w:eastAsia="仿宋_GB2312"/>
                <w:bCs/>
                <w:sz w:val="23"/>
                <w:szCs w:val="23"/>
              </w:rPr>
              <w:t>龙均爵烈士陵园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-105" w:leftChars="-50" w:right="-92" w:rightChars="-44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1959年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芦芝镇大深村</w:t>
            </w:r>
          </w:p>
        </w:tc>
        <w:tc>
          <w:tcPr>
            <w:tcW w:w="8276" w:type="dxa"/>
            <w:vAlign w:val="center"/>
          </w:tcPr>
          <w:p>
            <w:pPr>
              <w:spacing w:line="280" w:lineRule="exact"/>
              <w:ind w:firstLine="460" w:firstLineChars="200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bCs/>
                <w:sz w:val="23"/>
                <w:szCs w:val="23"/>
              </w:rPr>
              <w:t>龙均爵烈士陵园修建于1959年11月，坐东南朝西北，占地面积约600平方米，中轴线上依次为：石阶、墓坪、墓碑、墓丘。堆形墓，水泥封筑，祭台为水泥砌筑，墓基用块石垒砌，四周设围栏。墓丘前立3通石灰岩碑刻。龙均爵(1931—1958年)，贵州省锦屏县冲沟寨(今天柱县邦洞街道大河边村)人，侗族。1958年11月9日，突发火灾，龙均爵为了保护国家财产，不幸壮烈牺牲。时年27岁。龙均爵被铁三师政治部追记一等功，被内务部誉其为“救火英雄”。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主体周围</w:t>
            </w:r>
          </w:p>
          <w:p>
            <w:pPr>
              <w:spacing w:line="280" w:lineRule="exact"/>
              <w:ind w:left="-59" w:leftChars="-28" w:right="-97" w:rightChars="-46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20米内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保护范围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3"/>
                <w:szCs w:val="23"/>
              </w:rPr>
            </w:pPr>
            <w:r>
              <w:rPr>
                <w:rFonts w:eastAsia="仿宋_GB2312"/>
                <w:sz w:val="23"/>
                <w:szCs w:val="23"/>
              </w:rPr>
              <w:t>再延伸10米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01C6"/>
    <w:rsid w:val="58D00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2020-09-15T03:25:00Z</dcterms:created>
  <dc:creator>admin</dc:creator>
  <cp:lastModifiedBy>admin</cp:lastModifiedBy>
  <dcterms:modified xsi:type="dcterms:W3CDTF">2020-09-15T03:27:02Z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