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opLinePunct/>
        <w:spacing w:line="594" w:lineRule="exact"/>
        <w:rPr>
          <w:rFonts w:hint="eastAsia" w:ascii="黑体" w:hAnsi="黑体" w:eastAsia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/>
          <w:color w:val="000000"/>
          <w:kern w:val="2"/>
          <w:sz w:val="32"/>
          <w:szCs w:val="32"/>
        </w:rPr>
        <w:t>附件5</w:t>
      </w:r>
    </w:p>
    <w:p>
      <w:pPr>
        <w:pStyle w:val="4"/>
        <w:topLinePunct/>
        <w:spacing w:line="594" w:lineRule="exact"/>
        <w:jc w:val="center"/>
        <w:rPr>
          <w:rFonts w:eastAsia="方正小标宋简体"/>
          <w:color w:val="000000"/>
          <w:kern w:val="2"/>
          <w:sz w:val="41"/>
          <w:szCs w:val="41"/>
        </w:rPr>
      </w:pPr>
      <w:r>
        <w:rPr>
          <w:rFonts w:eastAsia="方正小标宋简体"/>
          <w:color w:val="000000"/>
          <w:kern w:val="2"/>
          <w:sz w:val="41"/>
          <w:szCs w:val="41"/>
        </w:rPr>
        <w:t>2019年全市国有</w:t>
      </w:r>
      <w:bookmarkStart w:id="0" w:name="_GoBack"/>
      <w:bookmarkEnd w:id="0"/>
      <w:r>
        <w:rPr>
          <w:rFonts w:eastAsia="方正小标宋简体"/>
          <w:color w:val="000000"/>
          <w:kern w:val="2"/>
          <w:sz w:val="41"/>
          <w:szCs w:val="41"/>
        </w:rPr>
        <w:t>资本经营预算收支情况表</w:t>
      </w:r>
    </w:p>
    <w:p>
      <w:pPr>
        <w:pStyle w:val="4"/>
        <w:topLinePunct/>
        <w:spacing w:line="320" w:lineRule="exact"/>
        <w:jc w:val="right"/>
        <w:rPr>
          <w:rFonts w:hint="eastAsia" w:ascii="方正小标宋简体" w:eastAsia="方正小标宋简体"/>
          <w:color w:val="000000"/>
          <w:kern w:val="2"/>
          <w:sz w:val="41"/>
          <w:szCs w:val="41"/>
        </w:rPr>
      </w:pPr>
      <w:r>
        <w:rPr>
          <w:rFonts w:hint="eastAsia" w:ascii="楷体_GB2312" w:hAnsi="宋体" w:eastAsia="楷体_GB2312" w:cs="宋体"/>
          <w:sz w:val="24"/>
          <w:szCs w:val="24"/>
        </w:rPr>
        <w:t>单位：万元</w:t>
      </w:r>
    </w:p>
    <w:tbl>
      <w:tblPr>
        <w:tblStyle w:val="3"/>
        <w:tblW w:w="141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1"/>
        <w:gridCol w:w="1275"/>
        <w:gridCol w:w="1560"/>
        <w:gridCol w:w="1134"/>
        <w:gridCol w:w="3260"/>
        <w:gridCol w:w="1195"/>
        <w:gridCol w:w="1304"/>
        <w:gridCol w:w="11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国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有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资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本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经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营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预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算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收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入</w:t>
            </w:r>
          </w:p>
        </w:tc>
        <w:tc>
          <w:tcPr>
            <w:tcW w:w="68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国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有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资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本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经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营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预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算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支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项       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ind w:left="-92" w:leftChars="-44" w:right="-73" w:rightChars="-35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收入预算数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收入决算数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完成年初预算%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项       目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78" w:leftChars="-37" w:right="-105" w:rightChars="-50"/>
              <w:jc w:val="center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ind w:left="-78" w:leftChars="-37" w:right="-105" w:rightChars="-5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支出预算数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78" w:leftChars="-37" w:right="-105" w:rightChars="-50"/>
              <w:jc w:val="center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ind w:left="-78" w:leftChars="-37" w:right="-105" w:rightChars="-5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支出决算数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完成年初预算%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一、利润收入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214</w:t>
            </w: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107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一、解</w:t>
            </w:r>
            <w:r>
              <w:rPr>
                <w:rFonts w:eastAsia="仿宋_GB2312"/>
                <w:spacing w:val="-4"/>
                <w:kern w:val="0"/>
                <w:sz w:val="22"/>
                <w:szCs w:val="22"/>
              </w:rPr>
              <w:t>决历史遗留问题及改革成本支出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二、股利、股息收入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326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113.2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二、国有企业资本金注入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三、产权转让收入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三、国有企业政策性补贴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四、清算收入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四、金融国有资本经营预算支出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五、其他国有资本经营预算收入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五、其他国有资本经营预算支出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526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583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110.8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合   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526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583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110.8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 xml:space="preserve">合 </w:t>
            </w: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黑体" w:hAnsi="黑体" w:eastAsia="黑体"/>
                <w:kern w:val="0"/>
                <w:sz w:val="22"/>
                <w:szCs w:val="22"/>
              </w:rPr>
              <w:t xml:space="preserve"> 计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526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583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110.8</w:t>
            </w:r>
          </w:p>
        </w:tc>
      </w:tr>
    </w:tbl>
    <w:p/>
    <w:sectPr>
      <w:pgSz w:w="16838" w:h="11906" w:orient="landscape"/>
      <w:pgMar w:top="1417" w:right="1417" w:bottom="1134" w:left="1417" w:header="851" w:footer="992" w:gutter="0"/>
      <w:paperSrc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84FF3"/>
    <w:rsid w:val="05884FF3"/>
    <w:rsid w:val="7F5C1E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2020-08-13T10:23:00Z</dcterms:created>
  <dc:creator>admin</dc:creator>
  <cp:lastModifiedBy>admin</cp:lastModifiedBy>
  <dcterms:modified xsi:type="dcterms:W3CDTF">2020-08-13T10:25:20Z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