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>
      <w:pPr>
        <w:spacing w:before="156" w:beforeLines="50" w:after="156" w:afterLines="50" w:line="594" w:lineRule="exact"/>
        <w:jc w:val="center"/>
        <w:rPr>
          <w:rFonts w:hint="eastAsia"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漳平市“洁净</w:t>
      </w:r>
      <w:r>
        <w:rPr>
          <w:rFonts w:hint="eastAsia" w:eastAsia="方正小标宋简体"/>
          <w:sz w:val="40"/>
          <w:szCs w:val="40"/>
        </w:rPr>
        <w:t>庭院</w:t>
      </w:r>
      <w:r>
        <w:rPr>
          <w:rFonts w:eastAsia="方正小标宋简体"/>
          <w:sz w:val="40"/>
          <w:szCs w:val="40"/>
        </w:rPr>
        <w:t>”量化评分标准</w:t>
      </w:r>
      <w:bookmarkEnd w:id="0"/>
    </w:p>
    <w:p>
      <w:pPr>
        <w:spacing w:after="156" w:afterLines="50" w:line="594" w:lineRule="exact"/>
        <w:jc w:val="left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ascii="楷体_GB2312" w:hAnsi="宋体" w:eastAsia="楷体_GB2312"/>
          <w:kern w:val="0"/>
          <w:sz w:val="28"/>
          <w:szCs w:val="28"/>
        </w:rPr>
        <w:t>考评对象：</w:t>
      </w:r>
      <w:r>
        <w:rPr>
          <w:rFonts w:hint="eastAsia" w:ascii="楷体_GB2312" w:hAnsi="宋体" w:eastAsia="楷体_GB2312"/>
          <w:kern w:val="0"/>
          <w:sz w:val="28"/>
          <w:szCs w:val="28"/>
          <w:u w:val="single"/>
        </w:rPr>
        <w:t xml:space="preserve">               </w:t>
      </w:r>
      <w:r>
        <w:rPr>
          <w:rFonts w:ascii="楷体_GB2312" w:hAnsi="宋体" w:eastAsia="楷体_GB2312"/>
          <w:kern w:val="0"/>
          <w:sz w:val="28"/>
          <w:szCs w:val="28"/>
        </w:rPr>
        <w:t>（乡镇）</w:t>
      </w:r>
      <w:r>
        <w:rPr>
          <w:rFonts w:ascii="楷体_GB2312" w:hAnsi="宋体" w:eastAsia="楷体_GB2312"/>
          <w:kern w:val="0"/>
          <w:sz w:val="28"/>
          <w:szCs w:val="28"/>
          <w:u w:val="single"/>
        </w:rPr>
        <w:t>    </w:t>
      </w:r>
      <w:r>
        <w:rPr>
          <w:rFonts w:hint="eastAsia" w:ascii="楷体_GB2312" w:hAnsi="宋体" w:eastAsia="楷体_GB2312"/>
          <w:kern w:val="0"/>
          <w:sz w:val="28"/>
          <w:szCs w:val="28"/>
          <w:u w:val="single"/>
        </w:rPr>
        <w:t xml:space="preserve">   </w:t>
      </w:r>
      <w:r>
        <w:rPr>
          <w:rFonts w:ascii="楷体_GB2312" w:hAnsi="宋体" w:eastAsia="楷体_GB2312"/>
          <w:kern w:val="0"/>
          <w:sz w:val="28"/>
          <w:szCs w:val="28"/>
          <w:u w:val="single"/>
        </w:rPr>
        <w:t>  </w:t>
      </w:r>
      <w:r>
        <w:rPr>
          <w:rFonts w:ascii="楷体_GB2312" w:hAnsi="宋体" w:eastAsia="楷体_GB2312"/>
          <w:kern w:val="0"/>
          <w:sz w:val="28"/>
          <w:szCs w:val="28"/>
        </w:rPr>
        <w:t>村</w:t>
      </w:r>
      <w:r>
        <w:rPr>
          <w:rFonts w:ascii="楷体_GB2312" w:hAnsi="宋体" w:eastAsia="楷体_GB2312"/>
          <w:kern w:val="0"/>
          <w:sz w:val="28"/>
          <w:szCs w:val="28"/>
          <w:u w:val="single"/>
        </w:rPr>
        <w:t>  </w:t>
      </w:r>
      <w:r>
        <w:rPr>
          <w:rFonts w:hint="eastAsia" w:ascii="楷体_GB2312" w:hAnsi="宋体" w:eastAsia="楷体_GB2312"/>
          <w:kern w:val="0"/>
          <w:sz w:val="28"/>
          <w:szCs w:val="28"/>
          <w:u w:val="single"/>
        </w:rPr>
        <w:t xml:space="preserve">   </w:t>
      </w:r>
      <w:r>
        <w:rPr>
          <w:rFonts w:ascii="楷体_GB2312" w:hAnsi="宋体" w:eastAsia="楷体_GB2312"/>
          <w:kern w:val="0"/>
          <w:sz w:val="28"/>
          <w:szCs w:val="28"/>
          <w:u w:val="single"/>
        </w:rPr>
        <w:t> </w:t>
      </w:r>
      <w:r>
        <w:rPr>
          <w:rFonts w:ascii="楷体_GB2312" w:hAnsi="宋体" w:eastAsia="楷体_GB2312"/>
          <w:kern w:val="0"/>
          <w:sz w:val="28"/>
          <w:szCs w:val="28"/>
        </w:rPr>
        <w:t>户</w:t>
      </w:r>
      <w:r>
        <w:rPr>
          <w:rFonts w:hint="eastAsia" w:ascii="楷体_GB2312" w:hAnsi="宋体" w:eastAsia="楷体_GB2312"/>
          <w:kern w:val="0"/>
          <w:sz w:val="28"/>
          <w:szCs w:val="28"/>
        </w:rPr>
        <w:t>（号）</w:t>
      </w:r>
    </w:p>
    <w:tbl>
      <w:tblPr>
        <w:tblStyle w:val="3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011"/>
        <w:gridCol w:w="912"/>
        <w:gridCol w:w="347"/>
        <w:gridCol w:w="136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  目</w:t>
            </w:r>
          </w:p>
        </w:tc>
        <w:tc>
          <w:tcPr>
            <w:tcW w:w="40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评估考核内容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分值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得分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参与情况（20分）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积极主动参加每月公共区域及庭院大清扫（根据参与次数得分）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实地察看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对不卫生不文明行为进行劝导监督。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整治及保持情况（30分）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庭院内外物品摆放整洁有序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无乱张贴、涂写、无卫生死角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室内家具洁净，窗户玻璃、门帘干净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厕所无异味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周边水沟通畅无杂草、垃圾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无影响环境卫生的散养家禽牲畜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垃圾分类（20分）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配备分类垃圾桶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垃圾干湿分离及填埋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有毒有害垃圾统一清运回收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花化美化（10分）</w:t>
            </w:r>
          </w:p>
        </w:tc>
        <w:tc>
          <w:tcPr>
            <w:tcW w:w="4011" w:type="dxa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积极开展庭院美化，合理规划庭院种植，如种菜、栽花、种树等与发展庭院经济相结合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10分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综合评价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分）</w:t>
            </w:r>
          </w:p>
        </w:tc>
        <w:tc>
          <w:tcPr>
            <w:tcW w:w="80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家庭户主</w:t>
            </w:r>
          </w:p>
        </w:tc>
        <w:tc>
          <w:tcPr>
            <w:tcW w:w="40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考评成绩</w:t>
            </w:r>
          </w:p>
        </w:tc>
        <w:tc>
          <w:tcPr>
            <w:tcW w:w="27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r>
        <w:rPr>
          <w:rFonts w:eastAsia="楷体_GB2312"/>
          <w:sz w:val="24"/>
        </w:rPr>
        <w:t>备注：洁净庭院名额20户，每户庭院奖励1000元</w:t>
      </w:r>
      <w:r>
        <w:rPr>
          <w:rFonts w:hint="eastAsia" w:eastAsia="楷体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7072"/>
    <w:rsid w:val="5D227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2019-10-15T03:17:00Z</dcterms:created>
  <dc:creator>admin</dc:creator>
  <cp:lastModifiedBy>admin</cp:lastModifiedBy>
  <dcterms:modified xsi:type="dcterms:W3CDTF">2019-10-15T03:17:38Z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