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C4E5F">
      <w:pPr>
        <w:jc w:val="center"/>
        <w:rPr>
          <w:rFonts w:hint="eastAsia" w:ascii="方正小标宋_GBK" w:hAnsi="黑体" w:eastAsia="方正小标宋_GBK"/>
          <w:color w:val="auto"/>
          <w:sz w:val="38"/>
          <w:szCs w:val="38"/>
          <w:lang w:eastAsia="zh-CN"/>
        </w:rPr>
      </w:pPr>
      <w:r>
        <w:rPr>
          <w:rFonts w:hint="eastAsia" w:ascii="方正小标宋_GBK" w:hAnsi="黑体" w:eastAsia="方正小标宋_GBK"/>
          <w:color w:val="auto"/>
          <w:sz w:val="38"/>
          <w:szCs w:val="38"/>
          <w:lang w:eastAsia="zh-CN"/>
        </w:rPr>
        <w:t>龙岩市生态环境局</w:t>
      </w:r>
    </w:p>
    <w:p w14:paraId="2B1E1084">
      <w:pPr>
        <w:adjustRightInd w:val="0"/>
        <w:snapToGrid w:val="0"/>
        <w:jc w:val="center"/>
        <w:rPr>
          <w:rFonts w:ascii="方正小标宋_GBK" w:hAnsi="黑体" w:eastAsia="方正小标宋_GBK"/>
          <w:color w:val="auto"/>
          <w:sz w:val="38"/>
          <w:szCs w:val="38"/>
        </w:rPr>
      </w:pPr>
      <w:r>
        <w:rPr>
          <w:rFonts w:hint="eastAsia" w:ascii="方正小标宋_GBK" w:hAnsi="黑体" w:eastAsia="方正小标宋_GBK"/>
          <w:color w:val="auto"/>
          <w:sz w:val="38"/>
          <w:szCs w:val="38"/>
        </w:rPr>
        <w:t>行政处罚决定书</w:t>
      </w:r>
    </w:p>
    <w:p w14:paraId="131DC7C8">
      <w:pPr>
        <w:adjustRightInd w:val="0"/>
        <w:snapToGrid w:val="0"/>
        <w:spacing w:before="249" w:beforeLines="80"/>
        <w:jc w:val="center"/>
        <w:rPr>
          <w:rFonts w:hint="eastAsia" w:ascii="楷体_GB2312" w:hAnsi="宋体" w:eastAsia="楷体_GB2312"/>
          <w:sz w:val="32"/>
          <w:szCs w:val="32"/>
        </w:rPr>
      </w:pPr>
      <w:bookmarkStart w:id="0" w:name="_GoBack"/>
      <w:r>
        <w:rPr>
          <w:rFonts w:hint="eastAsia" w:ascii="楷体_GB2312" w:hAnsi="宋体" w:eastAsia="楷体_GB2312"/>
          <w:sz w:val="32"/>
          <w:szCs w:val="32"/>
          <w:u w:val="none"/>
          <w:lang w:val="en-US" w:eastAsia="zh-CN"/>
        </w:rPr>
        <w:t>闽龙漳</w:t>
      </w:r>
      <w:r>
        <w:rPr>
          <w:rFonts w:hint="eastAsia" w:ascii="楷体_GB2312" w:hAnsi="宋体" w:eastAsia="楷体_GB2312"/>
          <w:sz w:val="32"/>
          <w:szCs w:val="32"/>
          <w:u w:val="none"/>
        </w:rPr>
        <w:t>环罚</w:t>
      </w:r>
      <w:r>
        <w:rPr>
          <w:rFonts w:hint="eastAsia" w:ascii="楷体_GB2312" w:hAnsi="宋体" w:eastAsia="楷体_GB2312"/>
          <w:sz w:val="32"/>
          <w:szCs w:val="32"/>
          <w:u w:val="none"/>
          <w:lang w:eastAsia="zh-CN"/>
        </w:rPr>
        <w:t>决</w:t>
      </w:r>
      <w:r>
        <w:rPr>
          <w:rFonts w:hint="eastAsia" w:ascii="楷体_GB2312" w:hAnsi="宋体" w:eastAsia="楷体_GB2312"/>
          <w:sz w:val="32"/>
          <w:szCs w:val="32"/>
          <w:u w:val="none"/>
        </w:rPr>
        <w:t>〔</w:t>
      </w:r>
      <w:r>
        <w:rPr>
          <w:rFonts w:hint="eastAsia" w:ascii="楷体_GB2312" w:hAnsi="宋体" w:eastAsia="楷体_GB2312"/>
          <w:sz w:val="32"/>
          <w:szCs w:val="32"/>
          <w:u w:val="none"/>
          <w:lang w:val="en-US" w:eastAsia="zh-CN"/>
        </w:rPr>
        <w:t>2026</w:t>
      </w:r>
      <w:r>
        <w:rPr>
          <w:rFonts w:hint="eastAsia" w:ascii="楷体_GB2312" w:hAnsi="宋体" w:eastAsia="楷体_GB2312"/>
          <w:sz w:val="32"/>
          <w:szCs w:val="32"/>
          <w:u w:val="none"/>
        </w:rPr>
        <w:t>〕</w:t>
      </w:r>
      <w:r>
        <w:rPr>
          <w:rFonts w:hint="eastAsia" w:ascii="楷体_GB2312" w:hAnsi="宋体" w:eastAsia="楷体_GB2312"/>
          <w:sz w:val="32"/>
          <w:szCs w:val="32"/>
          <w:highlight w:val="none"/>
          <w:u w:val="none"/>
          <w:lang w:val="en-US" w:eastAsia="zh-CN"/>
        </w:rPr>
        <w:t>00008</w:t>
      </w:r>
      <w:r>
        <w:rPr>
          <w:rFonts w:hint="eastAsia" w:ascii="楷体_GB2312" w:hAnsi="宋体" w:eastAsia="楷体_GB2312"/>
          <w:sz w:val="32"/>
          <w:szCs w:val="32"/>
        </w:rPr>
        <w:t>号</w:t>
      </w:r>
      <w:bookmarkEnd w:id="0"/>
    </w:p>
    <w:p w14:paraId="254D8267">
      <w:pPr>
        <w:adjustRightInd w:val="0"/>
        <w:snapToGrid w:val="0"/>
        <w:spacing w:line="408" w:lineRule="auto"/>
        <w:jc w:val="left"/>
        <w:rPr>
          <w:rFonts w:ascii="黑体" w:hAnsi="宋体" w:eastAsia="黑体"/>
          <w:sz w:val="32"/>
          <w:szCs w:val="32"/>
        </w:rPr>
      </w:pPr>
    </w:p>
    <w:p w14:paraId="5202AEBA">
      <w:pPr>
        <w:adjustRightInd w:val="0"/>
        <w:snapToGrid w:val="0"/>
        <w:spacing w:line="360" w:lineRule="auto"/>
        <w:rPr>
          <w:rFonts w:hint="eastAsia" w:ascii="仿宋_GB2312" w:hAnsi="宋体" w:eastAsia="仿宋_GB2312"/>
          <w:sz w:val="30"/>
          <w:szCs w:val="30"/>
          <w:u w:val="single"/>
        </w:rPr>
      </w:pPr>
      <w:r>
        <w:rPr>
          <w:rFonts w:hint="eastAsia" w:ascii="仿宋_GB2312" w:hAnsi="宋体" w:eastAsia="仿宋_GB2312"/>
          <w:sz w:val="30"/>
          <w:szCs w:val="30"/>
        </w:rPr>
        <w:t>当事人名称：</w:t>
      </w:r>
      <w:r>
        <w:rPr>
          <w:rFonts w:hint="eastAsia" w:ascii="仿宋_GB2312" w:hAnsi="宋体" w:eastAsia="仿宋_GB2312"/>
          <w:sz w:val="30"/>
          <w:szCs w:val="30"/>
          <w:u w:val="single"/>
          <w:lang w:val="en-US" w:eastAsia="zh-CN"/>
        </w:rPr>
        <w:t>漳平市老鹰山牧业有限公司</w:t>
      </w:r>
    </w:p>
    <w:p w14:paraId="2DDEA857">
      <w:pPr>
        <w:adjustRightInd w:val="0"/>
        <w:snapToGrid w:val="0"/>
        <w:spacing w:line="360" w:lineRule="auto"/>
        <w:ind w:firstLine="600" w:firstLineChars="200"/>
        <w:rPr>
          <w:rFonts w:hint="eastAsia" w:ascii="仿宋_GB2312" w:hAnsi="宋体" w:eastAsia="仿宋_GB2312"/>
          <w:sz w:val="30"/>
          <w:szCs w:val="30"/>
          <w:u w:val="single"/>
        </w:rPr>
      </w:pPr>
      <w:r>
        <w:rPr>
          <w:rFonts w:hint="eastAsia" w:ascii="仿宋_GB2312" w:hAnsi="宋体" w:eastAsia="仿宋_GB2312"/>
          <w:sz w:val="30"/>
          <w:szCs w:val="30"/>
        </w:rPr>
        <w:t>法定代表人：</w:t>
      </w:r>
      <w:r>
        <w:rPr>
          <w:rFonts w:hint="eastAsia" w:ascii="仿宋_GB2312" w:hAnsi="宋体" w:eastAsia="仿宋_GB2312"/>
          <w:sz w:val="30"/>
          <w:szCs w:val="30"/>
          <w:u w:val="single"/>
          <w:lang w:val="en-US" w:eastAsia="zh-CN"/>
        </w:rPr>
        <w:t>林合泓</w:t>
      </w:r>
      <w:r>
        <w:rPr>
          <w:rFonts w:hint="eastAsia" w:ascii="仿宋_GB2312" w:hAnsi="宋体" w:eastAsia="仿宋_GB2312"/>
          <w:sz w:val="30"/>
          <w:szCs w:val="30"/>
        </w:rPr>
        <w:t xml:space="preserve"> ，统一社会信用代码：</w:t>
      </w:r>
      <w:r>
        <w:rPr>
          <w:rFonts w:hint="eastAsia" w:ascii="仿宋_GB2312" w:hAnsi="宋体" w:eastAsia="仿宋_GB2312"/>
          <w:sz w:val="30"/>
          <w:szCs w:val="30"/>
          <w:u w:val="single"/>
        </w:rPr>
        <w:t xml:space="preserve"> 91350881MA2YFX7G9N </w:t>
      </w:r>
    </w:p>
    <w:p w14:paraId="432F112D">
      <w:pPr>
        <w:adjustRightInd w:val="0"/>
        <w:snapToGrid w:val="0"/>
        <w:spacing w:line="360" w:lineRule="auto"/>
        <w:ind w:firstLine="600" w:firstLineChars="200"/>
        <w:rPr>
          <w:rFonts w:hint="eastAsia" w:ascii="仿宋_GB2312" w:hAnsi="宋体" w:eastAsia="仿宋_GB2312"/>
          <w:sz w:val="30"/>
          <w:szCs w:val="30"/>
          <w:u w:val="single"/>
        </w:rPr>
      </w:pPr>
      <w:r>
        <w:rPr>
          <w:rFonts w:hint="eastAsia" w:ascii="仿宋_GB2312" w:hAnsi="宋体" w:eastAsia="仿宋_GB2312"/>
          <w:sz w:val="30"/>
          <w:szCs w:val="30"/>
        </w:rPr>
        <w:t>地址：</w:t>
      </w:r>
      <w:r>
        <w:rPr>
          <w:rFonts w:hint="eastAsia" w:ascii="仿宋_GB2312" w:hAnsi="宋体" w:eastAsia="仿宋_GB2312"/>
          <w:sz w:val="30"/>
          <w:szCs w:val="30"/>
          <w:u w:val="single"/>
        </w:rPr>
        <w:t xml:space="preserve">漳平市象湖镇上德安村老鹰山八斗隔                                                   </w:t>
      </w:r>
    </w:p>
    <w:p w14:paraId="12683C78">
      <w:pPr>
        <w:adjustRightInd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eastAsia="zh-CN"/>
        </w:rPr>
        <w:t>我局</w:t>
      </w:r>
      <w:r>
        <w:rPr>
          <w:rFonts w:hint="eastAsia" w:ascii="仿宋_GB2312" w:hAnsi="宋体" w:eastAsia="仿宋_GB2312"/>
          <w:sz w:val="30"/>
          <w:szCs w:val="30"/>
        </w:rPr>
        <w:t>于</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2026</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5</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14</w:t>
      </w:r>
      <w:r>
        <w:rPr>
          <w:rFonts w:hint="eastAsia" w:ascii="仿宋_GB2312" w:hAnsi="宋体" w:eastAsia="仿宋_GB2312"/>
          <w:sz w:val="30"/>
          <w:szCs w:val="30"/>
          <w:u w:val="single"/>
        </w:rPr>
        <w:t xml:space="preserve"> </w:t>
      </w:r>
      <w:r>
        <w:rPr>
          <w:rFonts w:hint="eastAsia" w:ascii="仿宋_GB2312" w:hAnsi="宋体" w:eastAsia="仿宋_GB2312"/>
          <w:sz w:val="30"/>
          <w:szCs w:val="30"/>
        </w:rPr>
        <w:t>日对你</w:t>
      </w:r>
      <w:r>
        <w:rPr>
          <w:rFonts w:hint="eastAsia" w:ascii="仿宋_GB2312" w:hAnsi="宋体" w:eastAsia="仿宋_GB2312"/>
          <w:sz w:val="30"/>
          <w:szCs w:val="30"/>
          <w:lang w:val="en-US" w:eastAsia="zh-CN"/>
        </w:rPr>
        <w:t>公司养殖场</w:t>
      </w:r>
      <w:r>
        <w:rPr>
          <w:rFonts w:hint="eastAsia" w:ascii="仿宋_GB2312" w:hAnsi="宋体" w:eastAsia="仿宋_GB2312"/>
          <w:sz w:val="30"/>
          <w:szCs w:val="30"/>
        </w:rPr>
        <w:t>进行了调查，发现你</w:t>
      </w:r>
      <w:r>
        <w:rPr>
          <w:rFonts w:hint="eastAsia" w:ascii="仿宋_GB2312" w:hAnsi="宋体" w:eastAsia="仿宋_GB2312"/>
          <w:sz w:val="30"/>
          <w:szCs w:val="30"/>
          <w:lang w:val="en-US" w:eastAsia="zh-CN"/>
        </w:rPr>
        <w:t>养殖场</w:t>
      </w:r>
      <w:r>
        <w:rPr>
          <w:rFonts w:hint="eastAsia" w:ascii="仿宋_GB2312" w:hAnsi="宋体" w:eastAsia="仿宋_GB2312"/>
          <w:sz w:val="30"/>
          <w:szCs w:val="30"/>
        </w:rPr>
        <w:t>实施了以下生态环境违法行为：</w:t>
      </w:r>
    </w:p>
    <w:p w14:paraId="5921B2D8">
      <w:pPr>
        <w:adjustRightInd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2026年5月14日，我局执法人员到你公司养殖场进行现场检查。经查，你公司养殖场建有猪舍9栋，核定存栏生猪300头，现存栏生猪 235头。养殖废水经收集后进入收集池→固液分离→叠螺机→污水处理站→生化池→竹林喷灌。</w:t>
      </w:r>
    </w:p>
    <w:p w14:paraId="4C10FF08">
      <w:pPr>
        <w:adjustRightInd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 xml:space="preserve">现场检查时，你公司养殖场污水处理站东侧有废水流出，水质呈黑色，有异味，流出处经小沟进入下方山地进入外环境。执法人员在你公司养殖场污水处理站旁废水流出处采集水样一瓶。 </w:t>
      </w:r>
    </w:p>
    <w:p w14:paraId="2DA02D6D">
      <w:pPr>
        <w:adjustRightInd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根据龙岩市漳平环境监测站监测报告（漳环监字（2026）第（020）号）显示，漳平市老鹰山牧业有限公司污水处理站旁废水流出处氨氮为769.0mg/L、总磷为30.5mg/L、化学需氧量为411000mg/L。分别超过《畜禽养殖业水污染物排放标准》（GB18596-2001）表五标准（标准值氨氮为80mg/L、总磷为8mg/L、化学需氧量为400mg/L）的8.6125倍、2.8125倍、1026.5倍。</w:t>
      </w:r>
    </w:p>
    <w:p w14:paraId="4BEE86A2">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宋体" w:eastAsia="仿宋_GB2312"/>
          <w:sz w:val="30"/>
          <w:szCs w:val="30"/>
        </w:rPr>
      </w:pPr>
      <w:r>
        <w:rPr>
          <w:rFonts w:hint="eastAsia" w:ascii="仿宋_GB2312" w:hAnsi="宋体" w:eastAsia="仿宋_GB2312"/>
          <w:sz w:val="30"/>
          <w:szCs w:val="30"/>
        </w:rPr>
        <w:t>以上事实，有以下主要证据证明。</w:t>
      </w:r>
    </w:p>
    <w:p w14:paraId="3DFF17C5">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1、2026年5月14日，龙岩市漳平生态环境局《现场勘查笔录》1份及现场拍摄的照片证明现场检查时，你养殖场养殖废水进入外环境；</w:t>
      </w:r>
    </w:p>
    <w:p w14:paraId="243D55FD">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2、2026年5月14日、6月2日，龙岩市漳平生态环境局《调查询问笔录》各1份证明现场检查情况；</w:t>
      </w:r>
    </w:p>
    <w:p w14:paraId="31F98E48">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3、2026年5月28日，龙岩市漳平环境监测站监测报告（漳环监字（2026）第（020）号）证明废水排放超标情况；</w:t>
      </w:r>
    </w:p>
    <w:p w14:paraId="30353949">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4、2026年7月8日，你公司提供的营业执照、法人身份证明各1份，证明主体信息；</w:t>
      </w:r>
    </w:p>
    <w:p w14:paraId="382C5324">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5、《漳平市农业农村局关于确认保留生猪养殖场核定存栏量的复函》（节选）1份、建设项目环境影响登记表1份，《畜禽养殖场规模标准》1份，证明你养殖场为规模以上养殖场；</w:t>
      </w:r>
    </w:p>
    <w:p w14:paraId="023F9401">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6、《畜禽养殖业水污染物排放标准》（GB18596-2001）1份，证明采集水样适用的行业标准；</w:t>
      </w:r>
    </w:p>
    <w:p w14:paraId="70CE3CA8">
      <w:pPr>
        <w:adjustRightInd w:val="0"/>
        <w:snapToGrid w:val="0"/>
        <w:spacing w:line="360" w:lineRule="auto"/>
        <w:ind w:firstLine="600" w:firstLineChars="200"/>
        <w:rPr>
          <w:rFonts w:hint="eastAsia" w:ascii="仿宋_GB2312" w:hAnsi="宋体" w:eastAsia="仿宋_GB2312"/>
          <w:sz w:val="30"/>
          <w:szCs w:val="30"/>
          <w:u w:val="none"/>
          <w:lang w:val="en-US" w:eastAsia="zh-CN"/>
        </w:rPr>
      </w:pPr>
      <w:r>
        <w:rPr>
          <w:rFonts w:hint="eastAsia" w:ascii="仿宋_GB2312" w:hAnsi="宋体" w:eastAsia="仿宋_GB2312"/>
          <w:sz w:val="30"/>
          <w:szCs w:val="30"/>
          <w:u w:val="none"/>
          <w:lang w:val="en-US" w:eastAsia="zh-CN"/>
        </w:rPr>
        <w:t>7、《福建省人民政府关于龙岩市地表水环境功能区划定方案的批复》1份，证明你养殖场所处地表水流域划定类型；</w:t>
      </w:r>
    </w:p>
    <w:p w14:paraId="704C72A4">
      <w:pPr>
        <w:adjustRightInd w:val="0"/>
        <w:snapToGrid w:val="0"/>
        <w:spacing w:line="360" w:lineRule="auto"/>
        <w:ind w:firstLine="600" w:firstLineChars="200"/>
        <w:rPr>
          <w:rFonts w:hint="eastAsia" w:ascii="仿宋_GB2312" w:hAnsi="宋体" w:eastAsia="仿宋_GB2312"/>
          <w:sz w:val="30"/>
          <w:szCs w:val="30"/>
          <w:u w:val="single"/>
        </w:rPr>
      </w:pPr>
      <w:r>
        <w:rPr>
          <w:rFonts w:hint="eastAsia" w:ascii="仿宋_GB2312" w:hAnsi="宋体" w:eastAsia="仿宋_GB2312"/>
          <w:sz w:val="30"/>
          <w:szCs w:val="30"/>
          <w:u w:val="none"/>
          <w:lang w:val="en-US" w:eastAsia="zh-CN"/>
        </w:rPr>
        <w:t>8、生态损害赔偿协议1份，证明你养殖场主动配合履行生态环境损害赔偿义务。</w:t>
      </w:r>
    </w:p>
    <w:p w14:paraId="2BCFD13A">
      <w:pPr>
        <w:adjustRightInd w:val="0"/>
        <w:snapToGrid w:val="0"/>
        <w:spacing w:line="360" w:lineRule="auto"/>
        <w:ind w:firstLine="600" w:firstLineChars="200"/>
        <w:rPr>
          <w:rFonts w:hint="eastAsia" w:ascii="仿宋_GB2312" w:hAnsi="宋体" w:eastAsia="仿宋_GB2312"/>
          <w:sz w:val="30"/>
          <w:szCs w:val="30"/>
          <w:lang w:eastAsia="zh-CN"/>
        </w:rPr>
      </w:pPr>
      <w:r>
        <w:rPr>
          <w:rFonts w:hint="eastAsia" w:ascii="仿宋_GB2312" w:hAnsi="宋体" w:eastAsia="仿宋_GB2312"/>
          <w:sz w:val="30"/>
          <w:szCs w:val="30"/>
          <w:lang w:val="en-US" w:eastAsia="zh-CN"/>
        </w:rPr>
        <w:t>你养殖场</w:t>
      </w:r>
      <w:r>
        <w:rPr>
          <w:rFonts w:hint="eastAsia" w:ascii="仿宋_GB2312" w:hAnsi="宋体" w:eastAsia="仿宋_GB2312"/>
          <w:sz w:val="30"/>
          <w:szCs w:val="30"/>
        </w:rPr>
        <w:t>上述行为违反了《中华人民共和国水污染防治法》第</w:t>
      </w:r>
      <w:r>
        <w:rPr>
          <w:rFonts w:hint="eastAsia" w:ascii="仿宋_GB2312" w:hAnsi="宋体" w:eastAsia="仿宋_GB2312"/>
          <w:sz w:val="30"/>
          <w:szCs w:val="30"/>
          <w:lang w:eastAsia="zh-CN"/>
        </w:rPr>
        <w:t>十</w:t>
      </w:r>
      <w:r>
        <w:rPr>
          <w:rFonts w:hint="eastAsia" w:ascii="仿宋_GB2312" w:hAnsi="宋体" w:eastAsia="仿宋_GB2312"/>
          <w:sz w:val="30"/>
          <w:szCs w:val="30"/>
        </w:rPr>
        <w:t>条</w:t>
      </w:r>
      <w:r>
        <w:rPr>
          <w:rFonts w:hint="eastAsia" w:ascii="仿宋_GB2312" w:hAnsi="宋体" w:eastAsia="仿宋_GB2312"/>
          <w:sz w:val="30"/>
          <w:szCs w:val="30"/>
          <w:lang w:eastAsia="zh-CN"/>
        </w:rPr>
        <w:t>：</w:t>
      </w:r>
      <w:r>
        <w:rPr>
          <w:rFonts w:hint="eastAsia" w:ascii="仿宋_GB2312" w:hAnsi="宋体" w:eastAsia="仿宋_GB2312"/>
          <w:sz w:val="30"/>
          <w:szCs w:val="30"/>
          <w:u w:val="single"/>
          <w:lang w:eastAsia="zh-CN"/>
        </w:rPr>
        <w:t>“排放水污染物，不得超过国家或者地方规定的水污染物排放标准和重点水污染物排放总量控制指标。”</w:t>
      </w:r>
      <w:r>
        <w:rPr>
          <w:rFonts w:hint="eastAsia" w:ascii="仿宋_GB2312" w:hAnsi="宋体" w:eastAsia="仿宋_GB2312"/>
          <w:sz w:val="30"/>
          <w:szCs w:val="30"/>
        </w:rPr>
        <w:t>的规定</w:t>
      </w:r>
      <w:r>
        <w:rPr>
          <w:rFonts w:hint="eastAsia" w:ascii="仿宋_GB2312" w:hAnsi="宋体" w:eastAsia="仿宋_GB2312"/>
          <w:sz w:val="30"/>
          <w:szCs w:val="30"/>
          <w:lang w:eastAsia="zh-CN"/>
        </w:rPr>
        <w:t>。</w:t>
      </w:r>
    </w:p>
    <w:p w14:paraId="0E4BF04E">
      <w:pPr>
        <w:adjustRightInd w:val="0"/>
        <w:snapToGrid w:val="0"/>
        <w:spacing w:line="360" w:lineRule="auto"/>
        <w:ind w:firstLine="600" w:firstLineChars="200"/>
        <w:rPr>
          <w:rFonts w:ascii="仿宋_GB2312" w:hAnsi="宋体" w:eastAsia="仿宋_GB2312"/>
          <w:sz w:val="30"/>
          <w:szCs w:val="30"/>
          <w:u w:val="single"/>
        </w:rPr>
      </w:pPr>
      <w:r>
        <w:rPr>
          <w:rFonts w:hint="eastAsia" w:ascii="仿宋_GB2312" w:hAnsi="宋体" w:eastAsia="仿宋_GB2312"/>
          <w:sz w:val="30"/>
          <w:szCs w:val="30"/>
        </w:rPr>
        <w:t>我局于</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2026</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8</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u w:val="single"/>
          <w:lang w:val="en-US" w:eastAsia="zh-CN"/>
        </w:rPr>
        <w:t>4</w:t>
      </w:r>
      <w:r>
        <w:rPr>
          <w:rFonts w:hint="eastAsia" w:ascii="仿宋_GB2312" w:hAnsi="宋体" w:eastAsia="仿宋_GB2312"/>
          <w:sz w:val="30"/>
          <w:szCs w:val="30"/>
          <w:u w:val="single"/>
        </w:rPr>
        <w:t xml:space="preserve"> </w:t>
      </w:r>
      <w:r>
        <w:rPr>
          <w:rFonts w:hint="eastAsia" w:ascii="仿宋_GB2312" w:hAnsi="宋体" w:eastAsia="仿宋_GB2312"/>
          <w:sz w:val="30"/>
          <w:szCs w:val="30"/>
        </w:rPr>
        <w:t>日以</w:t>
      </w:r>
      <w:r>
        <w:rPr>
          <w:rFonts w:hint="eastAsia" w:ascii="仿宋_GB2312" w:hAnsi="宋体" w:eastAsia="仿宋_GB2312"/>
          <w:sz w:val="30"/>
          <w:szCs w:val="30"/>
          <w:u w:val="single"/>
        </w:rPr>
        <w:t>《行政处罚事先告知书》（</w:t>
      </w:r>
      <w:r>
        <w:rPr>
          <w:rFonts w:hint="eastAsia" w:ascii="仿宋_GB2312" w:hAnsi="宋体" w:eastAsia="仿宋_GB2312"/>
          <w:sz w:val="30"/>
          <w:szCs w:val="30"/>
          <w:u w:val="single"/>
          <w:lang w:val="en-US" w:eastAsia="zh-CN"/>
        </w:rPr>
        <w:t>闽龙漳环事告</w:t>
      </w:r>
      <w:r>
        <w:rPr>
          <w:rFonts w:hint="eastAsia" w:ascii="仿宋_GB2312" w:hAnsi="宋体" w:eastAsia="仿宋_GB2312"/>
          <w:sz w:val="30"/>
          <w:szCs w:val="30"/>
          <w:u w:val="single"/>
        </w:rPr>
        <w:t>〔</w:t>
      </w:r>
      <w:r>
        <w:rPr>
          <w:rFonts w:hint="eastAsia" w:ascii="仿宋_GB2312" w:hAnsi="宋体" w:eastAsia="仿宋_GB2312"/>
          <w:sz w:val="30"/>
          <w:szCs w:val="30"/>
          <w:u w:val="single"/>
          <w:lang w:val="en-US" w:eastAsia="zh-CN"/>
        </w:rPr>
        <w:t>2026</w:t>
      </w:r>
      <w:r>
        <w:rPr>
          <w:rFonts w:hint="eastAsia" w:ascii="仿宋_GB2312" w:hAnsi="宋体" w:eastAsia="仿宋_GB2312"/>
          <w:sz w:val="30"/>
          <w:szCs w:val="30"/>
          <w:u w:val="single"/>
        </w:rPr>
        <w:t>〕</w:t>
      </w:r>
      <w:r>
        <w:rPr>
          <w:rFonts w:hint="eastAsia" w:ascii="仿宋_GB2312" w:hAnsi="宋体" w:eastAsia="仿宋_GB2312"/>
          <w:sz w:val="30"/>
          <w:szCs w:val="30"/>
          <w:u w:val="single"/>
          <w:lang w:val="en-US" w:eastAsia="zh-CN"/>
        </w:rPr>
        <w:t>00008</w:t>
      </w:r>
      <w:r>
        <w:rPr>
          <w:rFonts w:hint="eastAsia" w:ascii="仿宋_GB2312" w:hAnsi="宋体" w:eastAsia="仿宋_GB2312"/>
          <w:sz w:val="30"/>
          <w:szCs w:val="30"/>
          <w:u w:val="single"/>
        </w:rPr>
        <w:t>号）</w:t>
      </w:r>
      <w:r>
        <w:rPr>
          <w:rFonts w:hint="eastAsia" w:ascii="仿宋_GB2312" w:hAnsi="宋体" w:eastAsia="仿宋_GB2312"/>
          <w:sz w:val="30"/>
          <w:szCs w:val="30"/>
        </w:rPr>
        <w:t>告知你</w:t>
      </w:r>
      <w:r>
        <w:rPr>
          <w:rFonts w:hint="eastAsia" w:ascii="仿宋_GB2312" w:hAnsi="宋体" w:eastAsia="仿宋_GB2312"/>
          <w:sz w:val="30"/>
          <w:szCs w:val="30"/>
          <w:lang w:val="en-US" w:eastAsia="zh-CN"/>
        </w:rPr>
        <w:t>公司</w:t>
      </w:r>
      <w:r>
        <w:rPr>
          <w:rFonts w:hint="eastAsia" w:ascii="仿宋_GB2312" w:hAnsi="宋体" w:eastAsia="仿宋_GB2312"/>
          <w:sz w:val="30"/>
          <w:szCs w:val="30"/>
        </w:rPr>
        <w:t>陈述申辩权</w:t>
      </w:r>
      <w:r>
        <w:rPr>
          <w:rFonts w:hint="eastAsia" w:ascii="仿宋_GB2312" w:hAnsi="宋体" w:eastAsia="仿宋_GB2312"/>
          <w:sz w:val="30"/>
          <w:szCs w:val="30"/>
          <w:lang w:eastAsia="zh-CN"/>
        </w:rPr>
        <w:t>，</w:t>
      </w:r>
      <w:r>
        <w:rPr>
          <w:rFonts w:hint="eastAsia" w:ascii="仿宋_GB2312" w:hAnsi="宋体" w:eastAsia="仿宋_GB2312"/>
          <w:sz w:val="30"/>
          <w:szCs w:val="30"/>
          <w:u w:val="single"/>
          <w:lang w:val="en-US" w:eastAsia="zh-CN"/>
        </w:rPr>
        <w:t>你公司未在规定期限内向我局提出陈述申辩意见</w:t>
      </w:r>
      <w:r>
        <w:rPr>
          <w:rFonts w:hint="eastAsia" w:ascii="仿宋_GB2312" w:hAnsi="宋体" w:eastAsia="仿宋_GB2312"/>
          <w:sz w:val="30"/>
          <w:szCs w:val="30"/>
          <w:u w:val="single"/>
        </w:rPr>
        <w:t>。</w:t>
      </w:r>
    </w:p>
    <w:p w14:paraId="149D2847">
      <w:pPr>
        <w:adjustRightInd w:val="0"/>
        <w:snapToGrid w:val="0"/>
        <w:spacing w:line="360" w:lineRule="auto"/>
        <w:ind w:firstLine="640" w:firstLineChars="0"/>
        <w:rPr>
          <w:rFonts w:hint="eastAsia" w:ascii="仿宋_GB2312" w:hAnsi="宋体" w:eastAsia="仿宋_GB2312"/>
          <w:sz w:val="30"/>
          <w:szCs w:val="30"/>
        </w:rPr>
      </w:pPr>
      <w:r>
        <w:rPr>
          <w:rFonts w:hint="eastAsia" w:ascii="仿宋_GB2312" w:hAnsi="宋体" w:eastAsia="仿宋_GB2312"/>
          <w:sz w:val="30"/>
          <w:szCs w:val="30"/>
        </w:rPr>
        <w:t>依据</w:t>
      </w:r>
      <w:r>
        <w:rPr>
          <w:rFonts w:hint="eastAsia" w:ascii="仿宋_GB2312" w:hAnsi="宋体" w:eastAsia="仿宋_GB2312"/>
          <w:sz w:val="30"/>
          <w:szCs w:val="30"/>
          <w:u w:val="single"/>
          <w:lang w:val="en-US" w:eastAsia="zh-CN"/>
        </w:rPr>
        <w:t>《中华人民共和国水污染防治法》第八十三条第（二）项：“违反本法规定，有下列行为之一的，由县级以上人民政府环境保护主管部门责令改正或者责令限制生产、停产整治，并处十万元以上一百万元以下的罚款；情节严重的，报经有批准权的人民政府批准，责令停业、关闭：……(二)超过水污染物排放标准或者超过重点水污染物排放总量控制指标排放水污染物的；”</w:t>
      </w:r>
      <w:r>
        <w:rPr>
          <w:rFonts w:hint="eastAsia" w:ascii="仿宋_GB2312" w:hAnsi="宋体" w:eastAsia="仿宋_GB2312"/>
          <w:sz w:val="30"/>
          <w:szCs w:val="30"/>
        </w:rPr>
        <w:t>的规定，</w:t>
      </w:r>
      <w:r>
        <w:rPr>
          <w:rFonts w:hint="eastAsia" w:ascii="仿宋_GB2312" w:hAnsi="宋体" w:eastAsia="仿宋_GB2312"/>
          <w:sz w:val="30"/>
          <w:szCs w:val="30"/>
          <w:lang w:val="en-US" w:eastAsia="zh-CN"/>
        </w:rPr>
        <w:t>根据</w:t>
      </w:r>
      <w:r>
        <w:rPr>
          <w:rFonts w:hint="eastAsia" w:ascii="仿宋_GB2312" w:hAnsi="宋体" w:eastAsia="仿宋_GB2312"/>
          <w:sz w:val="30"/>
          <w:szCs w:val="30"/>
          <w:u w:val="single"/>
          <w:lang w:val="en-US" w:eastAsia="zh-CN"/>
        </w:rPr>
        <w:t>《福建省生态环境行政处罚裁量规则》共性裁量基准表、修正裁量基准表、个性裁量基准表第三类(水污染防治类）序号2的规定</w:t>
      </w:r>
      <w:r>
        <w:rPr>
          <w:rFonts w:hint="eastAsia" w:ascii="仿宋_GB2312" w:hAnsi="宋体" w:eastAsia="仿宋_GB2312"/>
          <w:sz w:val="30"/>
          <w:szCs w:val="30"/>
          <w:u w:val="single"/>
        </w:rPr>
        <w:t>。</w:t>
      </w:r>
      <w:r>
        <w:rPr>
          <w:rFonts w:hint="eastAsia" w:ascii="仿宋_GB2312" w:hAnsi="宋体" w:eastAsia="仿宋_GB2312"/>
          <w:sz w:val="30"/>
          <w:szCs w:val="30"/>
          <w:highlight w:val="none"/>
          <w:u w:val="none"/>
          <w:lang w:val="en-US" w:eastAsia="zh-CN"/>
        </w:rPr>
        <w:t>综合考虑你公司违法行为构成要素、违法情节、违法程度等多方面因素</w:t>
      </w:r>
      <w:r>
        <w:rPr>
          <w:rFonts w:hint="eastAsia" w:ascii="仿宋_GB2312" w:hAnsi="宋体" w:eastAsia="仿宋_GB2312"/>
          <w:sz w:val="30"/>
          <w:szCs w:val="30"/>
          <w:u w:val="none"/>
        </w:rPr>
        <w:t>，</w:t>
      </w:r>
      <w:r>
        <w:rPr>
          <w:rFonts w:hint="eastAsia" w:ascii="仿宋_GB2312" w:hAnsi="宋体" w:eastAsia="仿宋_GB2312"/>
          <w:sz w:val="30"/>
          <w:szCs w:val="30"/>
          <w:lang w:eastAsia="zh-CN"/>
        </w:rPr>
        <w:t>我局</w:t>
      </w:r>
      <w:r>
        <w:rPr>
          <w:rFonts w:hint="eastAsia" w:ascii="仿宋_GB2312" w:hAnsi="宋体" w:eastAsia="仿宋_GB2312"/>
          <w:sz w:val="30"/>
          <w:szCs w:val="30"/>
        </w:rPr>
        <w:t>决定对你</w:t>
      </w:r>
      <w:r>
        <w:rPr>
          <w:rFonts w:hint="eastAsia" w:ascii="仿宋_GB2312" w:hAnsi="宋体" w:eastAsia="仿宋_GB2312"/>
          <w:sz w:val="30"/>
          <w:szCs w:val="30"/>
          <w:lang w:val="en-US" w:eastAsia="zh-CN"/>
        </w:rPr>
        <w:t>公司</w:t>
      </w:r>
      <w:r>
        <w:rPr>
          <w:rFonts w:hint="eastAsia" w:ascii="仿宋_GB2312" w:hAnsi="宋体" w:eastAsia="仿宋_GB2312"/>
          <w:sz w:val="30"/>
          <w:szCs w:val="30"/>
        </w:rPr>
        <w:t>处以如下行政处罚：</w:t>
      </w:r>
    </w:p>
    <w:p w14:paraId="762C6B78">
      <w:pPr>
        <w:adjustRightInd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1.</w:t>
      </w:r>
      <w:r>
        <w:rPr>
          <w:rFonts w:hint="eastAsia" w:ascii="仿宋_GB2312" w:hAnsi="宋体" w:eastAsia="仿宋_GB2312"/>
          <w:sz w:val="30"/>
          <w:szCs w:val="30"/>
          <w:u w:val="single"/>
          <w:lang w:val="en-US" w:eastAsia="zh-CN"/>
        </w:rPr>
        <w:t>处罚款人民币159000.00元（壹拾伍万玖仟元整）</w:t>
      </w:r>
    </w:p>
    <w:p w14:paraId="79B9179A">
      <w:pPr>
        <w:adjustRightInd w:val="0"/>
        <w:snapToGrid w:val="0"/>
        <w:spacing w:line="360" w:lineRule="auto"/>
        <w:ind w:firstLine="600" w:firstLineChars="200"/>
        <w:rPr>
          <w:rFonts w:hint="eastAsia" w:ascii="仿宋_GB2312" w:hAnsi="宋体" w:eastAsia="仿宋_GB2312"/>
          <w:sz w:val="30"/>
          <w:szCs w:val="30"/>
          <w:u w:val="single"/>
        </w:rPr>
      </w:pPr>
      <w:r>
        <w:rPr>
          <w:rFonts w:hint="eastAsia" w:ascii="仿宋_GB2312" w:hAnsi="宋体" w:eastAsia="仿宋_GB2312"/>
          <w:sz w:val="30"/>
          <w:szCs w:val="30"/>
        </w:rPr>
        <w:t>限于接到本处罚决定之日起十五日内</w:t>
      </w:r>
      <w:r>
        <w:rPr>
          <w:rFonts w:hint="eastAsia" w:ascii="仿宋_GB2312" w:hAnsi="宋体" w:eastAsia="仿宋_GB2312"/>
          <w:sz w:val="30"/>
          <w:szCs w:val="30"/>
          <w:lang w:val="en-US" w:eastAsia="zh-CN"/>
        </w:rPr>
        <w:t>持《福建省非税收入缴款通知书（电子）》和本行政处罚决定书至</w:t>
      </w:r>
      <w:r>
        <w:rPr>
          <w:rFonts w:hint="eastAsia" w:ascii="仿宋_GB2312" w:hAnsi="宋体" w:eastAsia="仿宋_GB2312"/>
          <w:sz w:val="30"/>
          <w:szCs w:val="30"/>
        </w:rPr>
        <w:t>银行或者通过电子支付系统缴纳罚款。逾期不缴纳罚款的，</w:t>
      </w:r>
      <w:r>
        <w:rPr>
          <w:rFonts w:hint="eastAsia" w:ascii="仿宋_GB2312" w:hAnsi="宋体" w:eastAsia="仿宋_GB2312"/>
          <w:sz w:val="30"/>
          <w:szCs w:val="30"/>
          <w:lang w:eastAsia="zh-CN"/>
        </w:rPr>
        <w:t>我局</w:t>
      </w:r>
      <w:r>
        <w:rPr>
          <w:rFonts w:hint="eastAsia" w:ascii="仿宋_GB2312" w:hAnsi="宋体" w:eastAsia="仿宋_GB2312"/>
          <w:sz w:val="30"/>
          <w:szCs w:val="30"/>
        </w:rPr>
        <w:t>可以根据《中华人民共和国行政处罚法》第七十二条第一款第一项规定每日按罚款数额的百分之三加处罚款。</w:t>
      </w:r>
    </w:p>
    <w:p w14:paraId="4934341B">
      <w:pPr>
        <w:adjustRightInd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你</w:t>
      </w:r>
      <w:r>
        <w:rPr>
          <w:rFonts w:hint="eastAsia" w:ascii="仿宋_GB2312" w:hAnsi="宋体" w:eastAsia="仿宋_GB2312"/>
          <w:sz w:val="30"/>
          <w:szCs w:val="30"/>
          <w:lang w:val="en-US" w:eastAsia="zh-CN"/>
        </w:rPr>
        <w:t>公司</w:t>
      </w:r>
      <w:r>
        <w:rPr>
          <w:rFonts w:hint="eastAsia" w:ascii="仿宋_GB2312" w:hAnsi="宋体" w:eastAsia="仿宋_GB2312"/>
          <w:sz w:val="30"/>
          <w:szCs w:val="30"/>
        </w:rPr>
        <w:t>如不服本处罚决定，可在收到本处罚决定书之日起六十日内向</w:t>
      </w:r>
      <w:r>
        <w:rPr>
          <w:rFonts w:hint="eastAsia" w:ascii="仿宋_GB2312" w:hAnsi="宋体" w:eastAsia="仿宋_GB2312"/>
          <w:sz w:val="30"/>
          <w:szCs w:val="30"/>
          <w:lang w:val="en-US" w:eastAsia="zh-CN"/>
        </w:rPr>
        <w:t>龙岩市</w:t>
      </w:r>
      <w:r>
        <w:rPr>
          <w:rFonts w:hint="eastAsia" w:ascii="仿宋_GB2312" w:hAnsi="宋体" w:eastAsia="仿宋_GB2312"/>
          <w:sz w:val="30"/>
          <w:szCs w:val="30"/>
        </w:rPr>
        <w:t>人民政府申请行政复议，也可以在六个月内向</w:t>
      </w:r>
      <w:r>
        <w:rPr>
          <w:rFonts w:hint="eastAsia" w:ascii="仿宋_GB2312" w:hAnsi="宋体" w:eastAsia="仿宋_GB2312"/>
          <w:sz w:val="30"/>
          <w:szCs w:val="30"/>
          <w:lang w:val="en-US" w:eastAsia="zh-CN"/>
        </w:rPr>
        <w:t>新罗区</w:t>
      </w:r>
      <w:r>
        <w:rPr>
          <w:rFonts w:hint="eastAsia" w:ascii="仿宋_GB2312" w:hAnsi="宋体" w:eastAsia="仿宋_GB2312"/>
          <w:sz w:val="30"/>
          <w:szCs w:val="30"/>
        </w:rPr>
        <w:t>人民法院提起行政诉讼。申请行政复议或者提起行政诉讼，不停止行政处罚决定的执行。</w:t>
      </w:r>
    </w:p>
    <w:p w14:paraId="58E99E70">
      <w:pPr>
        <w:widowControl/>
        <w:adjustRightInd w:val="0"/>
        <w:snapToGrid w:val="0"/>
        <w:spacing w:line="360" w:lineRule="auto"/>
        <w:ind w:firstLine="600" w:firstLineChars="200"/>
        <w:rPr>
          <w:rFonts w:hint="eastAsia" w:ascii="仿宋_GB2312" w:eastAsia="仿宋_GB2312"/>
          <w:color w:val="auto"/>
          <w:kern w:val="0"/>
          <w:sz w:val="30"/>
          <w:szCs w:val="30"/>
          <w:lang w:bidi="ar"/>
        </w:rPr>
      </w:pPr>
      <w:r>
        <w:rPr>
          <w:rFonts w:hint="eastAsia" w:ascii="仿宋_GB2312" w:hAnsi="宋体" w:eastAsia="仿宋_GB2312"/>
          <w:sz w:val="30"/>
          <w:szCs w:val="30"/>
        </w:rPr>
        <w:t>逾期不申请行政复议，不提起行政诉讼，又不履行本处罚决定的，</w:t>
      </w:r>
      <w:r>
        <w:rPr>
          <w:rFonts w:hint="eastAsia" w:ascii="仿宋_GB2312" w:hAnsi="宋体" w:eastAsia="仿宋_GB2312"/>
          <w:sz w:val="30"/>
          <w:szCs w:val="30"/>
          <w:lang w:eastAsia="zh-CN"/>
        </w:rPr>
        <w:t>我局</w:t>
      </w:r>
      <w:r>
        <w:rPr>
          <w:rFonts w:hint="eastAsia" w:ascii="仿宋_GB2312" w:hAnsi="宋体" w:eastAsia="仿宋_GB2312"/>
          <w:sz w:val="30"/>
          <w:szCs w:val="30"/>
        </w:rPr>
        <w:t>将依法申请人民法院强制执行。</w:t>
      </w:r>
    </w:p>
    <w:p w14:paraId="06737350">
      <w:pPr>
        <w:widowControl/>
        <w:adjustRightInd w:val="0"/>
        <w:snapToGrid w:val="0"/>
        <w:spacing w:line="360" w:lineRule="auto"/>
        <w:ind w:firstLine="600" w:firstLineChars="200"/>
        <w:rPr>
          <w:rFonts w:hint="eastAsia" w:ascii="仿宋_GB2312" w:eastAsia="仿宋_GB2312"/>
          <w:color w:val="auto"/>
          <w:kern w:val="0"/>
          <w:sz w:val="30"/>
          <w:szCs w:val="30"/>
          <w:lang w:bidi="ar"/>
        </w:rPr>
      </w:pPr>
    </w:p>
    <w:p w14:paraId="67756908">
      <w:pPr>
        <w:widowControl/>
        <w:adjustRightInd w:val="0"/>
        <w:snapToGrid w:val="0"/>
        <w:spacing w:line="360" w:lineRule="auto"/>
        <w:ind w:firstLine="600" w:firstLineChars="200"/>
        <w:rPr>
          <w:rFonts w:hint="eastAsia" w:ascii="仿宋_GB2312" w:hAnsi="宋体" w:eastAsia="仿宋_GB2312"/>
          <w:sz w:val="30"/>
          <w:szCs w:val="30"/>
        </w:rPr>
      </w:pPr>
      <w:r>
        <w:rPr>
          <w:rFonts w:hint="eastAsia" w:ascii="仿宋_GB2312" w:eastAsia="仿宋_GB2312"/>
          <w:color w:val="auto"/>
          <w:kern w:val="0"/>
          <w:sz w:val="30"/>
          <w:szCs w:val="30"/>
          <w:lang w:bidi="ar"/>
        </w:rPr>
        <w:t>附件：信用修复告知书</w:t>
      </w:r>
    </w:p>
    <w:p w14:paraId="5793859E">
      <w:pPr>
        <w:adjustRightInd w:val="0"/>
        <w:snapToGrid w:val="0"/>
        <w:spacing w:line="360" w:lineRule="auto"/>
        <w:jc w:val="right"/>
        <w:rPr>
          <w:rFonts w:hint="eastAsia" w:ascii="仿宋_GB2312" w:hAnsi="宋体" w:eastAsia="仿宋_GB2312"/>
          <w:sz w:val="30"/>
          <w:szCs w:val="30"/>
          <w:lang w:eastAsia="zh-CN"/>
        </w:rPr>
      </w:pPr>
    </w:p>
    <w:p w14:paraId="3BEA81EB">
      <w:pPr>
        <w:adjustRightInd w:val="0"/>
        <w:snapToGrid w:val="0"/>
        <w:spacing w:line="360" w:lineRule="auto"/>
        <w:jc w:val="right"/>
        <w:rPr>
          <w:rFonts w:hint="eastAsia" w:ascii="仿宋_GB2312" w:hAnsi="宋体" w:eastAsia="仿宋_GB2312"/>
          <w:sz w:val="30"/>
          <w:szCs w:val="30"/>
          <w:lang w:eastAsia="zh-CN"/>
        </w:rPr>
      </w:pPr>
    </w:p>
    <w:p w14:paraId="588C7CF9">
      <w:pPr>
        <w:adjustRightInd w:val="0"/>
        <w:snapToGrid w:val="0"/>
        <w:spacing w:line="360" w:lineRule="auto"/>
        <w:jc w:val="right"/>
        <w:rPr>
          <w:rFonts w:hint="eastAsia" w:ascii="仿宋_GB2312" w:hAnsi="宋体" w:eastAsia="仿宋_GB2312"/>
          <w:sz w:val="30"/>
          <w:szCs w:val="30"/>
        </w:rPr>
      </w:pPr>
      <w:r>
        <w:rPr>
          <w:rFonts w:hint="eastAsia" w:ascii="仿宋_GB2312" w:hAnsi="宋体" w:eastAsia="仿宋_GB2312"/>
          <w:sz w:val="30"/>
          <w:szCs w:val="30"/>
          <w:lang w:eastAsia="zh-CN"/>
        </w:rPr>
        <w:t>龙岩市生态环境局</w:t>
      </w:r>
    </w:p>
    <w:p w14:paraId="6D2F14B9">
      <w:pPr>
        <w:adjustRightInd w:val="0"/>
        <w:snapToGrid w:val="0"/>
        <w:spacing w:line="360" w:lineRule="auto"/>
        <w:ind w:right="210" w:rightChars="100"/>
        <w:jc w:val="right"/>
        <w:rPr>
          <w:rFonts w:hint="eastAsia" w:ascii="仿宋_GB2312" w:hAnsi="宋体" w:eastAsia="仿宋_GB2312"/>
          <w:sz w:val="30"/>
          <w:szCs w:val="30"/>
        </w:rPr>
      </w:pPr>
      <w:r>
        <w:rPr>
          <w:rFonts w:hint="eastAsia" w:ascii="仿宋_GB2312" w:hAnsi="宋体" w:eastAsia="仿宋_GB2312"/>
          <w:sz w:val="30"/>
          <w:szCs w:val="30"/>
          <w:lang w:val="en-US" w:eastAsia="zh-CN"/>
        </w:rPr>
        <w:t>2026</w:t>
      </w:r>
      <w:r>
        <w:rPr>
          <w:rFonts w:hint="eastAsia" w:ascii="仿宋_GB2312" w:hAnsi="宋体" w:eastAsia="仿宋_GB2312"/>
          <w:sz w:val="30"/>
          <w:szCs w:val="30"/>
        </w:rPr>
        <w:t>年</w:t>
      </w:r>
      <w:r>
        <w:rPr>
          <w:rFonts w:hint="eastAsia" w:ascii="仿宋_GB2312" w:hAnsi="宋体" w:eastAsia="仿宋_GB2312"/>
          <w:sz w:val="30"/>
          <w:szCs w:val="30"/>
          <w:lang w:val="en-US" w:eastAsia="zh-CN"/>
        </w:rPr>
        <w:t>8</w:t>
      </w:r>
      <w:r>
        <w:rPr>
          <w:rFonts w:hint="eastAsia" w:ascii="仿宋_GB2312" w:hAnsi="宋体" w:eastAsia="仿宋_GB2312"/>
          <w:sz w:val="30"/>
          <w:szCs w:val="30"/>
        </w:rPr>
        <w:t>月</w:t>
      </w:r>
      <w:r>
        <w:rPr>
          <w:rFonts w:hint="eastAsia" w:ascii="仿宋_GB2312" w:hAnsi="宋体" w:eastAsia="仿宋_GB2312"/>
          <w:sz w:val="30"/>
          <w:szCs w:val="30"/>
          <w:lang w:val="en-US" w:eastAsia="zh-CN"/>
        </w:rPr>
        <w:t>14</w:t>
      </w:r>
      <w:r>
        <w:rPr>
          <w:rFonts w:hint="eastAsia" w:ascii="仿宋_GB2312" w:hAnsi="宋体" w:eastAsia="仿宋_GB2312"/>
          <w:sz w:val="30"/>
          <w:szCs w:val="30"/>
        </w:rPr>
        <w:t>日</w:t>
      </w:r>
    </w:p>
    <w:p w14:paraId="4252BCE6">
      <w:pPr>
        <w:rPr>
          <w:rFonts w:hint="eastAsia" w:ascii="仿宋_GB2312" w:hAnsi="宋体" w:eastAsia="仿宋_GB2312"/>
          <w:sz w:val="30"/>
          <w:szCs w:val="30"/>
        </w:rPr>
      </w:pPr>
    </w:p>
    <w:p w14:paraId="41A49355">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jc w:val="both"/>
        <w:textAlignment w:val="auto"/>
        <w:rPr>
          <w:rFonts w:hint="eastAsia" w:ascii="黑体" w:hAnsi="黑体" w:eastAsia="黑体" w:cs="黑体"/>
          <w:b w:val="0"/>
          <w:bCs/>
          <w:color w:val="auto"/>
          <w:sz w:val="32"/>
          <w:szCs w:val="32"/>
          <w:lang w:val="en-US" w:eastAsia="zh-CN"/>
        </w:rPr>
      </w:pPr>
      <w:r>
        <w:rPr>
          <w:rFonts w:hint="eastAsia" w:ascii="仿宋_GB2312" w:hAnsi="宋体" w:eastAsia="仿宋_GB2312"/>
          <w:sz w:val="30"/>
          <w:szCs w:val="30"/>
        </w:rPr>
        <w:br w:type="page"/>
      </w:r>
      <w:r>
        <w:rPr>
          <w:rFonts w:hint="eastAsia" w:ascii="黑体" w:hAnsi="黑体" w:eastAsia="黑体" w:cs="黑体"/>
          <w:b w:val="0"/>
          <w:bCs/>
          <w:color w:val="auto"/>
          <w:sz w:val="32"/>
          <w:szCs w:val="32"/>
          <w:lang w:eastAsia="zh-CN"/>
        </w:rPr>
        <w:t>附件</w:t>
      </w:r>
      <w:r>
        <w:rPr>
          <w:rFonts w:hint="eastAsia" w:ascii="黑体" w:hAnsi="黑体" w:eastAsia="黑体" w:cs="黑体"/>
          <w:b w:val="0"/>
          <w:bCs/>
          <w:color w:val="auto"/>
          <w:sz w:val="32"/>
          <w:szCs w:val="32"/>
          <w:lang w:val="en-US" w:eastAsia="zh-CN"/>
        </w:rPr>
        <w:t>1</w:t>
      </w:r>
    </w:p>
    <w:p w14:paraId="22632B49">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imes New Roman" w:hAnsi="Times New Roman" w:eastAsia="仿宋_GB2312" w:cs="Times New Roman"/>
          <w:b w:val="0"/>
          <w:bCs/>
          <w:color w:val="auto"/>
          <w:sz w:val="40"/>
          <w:szCs w:val="40"/>
        </w:rPr>
      </w:pPr>
    </w:p>
    <w:p w14:paraId="75C78CC4">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方正小标宋简体" w:hAnsi="方正小标宋简体" w:eastAsia="方正小标宋简体" w:cs="方正小标宋简体"/>
          <w:b w:val="0"/>
          <w:bCs/>
          <w:color w:val="auto"/>
          <w:sz w:val="40"/>
          <w:szCs w:val="40"/>
        </w:rPr>
      </w:pPr>
      <w:r>
        <w:rPr>
          <w:rFonts w:hint="eastAsia" w:ascii="方正小标宋简体" w:hAnsi="方正小标宋简体" w:eastAsia="方正小标宋简体" w:cs="方正小标宋简体"/>
          <w:b w:val="0"/>
          <w:bCs/>
          <w:color w:val="auto"/>
          <w:sz w:val="40"/>
          <w:szCs w:val="40"/>
        </w:rPr>
        <w:t>信用修复告知书</w:t>
      </w:r>
    </w:p>
    <w:p w14:paraId="7C9BC563">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eastAsia="仿宋_GB2312" w:cs="Times New Roman"/>
          <w:b/>
          <w:bCs w:val="0"/>
          <w:color w:val="auto"/>
          <w:sz w:val="32"/>
          <w:szCs w:val="32"/>
        </w:rPr>
      </w:pPr>
    </w:p>
    <w:p w14:paraId="32C80D44">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imes New Roman" w:hAnsi="Times New Roman" w:eastAsia="仿宋_GB2312" w:cs="Times New Roman"/>
          <w:b w:val="0"/>
          <w:bCs/>
          <w:color w:val="auto"/>
          <w:sz w:val="32"/>
          <w:szCs w:val="32"/>
        </w:rPr>
      </w:pPr>
    </w:p>
    <w:p w14:paraId="5FC51753">
      <w:pPr>
        <w:pStyle w:val="2"/>
        <w:keepNext w:val="0"/>
        <w:keepLines w:val="0"/>
        <w:pageBreakBefore w:val="0"/>
        <w:widowControl/>
        <w:shd w:val="clear" w:color="auto" w:fill="FFFFFF"/>
        <w:kinsoku/>
        <w:wordWrap/>
        <w:overflowPunct/>
        <w:topLinePunct w:val="0"/>
        <w:autoSpaceDE/>
        <w:autoSpaceDN/>
        <w:bidi w:val="0"/>
        <w:adjustRightInd/>
        <w:snapToGrid/>
        <w:spacing w:beforeLines="0" w:beforeAutospacing="0" w:afterLines="0" w:afterAutospacing="0" w:line="60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single"/>
        </w:rPr>
        <w:t>行政相对人名称</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漳平市老鹰山牧业有限公司</w:t>
      </w:r>
    </w:p>
    <w:p w14:paraId="492AF5B6">
      <w:pPr>
        <w:pStyle w:val="2"/>
        <w:keepNext w:val="0"/>
        <w:keepLines w:val="0"/>
        <w:pageBreakBefore w:val="0"/>
        <w:widowControl/>
        <w:shd w:val="clear" w:color="auto" w:fill="FFFFFF"/>
        <w:kinsoku/>
        <w:wordWrap/>
        <w:overflowPunct/>
        <w:topLinePunct w:val="0"/>
        <w:autoSpaceDE/>
        <w:autoSpaceDN/>
        <w:bidi w:val="0"/>
        <w:adjustRightInd/>
        <w:snapToGrid/>
        <w:spacing w:beforeLines="0" w:beforeAutospacing="0" w:afterLines="0" w:afterAutospacing="0"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你</w:t>
      </w:r>
      <w:r>
        <w:rPr>
          <w:rFonts w:hint="default" w:ascii="Times New Roman" w:hAnsi="Times New Roman" w:eastAsia="仿宋_GB2312" w:cs="Times New Roman"/>
          <w:color w:val="auto"/>
          <w:sz w:val="32"/>
          <w:szCs w:val="32"/>
          <w:lang w:val="en-US" w:eastAsia="zh-CN"/>
        </w:rPr>
        <w:t>公司</w:t>
      </w:r>
      <w:r>
        <w:rPr>
          <w:rFonts w:hint="default" w:ascii="Times New Roman" w:hAnsi="Times New Roman" w:eastAsia="仿宋_GB2312" w:cs="Times New Roman"/>
          <w:color w:val="auto"/>
          <w:sz w:val="32"/>
          <w:szCs w:val="32"/>
        </w:rPr>
        <w:t>于 </w:t>
      </w:r>
      <w:r>
        <w:rPr>
          <w:rFonts w:hint="default" w:ascii="Times New Roman" w:hAnsi="Times New Roman" w:eastAsia="仿宋_GB2312" w:cs="Times New Roman"/>
          <w:color w:val="auto"/>
          <w:sz w:val="32"/>
          <w:szCs w:val="32"/>
          <w:u w:val="single"/>
        </w:rPr>
        <w:t> </w:t>
      </w:r>
      <w:r>
        <w:rPr>
          <w:rFonts w:hint="eastAsia" w:ascii="Times New Roman" w:hAnsi="Times New Roman" w:eastAsia="仿宋_GB2312" w:cs="Times New Roman"/>
          <w:color w:val="auto"/>
          <w:sz w:val="32"/>
          <w:szCs w:val="32"/>
          <w:u w:val="single"/>
          <w:lang w:val="en-US" w:eastAsia="zh-CN"/>
        </w:rPr>
        <w:t>2026</w:t>
      </w:r>
      <w:r>
        <w:rPr>
          <w:rFonts w:hint="default" w:ascii="Times New Roman" w:hAnsi="Times New Roman" w:eastAsia="仿宋_GB2312" w:cs="Times New Roman"/>
          <w:color w:val="auto"/>
          <w:sz w:val="32"/>
          <w:szCs w:val="32"/>
          <w:u w:val="single"/>
        </w:rPr>
        <w:t> </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u w:val="single"/>
        </w:rPr>
        <w:t> </w:t>
      </w:r>
      <w:r>
        <w:rPr>
          <w:rFonts w:hint="eastAsia" w:ascii="Times New Roman" w:hAnsi="Times New Roman" w:eastAsia="仿宋_GB2312" w:cs="Times New Roman"/>
          <w:color w:val="auto"/>
          <w:sz w:val="32"/>
          <w:szCs w:val="32"/>
          <w:u w:val="single"/>
          <w:lang w:val="en-US" w:eastAsia="zh-CN"/>
        </w:rPr>
        <w:t>8</w:t>
      </w:r>
      <w:r>
        <w:rPr>
          <w:rFonts w:hint="default" w:ascii="Times New Roman" w:hAnsi="Times New Roman" w:eastAsia="仿宋_GB2312" w:cs="Times New Roman"/>
          <w:color w:val="auto"/>
          <w:sz w:val="32"/>
          <w:szCs w:val="32"/>
          <w:u w:val="single"/>
        </w:rPr>
        <w:t>  </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u w:val="single"/>
        </w:rPr>
        <w:t>  </w:t>
      </w:r>
      <w:r>
        <w:rPr>
          <w:rFonts w:hint="eastAsia" w:ascii="Times New Roman" w:hAnsi="Times New Roman" w:eastAsia="仿宋_GB2312" w:cs="Times New Roman"/>
          <w:color w:val="auto"/>
          <w:sz w:val="32"/>
          <w:szCs w:val="32"/>
          <w:u w:val="single"/>
          <w:lang w:val="en-US" w:eastAsia="zh-CN"/>
        </w:rPr>
        <w:t>14</w:t>
      </w:r>
      <w:r>
        <w:rPr>
          <w:rFonts w:hint="default" w:ascii="Times New Roman" w:hAnsi="Times New Roman" w:eastAsia="仿宋_GB2312" w:cs="Times New Roman"/>
          <w:color w:val="auto"/>
          <w:sz w:val="32"/>
          <w:szCs w:val="32"/>
          <w:u w:val="single"/>
        </w:rPr>
        <w:t> </w:t>
      </w:r>
      <w:r>
        <w:rPr>
          <w:rFonts w:hint="default" w:ascii="Times New Roman" w:hAnsi="Times New Roman" w:eastAsia="仿宋_GB2312" w:cs="Times New Roman"/>
          <w:color w:val="auto"/>
          <w:sz w:val="32"/>
          <w:szCs w:val="32"/>
        </w:rPr>
        <w:t>日，被我单位给予行政处罚，行政处罚决定书文号为</w:t>
      </w:r>
      <w:r>
        <w:rPr>
          <w:rFonts w:hint="default" w:ascii="Times New Roman" w:hAnsi="Times New Roman" w:eastAsia="仿宋_GB2312" w:cs="Times New Roman"/>
          <w:color w:val="auto"/>
          <w:sz w:val="32"/>
          <w:szCs w:val="32"/>
          <w:u w:val="single"/>
        </w:rPr>
        <w:t> </w:t>
      </w:r>
      <w:r>
        <w:rPr>
          <w:rFonts w:hint="eastAsia" w:ascii="楷体_GB2312" w:hAnsi="宋体" w:eastAsia="楷体_GB2312"/>
          <w:sz w:val="32"/>
          <w:szCs w:val="32"/>
          <w:u w:val="single"/>
          <w:lang w:val="en-US" w:eastAsia="zh-CN"/>
        </w:rPr>
        <w:t>闽龙漳</w:t>
      </w:r>
      <w:r>
        <w:rPr>
          <w:rFonts w:hint="eastAsia" w:ascii="楷体_GB2312" w:hAnsi="宋体" w:eastAsia="楷体_GB2312"/>
          <w:sz w:val="32"/>
          <w:szCs w:val="32"/>
        </w:rPr>
        <w:t>环罚</w:t>
      </w:r>
      <w:r>
        <w:rPr>
          <w:rFonts w:hint="eastAsia" w:ascii="楷体_GB2312" w:hAnsi="宋体" w:eastAsia="楷体_GB2312"/>
          <w:sz w:val="32"/>
          <w:szCs w:val="32"/>
          <w:lang w:eastAsia="zh-CN"/>
        </w:rPr>
        <w:t>决</w:t>
      </w:r>
      <w:r>
        <w:rPr>
          <w:rFonts w:hint="eastAsia" w:ascii="楷体_GB2312" w:hAnsi="宋体" w:eastAsia="楷体_GB2312"/>
          <w:sz w:val="32"/>
          <w:szCs w:val="32"/>
        </w:rPr>
        <w:t>〔</w:t>
      </w:r>
      <w:r>
        <w:rPr>
          <w:rFonts w:hint="eastAsia" w:ascii="楷体_GB2312" w:hAnsi="宋体" w:eastAsia="楷体_GB2312"/>
          <w:sz w:val="32"/>
          <w:szCs w:val="32"/>
          <w:lang w:val="en-US" w:eastAsia="zh-CN"/>
        </w:rPr>
        <w:t>2026</w:t>
      </w:r>
      <w:r>
        <w:rPr>
          <w:rFonts w:hint="eastAsia" w:ascii="楷体_GB2312" w:hAnsi="宋体" w:eastAsia="楷体_GB2312"/>
          <w:sz w:val="32"/>
          <w:szCs w:val="32"/>
        </w:rPr>
        <w:t>〕</w:t>
      </w:r>
      <w:r>
        <w:rPr>
          <w:rFonts w:hint="eastAsia" w:ascii="楷体_GB2312" w:hAnsi="宋体" w:eastAsia="楷体_GB2312"/>
          <w:sz w:val="32"/>
          <w:szCs w:val="32"/>
          <w:highlight w:val="none"/>
          <w:u w:val="single"/>
          <w:lang w:val="en-US" w:eastAsia="zh-CN"/>
        </w:rPr>
        <w:t>0000</w:t>
      </w:r>
      <w:r>
        <w:rPr>
          <w:rFonts w:hint="eastAsia" w:ascii="楷体_GB2312" w:eastAsia="楷体_GB2312"/>
          <w:sz w:val="32"/>
          <w:szCs w:val="32"/>
          <w:highlight w:val="none"/>
          <w:u w:val="single"/>
          <w:lang w:val="en-US" w:eastAsia="zh-CN"/>
        </w:rPr>
        <w:t>8</w:t>
      </w:r>
      <w:r>
        <w:rPr>
          <w:rFonts w:hint="eastAsia" w:ascii="楷体_GB2312" w:hAnsi="宋体" w:eastAsia="楷体_GB2312"/>
          <w:sz w:val="32"/>
          <w:szCs w:val="32"/>
        </w:rPr>
        <w:t>号</w:t>
      </w:r>
      <w:r>
        <w:rPr>
          <w:rFonts w:hint="default" w:ascii="Times New Roman" w:hAnsi="Times New Roman" w:eastAsia="仿宋_GB2312" w:cs="Times New Roman"/>
          <w:color w:val="auto"/>
          <w:sz w:val="32"/>
          <w:szCs w:val="32"/>
          <w:u w:val="single"/>
        </w:rPr>
        <w:t> </w:t>
      </w:r>
      <w:r>
        <w:rPr>
          <w:rFonts w:hint="default" w:ascii="Times New Roman" w:hAnsi="Times New Roman" w:eastAsia="仿宋_GB2312" w:cs="Times New Roman"/>
          <w:color w:val="auto"/>
          <w:sz w:val="32"/>
          <w:szCs w:val="32"/>
        </w:rPr>
        <w:t>。</w:t>
      </w:r>
    </w:p>
    <w:p w14:paraId="2E47E0EC">
      <w:pPr>
        <w:pStyle w:val="2"/>
        <w:keepNext w:val="0"/>
        <w:keepLines w:val="0"/>
        <w:pageBreakBefore w:val="0"/>
        <w:widowControl/>
        <w:shd w:val="clear" w:color="auto" w:fill="FFFFFF"/>
        <w:kinsoku/>
        <w:wordWrap/>
        <w:overflowPunct/>
        <w:topLinePunct w:val="0"/>
        <w:autoSpaceDE/>
        <w:autoSpaceDN/>
        <w:bidi w:val="0"/>
        <w:adjustRightInd/>
        <w:snapToGrid/>
        <w:spacing w:beforeLines="0" w:beforeAutospacing="0" w:afterLines="0" w:afterAutospacing="0"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根据国家发改委《失信行为纠正后的信用信息修复管理办法（试行）》（国家发展改革委令第58号）</w:t>
      </w:r>
      <w:r>
        <w:rPr>
          <w:rFonts w:hint="default" w:ascii="Times New Roman" w:hAnsi="Times New Roman" w:eastAsia="仿宋_GB2312" w:cs="Times New Roman"/>
          <w:color w:val="auto"/>
          <w:sz w:val="32"/>
          <w:szCs w:val="32"/>
          <w:lang w:val="en-US" w:eastAsia="zh-CN"/>
        </w:rPr>
        <w:t>要求</w:t>
      </w:r>
      <w:r>
        <w:rPr>
          <w:rFonts w:hint="default" w:ascii="Times New Roman" w:hAnsi="Times New Roman" w:eastAsia="仿宋_GB2312" w:cs="Times New Roman"/>
          <w:color w:val="auto"/>
          <w:sz w:val="32"/>
          <w:szCs w:val="32"/>
        </w:rPr>
        <w:t>，行政处罚信息上传“信用中国”网站进行公示后，行政相对人可于最短公示期满后申请在线修复，撤下相关公示信息，及时消除不良影响。你</w:t>
      </w:r>
      <w:r>
        <w:rPr>
          <w:rFonts w:hint="default" w:ascii="Times New Roman" w:hAnsi="Times New Roman" w:eastAsia="仿宋_GB2312" w:cs="Times New Roman"/>
          <w:color w:val="auto"/>
          <w:sz w:val="32"/>
          <w:szCs w:val="32"/>
          <w:lang w:val="en-US" w:eastAsia="zh-CN"/>
        </w:rPr>
        <w:t>公司</w:t>
      </w:r>
      <w:r>
        <w:rPr>
          <w:rFonts w:hint="default" w:ascii="Times New Roman" w:hAnsi="Times New Roman" w:eastAsia="仿宋_GB2312" w:cs="Times New Roman"/>
          <w:color w:val="auto"/>
          <w:sz w:val="32"/>
          <w:szCs w:val="32"/>
        </w:rPr>
        <w:t>可于</w:t>
      </w:r>
      <w:r>
        <w:rPr>
          <w:rFonts w:hint="default" w:ascii="Times New Roman" w:hAnsi="Times New Roman" w:eastAsia="仿宋_GB2312" w:cs="Times New Roman"/>
          <w:color w:val="auto"/>
          <w:sz w:val="32"/>
          <w:szCs w:val="32"/>
          <w:u w:val="single"/>
        </w:rPr>
        <w:sym w:font="Wingdings" w:char="00A8"/>
      </w:r>
      <w:r>
        <w:rPr>
          <w:rFonts w:hint="default" w:ascii="Times New Roman" w:hAnsi="Times New Roman" w:eastAsia="仿宋_GB2312" w:cs="Times New Roman"/>
          <w:color w:val="auto"/>
          <w:sz w:val="32"/>
          <w:szCs w:val="32"/>
          <w:u w:val="single"/>
        </w:rPr>
        <w:t>3</w:t>
      </w:r>
      <w:r>
        <w:rPr>
          <w:rFonts w:hint="default" w:ascii="Times New Roman" w:hAnsi="Times New Roman" w:eastAsia="仿宋_GB2312" w:cs="Times New Roman"/>
          <w:color w:val="auto"/>
          <w:sz w:val="32"/>
          <w:szCs w:val="32"/>
          <w:u w:val="single"/>
          <w:lang w:val="en-US" w:eastAsia="zh-CN"/>
        </w:rPr>
        <w:t>个月/</w:t>
      </w:r>
      <w:r>
        <w:rPr>
          <w:rFonts w:hint="default" w:ascii="Times New Roman" w:hAnsi="Times New Roman" w:eastAsia="仿宋_GB2312" w:cs="Times New Roman"/>
          <w:color w:val="auto"/>
          <w:sz w:val="32"/>
          <w:szCs w:val="32"/>
          <w:u w:val="single"/>
        </w:rPr>
        <w:sym w:font="Wingdings" w:char="00A8"/>
      </w:r>
      <w:r>
        <w:rPr>
          <w:rFonts w:hint="default" w:ascii="Times New Roman" w:hAnsi="Times New Roman" w:eastAsia="仿宋_GB2312" w:cs="Times New Roman"/>
          <w:color w:val="auto"/>
          <w:sz w:val="32"/>
          <w:szCs w:val="32"/>
          <w:u w:val="single"/>
        </w:rPr>
        <w:t>12个月</w:t>
      </w:r>
      <w:r>
        <w:rPr>
          <w:rFonts w:hint="default" w:ascii="Times New Roman" w:hAnsi="Times New Roman" w:eastAsia="仿宋_GB2312" w:cs="Times New Roman"/>
          <w:color w:val="auto"/>
          <w:sz w:val="32"/>
          <w:szCs w:val="32"/>
        </w:rPr>
        <w:t>后登录“信用中国”网站申请在线修复（流程详见说明）。市、省、国家平台工作人员将在</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个工作日内逐级进行初审、复审、终审，办理进度可通过“信用中国”网站实时查询。</w:t>
      </w:r>
    </w:p>
    <w:p w14:paraId="0EA11824">
      <w:pPr>
        <w:pStyle w:val="2"/>
        <w:keepNext w:val="0"/>
        <w:keepLines w:val="0"/>
        <w:pageBreakBefore w:val="0"/>
        <w:widowControl/>
        <w:shd w:val="clear" w:color="auto" w:fill="FFFFFF"/>
        <w:kinsoku/>
        <w:wordWrap/>
        <w:overflowPunct/>
        <w:topLinePunct w:val="0"/>
        <w:autoSpaceDE/>
        <w:autoSpaceDN/>
        <w:bidi w:val="0"/>
        <w:adjustRightInd/>
        <w:snapToGrid/>
        <w:spacing w:beforeLines="0" w:beforeAutospacing="0" w:afterLines="0" w:afterAutospacing="0" w:line="600" w:lineRule="exact"/>
        <w:ind w:firstLine="640" w:firstLineChars="200"/>
        <w:textAlignment w:val="auto"/>
        <w:rPr>
          <w:rFonts w:hint="default" w:ascii="Times New Roman" w:hAnsi="Times New Roman" w:eastAsia="仿宋_GB2312" w:cs="Times New Roman"/>
          <w:color w:val="auto"/>
          <w:sz w:val="32"/>
          <w:szCs w:val="32"/>
        </w:rPr>
      </w:pPr>
    </w:p>
    <w:p w14:paraId="22307E52">
      <w:pPr>
        <w:pStyle w:val="2"/>
        <w:keepNext w:val="0"/>
        <w:keepLines w:val="0"/>
        <w:pageBreakBefore w:val="0"/>
        <w:shd w:val="clear" w:color="auto" w:fill="FFFFFF"/>
        <w:kinsoku/>
        <w:wordWrap w:val="0"/>
        <w:overflowPunct/>
        <w:topLinePunct w:val="0"/>
        <w:autoSpaceDE/>
        <w:autoSpaceDN/>
        <w:bidi w:val="0"/>
        <w:adjustRightInd/>
        <w:snapToGrid/>
        <w:spacing w:beforeLines="0" w:beforeAutospacing="0" w:afterLines="0" w:afterAutospacing="0" w:line="60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龙岩市生态环境局</w:t>
      </w:r>
    </w:p>
    <w:p w14:paraId="01939E17">
      <w:pPr>
        <w:pStyle w:val="2"/>
        <w:keepNext w:val="0"/>
        <w:keepLines w:val="0"/>
        <w:pageBreakBefore w:val="0"/>
        <w:shd w:val="clear" w:color="auto" w:fill="FFFFFF"/>
        <w:kinsoku/>
        <w:wordWrap w:val="0"/>
        <w:overflowPunct/>
        <w:topLinePunct w:val="0"/>
        <w:autoSpaceDE/>
        <w:autoSpaceDN/>
        <w:bidi w:val="0"/>
        <w:adjustRightInd/>
        <w:snapToGrid/>
        <w:spacing w:beforeLines="0" w:beforeAutospacing="0" w:afterLines="0" w:afterAutospacing="0" w:line="600" w:lineRule="exact"/>
        <w:ind w:firstLine="640" w:firstLineChars="200"/>
        <w:jc w:val="righ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联系方式：0597-7538879</w:t>
      </w:r>
      <w:r>
        <w:rPr>
          <w:rFonts w:hint="eastAsia" w:ascii="Times New Roman" w:hAnsi="Times New Roman" w:eastAsia="仿宋_GB2312" w:cs="Times New Roman"/>
          <w:color w:val="auto"/>
          <w:sz w:val="32"/>
          <w:szCs w:val="32"/>
          <w:lang w:val="en-US" w:eastAsia="zh-CN"/>
        </w:rPr>
        <w:t xml:space="preserve">  </w:t>
      </w:r>
    </w:p>
    <w:p w14:paraId="35D767E0">
      <w:pPr>
        <w:keepNext w:val="0"/>
        <w:keepLines w:val="0"/>
        <w:pageBreakBefore w:val="0"/>
        <w:kinsoku/>
        <w:overflowPunct/>
        <w:topLinePunct w:val="0"/>
        <w:autoSpaceDE/>
        <w:autoSpaceDN/>
        <w:bidi w:val="0"/>
        <w:adjustRightInd/>
        <w:snapToGrid/>
        <w:spacing w:line="600" w:lineRule="exact"/>
        <w:ind w:firstLine="5120" w:firstLineChars="1600"/>
        <w:textAlignment w:val="auto"/>
        <w:rPr>
          <w:rFonts w:hint="eastAsia" w:ascii="仿宋_GB2312" w:hAnsi="宋体" w:eastAsia="仿宋_GB2312"/>
          <w:sz w:val="32"/>
          <w:szCs w:val="32"/>
        </w:rPr>
      </w:pPr>
      <w:r>
        <w:rPr>
          <w:rFonts w:hint="eastAsia" w:ascii="仿宋_GB2312" w:hAnsi="宋体" w:eastAsia="仿宋_GB2312"/>
          <w:sz w:val="32"/>
          <w:szCs w:val="32"/>
          <w:lang w:val="en-US" w:eastAsia="zh-CN"/>
        </w:rPr>
        <w:t>2026</w:t>
      </w:r>
      <w:r>
        <w:rPr>
          <w:rFonts w:hint="eastAsia" w:ascii="仿宋_GB2312" w:hAnsi="宋体" w:eastAsia="仿宋_GB2312"/>
          <w:sz w:val="32"/>
          <w:szCs w:val="32"/>
        </w:rPr>
        <w:t>年</w:t>
      </w:r>
      <w:r>
        <w:rPr>
          <w:rFonts w:hint="eastAsia" w:ascii="仿宋_GB2312" w:hAnsi="宋体" w:eastAsia="仿宋_GB2312"/>
          <w:sz w:val="32"/>
          <w:szCs w:val="32"/>
          <w:lang w:val="en-US" w:eastAsia="zh-CN"/>
        </w:rPr>
        <w:t>8</w:t>
      </w:r>
      <w:r>
        <w:rPr>
          <w:rFonts w:hint="eastAsia" w:ascii="仿宋_GB2312" w:hAnsi="宋体" w:eastAsia="仿宋_GB2312"/>
          <w:sz w:val="32"/>
          <w:szCs w:val="32"/>
        </w:rPr>
        <w:t>月</w:t>
      </w:r>
      <w:r>
        <w:rPr>
          <w:rFonts w:hint="eastAsia" w:ascii="仿宋_GB2312" w:hAnsi="宋体" w:eastAsia="仿宋_GB2312"/>
          <w:sz w:val="32"/>
          <w:szCs w:val="32"/>
          <w:lang w:val="en-US" w:eastAsia="zh-CN"/>
        </w:rPr>
        <w:t>14</w:t>
      </w:r>
      <w:r>
        <w:rPr>
          <w:rFonts w:hint="eastAsia" w:ascii="仿宋_GB2312" w:hAnsi="宋体" w:eastAsia="仿宋_GB2312"/>
          <w:sz w:val="32"/>
          <w:szCs w:val="32"/>
        </w:rPr>
        <w:t>日</w:t>
      </w:r>
    </w:p>
    <w:p w14:paraId="29A8DC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66E3B"/>
    <w:rsid w:val="55066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Web)"/>
    <w:basedOn w:val="3"/>
    <w:qFormat/>
    <w:uiPriority w:val="99"/>
    <w:pPr>
      <w:widowControl/>
      <w:spacing w:beforeAutospacing="1" w:afterAutospacing="1"/>
      <w:jc w:val="left"/>
    </w:pPr>
    <w:rPr>
      <w:rFonts w:ascii="宋体" w:hAnsi="宋体" w:cs="宋体"/>
      <w:kern w:val="0"/>
      <w:sz w:val="24"/>
      <w:szCs w:val="24"/>
    </w:rPr>
  </w:style>
  <w:style w:type="paragraph" w:customStyle="1" w:styleId="3">
    <w:name w:val="正文1"/>
    <w:qFormat/>
    <w:uiPriority w:val="0"/>
    <w:pPr>
      <w:widowControl w:val="0"/>
      <w:suppressAutoHyphens w:val="0"/>
      <w:bidi w:val="0"/>
      <w:spacing w:beforeLines="0" w:beforeAutospacing="0" w:afterLines="0" w:afterAutospacing="0"/>
      <w:jc w:val="both"/>
    </w:pPr>
    <w:rPr>
      <w:rFonts w:ascii="Calibri" w:hAnsi="Calibri" w:eastAsia="宋体" w:cs="Times New Roman"/>
      <w:color w:val="auto"/>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2026-09-01T08:30:00Z</dcterms:created>
  <dc:creator>哎呀哎呀阿怡啊</dc:creator>
  <cp:lastModifiedBy>哎呀哎呀阿怡啊</cp:lastModifiedBy>
  <dcterms:modified xsi:type="dcterms:W3CDTF">2026-09-01T08:30:55Z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726F088E7A5048A1B6904E5F5D7E2CC5_11</vt:lpwstr>
  </property>
  <property fmtid="{D5CDD505-2E9C-101B-9397-08002B2CF9AE}" pid="4" name="KSOTemplateDocerSaveRecord">
    <vt:lpwstr>eyJoZGlkIjoiMzEwNTM5NzYwMDRjMzkwZTVkZjY2ODkwMGIxNGU0OTUiLCJ1c2VySWQiOiI0Nzk3NjM1NDgifQ==</vt:lpwstr>
  </property>
</Properties>
</file>