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B2D10">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黑体" w:eastAsia="方正小标宋_GBK"/>
          <w:color w:val="auto"/>
          <w:sz w:val="38"/>
          <w:szCs w:val="38"/>
          <w:lang w:eastAsia="zh-CN"/>
        </w:rPr>
      </w:pPr>
      <w:r>
        <w:rPr>
          <w:rFonts w:hint="eastAsia" w:ascii="方正小标宋_GBK" w:hAnsi="黑体" w:eastAsia="方正小标宋_GBK"/>
          <w:color w:val="auto"/>
          <w:sz w:val="38"/>
          <w:szCs w:val="38"/>
          <w:lang w:eastAsia="zh-CN"/>
        </w:rPr>
        <w:t>龙岩市生态环境局</w:t>
      </w:r>
    </w:p>
    <w:p w14:paraId="42FBB9E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方正小标宋_GBK" w:hAnsi="黑体" w:eastAsia="方正小标宋_GBK"/>
          <w:color w:val="auto"/>
          <w:sz w:val="38"/>
          <w:szCs w:val="38"/>
        </w:rPr>
      </w:pPr>
      <w:r>
        <w:rPr>
          <w:rFonts w:hint="eastAsia" w:ascii="方正小标宋_GBK" w:hAnsi="黑体" w:eastAsia="方正小标宋_GBK"/>
          <w:color w:val="auto"/>
          <w:sz w:val="38"/>
          <w:szCs w:val="38"/>
        </w:rPr>
        <w:t>行政处罚决定书</w:t>
      </w:r>
    </w:p>
    <w:p w14:paraId="4F343597">
      <w:pPr>
        <w:keepNext w:val="0"/>
        <w:keepLines w:val="0"/>
        <w:pageBreakBefore w:val="0"/>
        <w:kinsoku/>
        <w:wordWrap/>
        <w:overflowPunct/>
        <w:topLinePunct w:val="0"/>
        <w:autoSpaceDE/>
        <w:autoSpaceDN/>
        <w:bidi w:val="0"/>
        <w:adjustRightInd w:val="0"/>
        <w:snapToGrid w:val="0"/>
        <w:spacing w:before="249" w:beforeLines="80" w:line="560" w:lineRule="exact"/>
        <w:jc w:val="center"/>
        <w:textAlignment w:val="auto"/>
        <w:rPr>
          <w:rFonts w:hint="eastAsia" w:ascii="楷体_GB2312" w:hAnsi="宋体" w:eastAsia="楷体_GB2312"/>
          <w:sz w:val="32"/>
          <w:szCs w:val="32"/>
        </w:rPr>
      </w:pPr>
      <w:r>
        <w:rPr>
          <w:rFonts w:hint="eastAsia" w:ascii="楷体_GB2312" w:hAnsi="宋体" w:eastAsia="楷体_GB2312"/>
          <w:sz w:val="32"/>
          <w:szCs w:val="32"/>
          <w:u w:val="none"/>
          <w:lang w:val="en-US" w:eastAsia="zh-CN"/>
        </w:rPr>
        <w:t>闽龙</w:t>
      </w:r>
      <w:r>
        <w:rPr>
          <w:rFonts w:hint="eastAsia" w:ascii="楷体_GB2312" w:hAnsi="宋体" w:eastAsia="楷体_GB2312"/>
          <w:sz w:val="32"/>
          <w:szCs w:val="32"/>
        </w:rPr>
        <w:t>环罚〔</w:t>
      </w:r>
      <w:r>
        <w:rPr>
          <w:rFonts w:hint="eastAsia" w:ascii="楷体_GB2312" w:hAnsi="宋体" w:eastAsia="楷体_GB2312"/>
          <w:sz w:val="32"/>
          <w:szCs w:val="32"/>
          <w:lang w:val="en-US" w:eastAsia="zh-CN"/>
        </w:rPr>
        <w:t>2026</w:t>
      </w:r>
      <w:r>
        <w:rPr>
          <w:rFonts w:hint="eastAsia" w:ascii="楷体_GB2312" w:hAnsi="宋体" w:eastAsia="楷体_GB2312"/>
          <w:sz w:val="32"/>
          <w:szCs w:val="32"/>
        </w:rPr>
        <w:t>〕</w:t>
      </w:r>
      <w:r>
        <w:rPr>
          <w:rFonts w:hint="eastAsia" w:ascii="楷体_GB2312" w:hAnsi="宋体" w:eastAsia="楷体_GB2312"/>
          <w:sz w:val="32"/>
          <w:szCs w:val="32"/>
          <w:u w:val="none"/>
          <w:lang w:val="en-US" w:eastAsia="zh-CN"/>
        </w:rPr>
        <w:t>8</w:t>
      </w:r>
      <w:r>
        <w:rPr>
          <w:rFonts w:hint="eastAsia" w:ascii="楷体_GB2312" w:hAnsi="宋体" w:eastAsia="楷体_GB2312"/>
          <w:sz w:val="32"/>
          <w:szCs w:val="32"/>
        </w:rPr>
        <w:t>号</w:t>
      </w:r>
    </w:p>
    <w:p w14:paraId="3DC203DF">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黑体" w:hAnsi="宋体" w:eastAsia="黑体"/>
          <w:sz w:val="32"/>
          <w:szCs w:val="32"/>
        </w:rPr>
      </w:pPr>
    </w:p>
    <w:p w14:paraId="7D2FE91A">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宋体" w:eastAsia="仿宋_GB2312"/>
          <w:sz w:val="28"/>
          <w:szCs w:val="28"/>
          <w:u w:val="single"/>
        </w:rPr>
      </w:pPr>
      <w:bookmarkStart w:id="0" w:name="_GoBack"/>
      <w:r>
        <w:rPr>
          <w:rFonts w:hint="eastAsia" w:ascii="仿宋_GB2312" w:hAnsi="宋体" w:eastAsia="仿宋_GB2312"/>
          <w:sz w:val="28"/>
          <w:szCs w:val="28"/>
        </w:rPr>
        <w:t>当事人名称：</w:t>
      </w:r>
      <w:r>
        <w:rPr>
          <w:rFonts w:hint="eastAsia" w:ascii="仿宋_GB2312" w:hAnsi="宋体" w:eastAsia="仿宋_GB2312"/>
          <w:sz w:val="28"/>
          <w:szCs w:val="28"/>
          <w:u w:val="single"/>
        </w:rPr>
        <w:t>福建超瓷新型材料有限公司</w:t>
      </w:r>
    </w:p>
    <w:p w14:paraId="17B0424D">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rPr>
      </w:pPr>
      <w:r>
        <w:rPr>
          <w:rFonts w:hint="eastAsia" w:ascii="仿宋_GB2312" w:hAnsi="宋体" w:eastAsia="仿宋_GB2312"/>
          <w:sz w:val="28"/>
          <w:szCs w:val="28"/>
        </w:rPr>
        <w:t>法定代表人：</w:t>
      </w:r>
      <w:r>
        <w:rPr>
          <w:rFonts w:hint="eastAsia" w:ascii="仿宋_GB2312" w:hAnsi="宋体" w:eastAsia="仿宋_GB2312"/>
          <w:sz w:val="28"/>
          <w:szCs w:val="28"/>
          <w:u w:val="single"/>
          <w:lang w:val="en-US" w:eastAsia="zh-CN"/>
        </w:rPr>
        <w:t>陈威</w:t>
      </w:r>
      <w:r>
        <w:rPr>
          <w:rFonts w:hint="eastAsia" w:ascii="仿宋_GB2312" w:hAnsi="宋体" w:eastAsia="仿宋_GB2312"/>
          <w:sz w:val="28"/>
          <w:szCs w:val="28"/>
        </w:rPr>
        <w:t>，统一社会信用代码：</w:t>
      </w:r>
      <w:r>
        <w:rPr>
          <w:rFonts w:hint="eastAsia" w:ascii="仿宋_GB2312" w:hAnsi="宋体" w:eastAsia="仿宋_GB2312"/>
          <w:sz w:val="28"/>
          <w:szCs w:val="28"/>
          <w:u w:val="single"/>
        </w:rPr>
        <w:t>91350881MA32AXY13E</w:t>
      </w:r>
    </w:p>
    <w:p w14:paraId="78809D69">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rPr>
      </w:pPr>
      <w:r>
        <w:rPr>
          <w:rFonts w:hint="eastAsia" w:ascii="仿宋_GB2312" w:hAnsi="宋体" w:eastAsia="仿宋_GB2312"/>
          <w:sz w:val="28"/>
          <w:szCs w:val="28"/>
        </w:rPr>
        <w:t>地址：</w:t>
      </w:r>
      <w:r>
        <w:rPr>
          <w:rFonts w:hint="eastAsia" w:ascii="仿宋_GB2312" w:hAnsi="宋体" w:eastAsia="仿宋_GB2312"/>
          <w:sz w:val="28"/>
          <w:szCs w:val="28"/>
          <w:u w:val="single"/>
        </w:rPr>
        <w:t>漳平市和平镇和平村安坑89号</w:t>
      </w:r>
    </w:p>
    <w:p w14:paraId="62D0B754">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eastAsia="zh-CN"/>
        </w:rPr>
        <w:t>我局</w:t>
      </w:r>
      <w:r>
        <w:rPr>
          <w:rFonts w:hint="eastAsia" w:ascii="仿宋_GB2312" w:hAnsi="宋体" w:eastAsia="仿宋_GB2312"/>
          <w:sz w:val="28"/>
          <w:szCs w:val="28"/>
        </w:rPr>
        <w:t>于</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2025</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8</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lang w:val="en-US" w:eastAsia="zh-CN"/>
        </w:rPr>
        <w:t>6</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日对你</w:t>
      </w:r>
      <w:r>
        <w:rPr>
          <w:rFonts w:hint="eastAsia" w:ascii="仿宋_GB2312" w:hAnsi="宋体" w:eastAsia="仿宋_GB2312"/>
          <w:sz w:val="28"/>
          <w:szCs w:val="28"/>
          <w:lang w:val="en-US" w:eastAsia="zh-CN"/>
        </w:rPr>
        <w:t>公司</w:t>
      </w:r>
      <w:r>
        <w:rPr>
          <w:rFonts w:hint="eastAsia" w:ascii="仿宋_GB2312" w:hAnsi="宋体" w:eastAsia="仿宋_GB2312"/>
          <w:sz w:val="28"/>
          <w:szCs w:val="28"/>
        </w:rPr>
        <w:t>进行了调查，发现你</w:t>
      </w:r>
      <w:r>
        <w:rPr>
          <w:rFonts w:hint="eastAsia" w:ascii="仿宋_GB2312" w:hAnsi="宋体" w:eastAsia="仿宋_GB2312"/>
          <w:sz w:val="28"/>
          <w:szCs w:val="28"/>
          <w:lang w:eastAsia="zh-CN"/>
        </w:rPr>
        <w:t>公司</w:t>
      </w:r>
      <w:r>
        <w:rPr>
          <w:rFonts w:hint="eastAsia" w:ascii="仿宋_GB2312" w:hAnsi="宋体" w:eastAsia="仿宋_GB2312"/>
          <w:sz w:val="28"/>
          <w:szCs w:val="28"/>
        </w:rPr>
        <w:t>实施了以下生态环境违法行为：</w:t>
      </w:r>
    </w:p>
    <w:p w14:paraId="7FE7A271">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2025年8月6日上午，我局执法人员到你福建超瓷新型材料有限公司进行现场监测及检查。检查时，你公司1号车间生产线未生产，4号车间生产线正在调试生产，4号车间配套的废气处理设施有运行。我局委托福建科化检测技术有限公司检测人员对正在生产的4号车间废气处理设施的DA002排放口进行现场采样监测，并对该公司厂界上、下风向无组织排放废气进行现场采样。</w:t>
      </w:r>
    </w:p>
    <w:p w14:paraId="298371A1">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rPr>
      </w:pPr>
      <w:r>
        <w:rPr>
          <w:rFonts w:hint="eastAsia" w:ascii="仿宋_GB2312" w:hAnsi="宋体" w:eastAsia="仿宋_GB2312"/>
          <w:sz w:val="28"/>
          <w:szCs w:val="28"/>
          <w:u w:val="none"/>
          <w:lang w:val="en-US" w:eastAsia="zh-CN"/>
        </w:rPr>
        <w:t>根据2025年9月15日福建科化检测技术有限公司出具的检测报告 KHJC-202508004 显示，你公司厂界下风向采样点无组织臭气检测浓度最大值为40，超过你公司无组织臭气排放限值（20无量纲）的1倍；你公司厂界下风向采样点无组织废气非甲烷总烃各采样点平均值的最大值已达3.92mg/㎡，已超过你公司非甲烷总烃无组织排放限值（2.0mg/m³）的0.96倍。</w:t>
      </w:r>
    </w:p>
    <w:p w14:paraId="645040CC">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以上事实，有以下主要证据证明：</w:t>
      </w:r>
    </w:p>
    <w:p w14:paraId="5B50BE92">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lang w:val="en-US" w:eastAsia="zh-CN"/>
        </w:rPr>
      </w:pPr>
      <w:r>
        <w:rPr>
          <w:rFonts w:hint="eastAsia" w:ascii="仿宋_GB2312" w:hAnsi="宋体" w:eastAsia="仿宋_GB2312"/>
          <w:sz w:val="28"/>
          <w:szCs w:val="28"/>
          <w:u w:val="single"/>
          <w:lang w:val="en-US" w:eastAsia="zh-CN"/>
        </w:rPr>
        <w:t>1.2025年8月6日，龙岩市生态环境局现场勘查笔录及照片一份，证明你公司现场检查情况；</w:t>
      </w:r>
    </w:p>
    <w:p w14:paraId="68AB8227">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lang w:val="en-US" w:eastAsia="zh-CN"/>
        </w:rPr>
      </w:pPr>
      <w:r>
        <w:rPr>
          <w:rFonts w:hint="eastAsia" w:ascii="仿宋_GB2312" w:hAnsi="宋体" w:eastAsia="仿宋_GB2312"/>
          <w:sz w:val="28"/>
          <w:szCs w:val="28"/>
          <w:u w:val="single"/>
          <w:lang w:val="en-US" w:eastAsia="zh-CN"/>
        </w:rPr>
        <w:t>2.2025年9月15日、10月16日，龙岩市生态环境局调查询问笔录各一份，证明你公司现场检查及检测情况；</w:t>
      </w:r>
    </w:p>
    <w:p w14:paraId="651A273D">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lang w:val="en-US" w:eastAsia="zh-CN"/>
        </w:rPr>
      </w:pPr>
      <w:r>
        <w:rPr>
          <w:rFonts w:hint="eastAsia" w:ascii="仿宋_GB2312" w:hAnsi="宋体" w:eastAsia="仿宋_GB2312"/>
          <w:sz w:val="28"/>
          <w:szCs w:val="28"/>
          <w:u w:val="single"/>
          <w:lang w:val="en-US" w:eastAsia="zh-CN"/>
        </w:rPr>
        <w:t>3.2025年9月15日，福建科化检测技术有限公司出具的检测报告（KHJC-202508004）及资质证明等，证明采样合法性及你公司厂界无组织排放废气检测结果；</w:t>
      </w:r>
    </w:p>
    <w:p w14:paraId="6D236235">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lang w:val="en-US" w:eastAsia="zh-CN"/>
        </w:rPr>
      </w:pPr>
      <w:r>
        <w:rPr>
          <w:rFonts w:hint="eastAsia" w:ascii="仿宋_GB2312" w:hAnsi="宋体" w:eastAsia="仿宋_GB2312"/>
          <w:sz w:val="28"/>
          <w:szCs w:val="28"/>
          <w:u w:val="single"/>
          <w:lang w:val="en-US" w:eastAsia="zh-CN"/>
        </w:rPr>
        <w:t>4.由你公司提供的工商营业执照、法人身份证明、委托书及委托人身份证件复印件证明身份信息；</w:t>
      </w:r>
    </w:p>
    <w:p w14:paraId="0C5298B7">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lang w:val="en-US" w:eastAsia="zh-CN"/>
        </w:rPr>
      </w:pPr>
      <w:r>
        <w:rPr>
          <w:rFonts w:hint="eastAsia" w:ascii="仿宋_GB2312" w:hAnsi="宋体" w:eastAsia="仿宋_GB2312"/>
          <w:sz w:val="28"/>
          <w:szCs w:val="28"/>
          <w:u w:val="single"/>
          <w:lang w:val="en-US" w:eastAsia="zh-CN"/>
        </w:rPr>
        <w:t>5.由你公司提供的排污许可证（节选）一份，证明你公司适用的污染物排放标准及限值；</w:t>
      </w:r>
    </w:p>
    <w:p w14:paraId="5D5AF30B">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lang w:val="en-US" w:eastAsia="zh-CN"/>
        </w:rPr>
      </w:pPr>
      <w:r>
        <w:rPr>
          <w:rFonts w:hint="eastAsia" w:ascii="仿宋_GB2312" w:hAnsi="宋体" w:eastAsia="仿宋_GB2312"/>
          <w:sz w:val="28"/>
          <w:szCs w:val="28"/>
          <w:u w:val="single"/>
          <w:lang w:val="en-US" w:eastAsia="zh-CN"/>
        </w:rPr>
        <w:t>6.《恶臭污染物排放标准（GB14554-93）》、《工业企业挥发性有机物排放标准（DB35/1782-2018）》各一份，证明你公司污染物无组织排放所使用的限值。</w:t>
      </w:r>
    </w:p>
    <w:p w14:paraId="09F099A2">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仿宋_GB2312" w:hAnsi="宋体" w:eastAsia="仿宋_GB2312"/>
          <w:sz w:val="28"/>
          <w:szCs w:val="28"/>
          <w:u w:val="single"/>
          <w:lang w:val="en-US" w:eastAsia="zh-CN"/>
        </w:rPr>
      </w:pPr>
      <w:r>
        <w:rPr>
          <w:rFonts w:hint="eastAsia" w:ascii="仿宋_GB2312" w:hAnsi="宋体" w:eastAsia="仿宋_GB2312"/>
          <w:sz w:val="28"/>
          <w:szCs w:val="28"/>
          <w:u w:val="single"/>
          <w:lang w:val="en-US" w:eastAsia="zh-CN"/>
        </w:rPr>
        <w:t>7.生态损害赔偿协议一份，证明你公司承担生态损害赔偿义务。</w:t>
      </w:r>
    </w:p>
    <w:p w14:paraId="78E4F103">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你</w:t>
      </w:r>
      <w:r>
        <w:rPr>
          <w:rFonts w:hint="eastAsia" w:ascii="仿宋_GB2312" w:hAnsi="宋体" w:eastAsia="仿宋_GB2312"/>
          <w:sz w:val="28"/>
          <w:szCs w:val="28"/>
          <w:lang w:eastAsia="zh-CN"/>
        </w:rPr>
        <w:t>公司</w:t>
      </w:r>
      <w:r>
        <w:rPr>
          <w:rFonts w:hint="eastAsia" w:ascii="仿宋_GB2312" w:hAnsi="宋体" w:eastAsia="仿宋_GB2312"/>
          <w:sz w:val="28"/>
          <w:szCs w:val="28"/>
        </w:rPr>
        <w:t>的上述行为违反了</w:t>
      </w:r>
      <w:r>
        <w:rPr>
          <w:rFonts w:hint="eastAsia" w:ascii="仿宋_GB2312" w:hAnsi="宋体" w:eastAsia="仿宋_GB2312"/>
          <w:sz w:val="28"/>
          <w:szCs w:val="28"/>
          <w:u w:val="single"/>
          <w:lang w:val="en-US" w:eastAsia="zh-CN"/>
        </w:rPr>
        <w:t>《中华人民共和国大气污染防治法》第十八条：“企业事业单位和其他生产经营者建设对大气环境有影响的项目，应当依法进行环境影响评价、公开环境影响评价文件；向大气排放污染物的，应当符合大气污染物排放标准，遵守重点大气污染物排放总量控制要求。”</w:t>
      </w:r>
      <w:r>
        <w:rPr>
          <w:rFonts w:hint="eastAsia" w:ascii="仿宋_GB2312" w:hAnsi="宋体" w:eastAsia="仿宋_GB2312"/>
          <w:sz w:val="28"/>
          <w:szCs w:val="28"/>
        </w:rPr>
        <w:t>的规定。</w:t>
      </w:r>
    </w:p>
    <w:p w14:paraId="59F4A445">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highlight w:val="none"/>
        </w:rPr>
        <w:t>我局于</w:t>
      </w:r>
      <w:r>
        <w:rPr>
          <w:rFonts w:hint="eastAsia" w:ascii="仿宋_GB2312" w:hAnsi="宋体" w:eastAsia="仿宋_GB2312"/>
          <w:sz w:val="28"/>
          <w:szCs w:val="28"/>
          <w:highlight w:val="none"/>
          <w:u w:val="single"/>
          <w:lang w:val="en-US" w:eastAsia="zh-CN"/>
        </w:rPr>
        <w:t>2025</w:t>
      </w:r>
      <w:r>
        <w:rPr>
          <w:rFonts w:hint="eastAsia" w:ascii="仿宋_GB2312" w:hAnsi="宋体" w:eastAsia="仿宋_GB2312"/>
          <w:sz w:val="28"/>
          <w:szCs w:val="28"/>
          <w:highlight w:val="none"/>
        </w:rPr>
        <w:t>年</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u w:val="single"/>
          <w:lang w:val="en-US" w:eastAsia="zh-CN"/>
        </w:rPr>
        <w:t>12</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月</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u w:val="single"/>
          <w:lang w:val="en-US" w:eastAsia="zh-CN"/>
        </w:rPr>
        <w:t>5</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日以</w:t>
      </w:r>
      <w:r>
        <w:rPr>
          <w:rFonts w:hint="eastAsia" w:ascii="仿宋_GB2312" w:hAnsi="宋体" w:eastAsia="仿宋_GB2312"/>
          <w:sz w:val="28"/>
          <w:szCs w:val="28"/>
          <w:highlight w:val="none"/>
          <w:u w:val="single"/>
        </w:rPr>
        <w:t>《行政处罚事先告知书》（</w:t>
      </w:r>
      <w:r>
        <w:rPr>
          <w:rFonts w:hint="eastAsia" w:ascii="仿宋_GB2312" w:hAnsi="宋体" w:eastAsia="仿宋_GB2312"/>
          <w:sz w:val="28"/>
          <w:szCs w:val="28"/>
          <w:highlight w:val="none"/>
          <w:u w:val="single"/>
          <w:lang w:val="en-US" w:eastAsia="zh-CN"/>
        </w:rPr>
        <w:t>闽龙漳</w:t>
      </w:r>
      <w:r>
        <w:rPr>
          <w:rFonts w:hint="eastAsia" w:ascii="仿宋_GB2312" w:hAnsi="宋体" w:eastAsia="仿宋_GB2312"/>
          <w:sz w:val="28"/>
          <w:szCs w:val="28"/>
          <w:highlight w:val="none"/>
          <w:u w:val="single"/>
        </w:rPr>
        <w:t>环罚告〔</w:t>
      </w:r>
      <w:r>
        <w:rPr>
          <w:rFonts w:hint="eastAsia" w:ascii="仿宋_GB2312" w:hAnsi="宋体" w:eastAsia="仿宋_GB2312"/>
          <w:sz w:val="28"/>
          <w:szCs w:val="28"/>
          <w:highlight w:val="none"/>
          <w:u w:val="single"/>
          <w:lang w:val="en-US" w:eastAsia="zh-CN"/>
        </w:rPr>
        <w:t>2025</w:t>
      </w:r>
      <w:r>
        <w:rPr>
          <w:rFonts w:hint="eastAsia" w:ascii="仿宋_GB2312" w:hAnsi="宋体" w:eastAsia="仿宋_GB2312"/>
          <w:sz w:val="28"/>
          <w:szCs w:val="28"/>
          <w:highlight w:val="none"/>
          <w:u w:val="single"/>
        </w:rPr>
        <w:t>〕</w:t>
      </w:r>
      <w:r>
        <w:rPr>
          <w:rFonts w:hint="eastAsia" w:ascii="仿宋_GB2312" w:hAnsi="宋体" w:eastAsia="仿宋_GB2312"/>
          <w:sz w:val="28"/>
          <w:szCs w:val="28"/>
          <w:highlight w:val="none"/>
          <w:u w:val="single"/>
          <w:lang w:val="en-US" w:eastAsia="zh-CN"/>
        </w:rPr>
        <w:t>11</w:t>
      </w:r>
      <w:r>
        <w:rPr>
          <w:rFonts w:hint="eastAsia" w:ascii="仿宋_GB2312" w:hAnsi="宋体" w:eastAsia="仿宋_GB2312"/>
          <w:sz w:val="28"/>
          <w:szCs w:val="28"/>
          <w:highlight w:val="none"/>
          <w:u w:val="single"/>
        </w:rPr>
        <w:t>号）</w:t>
      </w:r>
      <w:r>
        <w:rPr>
          <w:rFonts w:hint="eastAsia" w:ascii="仿宋_GB2312" w:hAnsi="宋体" w:eastAsia="仿宋_GB2312"/>
          <w:sz w:val="28"/>
          <w:szCs w:val="28"/>
          <w:highlight w:val="none"/>
        </w:rPr>
        <w:t>告知你</w:t>
      </w:r>
      <w:r>
        <w:rPr>
          <w:rFonts w:hint="eastAsia" w:ascii="仿宋_GB2312" w:hAnsi="宋体" w:eastAsia="仿宋_GB2312"/>
          <w:sz w:val="28"/>
          <w:szCs w:val="28"/>
          <w:highlight w:val="none"/>
          <w:lang w:val="en-US" w:eastAsia="zh-CN"/>
        </w:rPr>
        <w:t>公司</w:t>
      </w:r>
      <w:r>
        <w:rPr>
          <w:rFonts w:hint="eastAsia" w:ascii="仿宋_GB2312" w:hAnsi="宋体" w:eastAsia="仿宋_GB2312"/>
          <w:sz w:val="28"/>
          <w:szCs w:val="28"/>
          <w:highlight w:val="none"/>
        </w:rPr>
        <w:t>陈述申辩权。</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u w:val="single"/>
          <w:lang w:val="en-US" w:eastAsia="zh-CN"/>
        </w:rPr>
        <w:t>2025</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年</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u w:val="single"/>
          <w:lang w:val="en-US" w:eastAsia="zh-CN"/>
        </w:rPr>
        <w:t>12</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月</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u w:val="single"/>
          <w:lang w:val="en-US" w:eastAsia="zh-CN"/>
        </w:rPr>
        <w:t>10</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日，</w:t>
      </w:r>
      <w:r>
        <w:rPr>
          <w:rFonts w:hint="eastAsia" w:ascii="仿宋_GB2312" w:hAnsi="宋体" w:eastAsia="仿宋_GB2312"/>
          <w:sz w:val="28"/>
          <w:szCs w:val="28"/>
          <w:highlight w:val="none"/>
          <w:u w:val="none"/>
          <w:lang w:val="en-US" w:eastAsia="zh-CN"/>
        </w:rPr>
        <w:t>你</w:t>
      </w:r>
      <w:r>
        <w:rPr>
          <w:rFonts w:hint="eastAsia" w:ascii="仿宋_GB2312" w:hAnsi="仿宋" w:eastAsia="仿宋_GB2312" w:cs="仿宋"/>
          <w:sz w:val="28"/>
          <w:szCs w:val="28"/>
          <w:highlight w:val="none"/>
          <w:u w:val="none"/>
          <w:lang w:val="en-US" w:eastAsia="zh-CN"/>
        </w:rPr>
        <w:t>公司向我局提交申辩书，具体理由如下：“</w:t>
      </w:r>
      <w:r>
        <w:rPr>
          <w:rFonts w:hint="eastAsia" w:ascii="仿宋_GB2312" w:hAnsi="宋体" w:eastAsia="仿宋_GB2312"/>
          <w:sz w:val="28"/>
          <w:szCs w:val="28"/>
          <w:u w:val="none"/>
          <w:lang w:val="en-US" w:eastAsia="zh-CN"/>
        </w:rPr>
        <w:t>2018年12月6日，福建超瓷新型材料有限公司成立。2019年1月22日，我公司取得龙岩市生态环境局的审批意见（龙环审〔2019〕39号），2019年12月8日，经我公司自主验收合格正式投入生产。</w:t>
      </w:r>
    </w:p>
    <w:p w14:paraId="4859E61A">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2024年7月16日，我公司扩建制板产线（即4号车间），《制板产线和抛光产线技术改造项目环境影响报告表》经龙岩市生态环境局审批（龙环审〔2024〕158号）通过。2024年8月份，我公司对该项目开始动工。2025年6月份，我公司对4号车间开始调试生产。2025年8月14日、15日，我公司对4号车间生产进行竣工验收监测，2025年10月27日，评审专家对4号车间生产进行竣工验收并通过。</w:t>
      </w:r>
    </w:p>
    <w:p w14:paraId="25C6EF43">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生态环境局于2025年8月6日检测我公司废气排放超标，而恰巧我公司同日正在委托具备CMA资质的检测机构福建南环检测技术有限公司，按照《固定污染源废气监测技术规范》等国家标准对我司实施并完成同项目的废气排放检测工作，该公司出具的检测报告（编号：NHJC-2025-08-A-084）（见附件5）显示我司在当日同时段各项指标均符合非甲烷总烃、苯乙烯、颗粒物废气排放限值要求，不存在超标排废情形。</w:t>
      </w:r>
    </w:p>
    <w:p w14:paraId="058FF40D">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现生态环境局现在存在两份明显不同的检测结果的情况下，仍然拟对我公司作出处罚，我公司认为明显不当。</w:t>
      </w:r>
    </w:p>
    <w:p w14:paraId="77070D4B">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首先，2025年8月6日贵局对我司4号车间进行现场监测及检查时，我公司4号车间生产线正在调试生产，4号车间的生产负荷仅有17%，而根据《建设项目环境保护设施竣工验收监测技术要求（试行）》（环发〔2000〕38号）第六条规定、《大气污染物综合排放标准》（GB 16297-1996）及《固定污染源排气中颗粒物测定与气态污染物采样方法》（GB/T 16157-1996）等规定，相关部门进行执法监测时，车间生产设施应在不低于75%的正常生产工况下运行。</w:t>
      </w:r>
    </w:p>
    <w:p w14:paraId="04DDC202">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综上可见，我公司4号车间在生产负荷仅有17%的情况下，相应的废气排放不可能超过限值要求，而贵局对我公司4号车间的检测数据有两项废气排放超过限值排放，与我公司同日检测的数据相差甚远，完全不符合常理，我公司认为贵局的检测数据存在错误。</w:t>
      </w:r>
    </w:p>
    <w:p w14:paraId="7520E508">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其次，针对无组织废气非甲烷总烃检测结果。贵局选取的上风向检测点Q1的平均排放量为1.7mg/m³，而我公司选取的检测点是厂界中间位置检测的结果平均排放量为0.08mg/m³。可见，贵局上风向检测的结果比我公司厂界内的检测结果高出许多，明显不符合常理。</w:t>
      </w:r>
    </w:p>
    <w:p w14:paraId="0B5E58FB">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最后，生态环境局委托的福建科化检测技术有限公司在检测时，相关工作人员未对我司出示专业资格证书或上岗证，我公司无法确认其是否具备相应的专业能力和操作技能。而生态环境局的检测报告与事实常理相违背，与我公司的检测结果也相违背，我公司认为贵局的检测数据存在错误。</w:t>
      </w:r>
    </w:p>
    <w:p w14:paraId="36099701">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综上所述，生态环境局单方委托的检测机构的检测结果，不足以完整客观反映我公司当日废气排放实际情况，仅凭此结果作为处罚依据缺乏充分性，存在认定事实不清，证据不足问题，不符合行政处罚“事实清楚、证据确凿”的基本原则。</w:t>
      </w:r>
    </w:p>
    <w:p w14:paraId="765951DB">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为此，我公司恳请生态环境局依法认真复核我方提交的检测报告、生产台账、设施运维记录等相关证据，综合考量当日检测数据差异的客观因素，撤销拟对我公司的处罚决定；若贵局认为需要进一步核实，我公司同意配合开展复测或联合检测，以准确认定事实。</w:t>
      </w:r>
    </w:p>
    <w:p w14:paraId="20E70A43">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我公司始终恪守生态环境保护法律法规，高度重视废气排放管控工作，此次检测数据差异绝非主观故意违规所致。恳请贵局秉持公平公正原则，审慎处理本次申辩事项。”</w:t>
      </w:r>
    </w:p>
    <w:p w14:paraId="47987979">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针对你公司提出陈述申辩，我局认为：首先，我局委托的福建科化检测技术有限公司（前身为福建科化安全技术有限公司）成立于2013年9月4日，注册资金1000万元，公司位于永安市香樟大道383号二楼，三楼，办公和实验场所面积有1200平方米；拥有各类检验检测仪器设备，各项检测软件，硬件具备齐全。公司现有专业技术和管理人员20多人。该公司是经福建省质量技术监督局批准的检验检测机构，于2019年4月3日首次取得检验检测机构资质认定证书，并与2025年3月5日批准通过复评审（资质认定证书编号251312050035），专业从事环境，公共卫生，职业卫生，爆破震动等第三方检测，现有检测能力225项，包括水和废水，生活饮用水，空气和废气，噪声，公共场所，工作场所危害因素，建（构）筑物及设施。该公司成立至今未被列入任何不良记录名单，未受到任何行政处罚。针对质疑同日检测的数据相差甚远，因在不同采样时段，不同采样点进行检测，检测结果无法进行比较。</w:t>
      </w:r>
    </w:p>
    <w:p w14:paraId="59A7FEBC">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其次，你公司称监测当日其工况17%与监测结果超标之间并不存在相悖关系，而2000年施行的《建设项目环境保护设施竣工验收监测技术要求（试行）》的75%验收工况，已于2016年被废止，现行通用规范《固定污染源排气中颗粒和气态污染物采样方法》（GB/T16157-1996）4.1、《固定源废气监测技术规范》（HJ/T397-2007）4.3.1均要求正常运行、工况稳定，未提70%负荷线要求，根据检查当日现场笔录，企业4号车间正常生产，设施正常运行，符合监测条件，我局对委托监测的结果应当予以确认；我局委托的福建科化检测技术有限公司具有专业大气采样及分析资质，委托监测符合监督性监测要求，同时，你公司当天委托监测项目为清洁生产验收监测，监测点位及监测项目与我局委托项目完全不一致，监测时间也非同一时刻，监测行为不具备可比性，检测结果数据无法形成有效对照参考；</w:t>
      </w:r>
    </w:p>
    <w:p w14:paraId="36ECDDF4">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最后，检查当日我局依法委托具有大气采样及分析相应资质的福建科化检测技术有限公司对你公司进行现场采样检测，检查中我执法人员依法向企业代表出具行政执法证并制作现场勘查笔录，检测过程有福建超瓷新型材料有限公司管理人员在场见证，采样人员均持证上岗，检查及采样监测过程合法合规，无相关规范要求第三方工作人员需要向企业出示专业资格证书或上岗证。</w:t>
      </w:r>
    </w:p>
    <w:p w14:paraId="0B099AF8">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仿宋_GB2312" w:hAnsi="宋体" w:eastAsia="仿宋_GB2312"/>
          <w:sz w:val="28"/>
          <w:szCs w:val="28"/>
          <w:u w:val="none"/>
          <w:lang w:val="en-US" w:eastAsia="zh-CN"/>
        </w:rPr>
      </w:pPr>
      <w:r>
        <w:rPr>
          <w:rFonts w:hint="eastAsia" w:ascii="仿宋_GB2312" w:hAnsi="宋体" w:eastAsia="仿宋_GB2312"/>
          <w:sz w:val="28"/>
          <w:szCs w:val="28"/>
          <w:u w:val="none"/>
          <w:lang w:val="en-US" w:eastAsia="zh-CN"/>
        </w:rPr>
        <w:t>综上所述，我局委托监测程序合法，受委托方具备监测资质，监测过程及点位选取符合相关技术规范要求，我局依据监测报告结果进行行政处罚事情清楚、证据充足、适用法律正确，经我局案审小组集体讨论研究，对你公司提出的陈述申辩意见不予采纳。</w:t>
      </w:r>
    </w:p>
    <w:p w14:paraId="092DD9B1">
      <w:pPr>
        <w:keepNext w:val="0"/>
        <w:keepLines w:val="0"/>
        <w:pageBreakBefore w:val="0"/>
        <w:kinsoku/>
        <w:wordWrap/>
        <w:overflowPunct/>
        <w:topLinePunct w:val="0"/>
        <w:autoSpaceDE/>
        <w:autoSpaceDN/>
        <w:bidi w:val="0"/>
        <w:adjustRightInd w:val="0"/>
        <w:snapToGrid w:val="0"/>
        <w:spacing w:line="560" w:lineRule="exact"/>
        <w:ind w:firstLine="640" w:firstLineChars="0"/>
        <w:textAlignment w:val="auto"/>
        <w:rPr>
          <w:rFonts w:hint="eastAsia" w:ascii="仿宋_GB2312" w:hAnsi="宋体" w:eastAsia="仿宋_GB2312"/>
          <w:sz w:val="28"/>
          <w:szCs w:val="28"/>
        </w:rPr>
      </w:pPr>
      <w:r>
        <w:rPr>
          <w:rFonts w:hint="eastAsia" w:ascii="仿宋_GB2312" w:hAnsi="宋体" w:eastAsia="仿宋_GB2312"/>
          <w:sz w:val="28"/>
          <w:szCs w:val="28"/>
          <w:u w:val="none"/>
        </w:rPr>
        <w:t>依据</w:t>
      </w:r>
      <w:r>
        <w:rPr>
          <w:rFonts w:hint="eastAsia" w:ascii="仿宋_GB2312" w:hAnsi="宋体" w:eastAsia="仿宋_GB2312"/>
          <w:sz w:val="28"/>
          <w:szCs w:val="28"/>
          <w:u w:val="single"/>
          <w:lang w:val="en-US" w:eastAsia="zh-CN"/>
        </w:rPr>
        <w:t>《中华人民共和国大气污染防治法》第九十九条第二项：“违反本法规定，有下列行为之一的，由县级以上人民政府生态环境主管部门责令改正或者限制生产、停产整治，并处十万元以上一百万元以下的罚款；情节严重的，报经有批准权的人民政府批准，责令停业、关闭：……（二）超过大气污染物排放标准或者超过重点大气污染物排放总量控制指标排放大气污染物的；”</w:t>
      </w:r>
      <w:r>
        <w:rPr>
          <w:rFonts w:hint="eastAsia" w:ascii="仿宋_GB2312" w:hAnsi="宋体" w:eastAsia="仿宋_GB2312"/>
          <w:sz w:val="28"/>
          <w:szCs w:val="28"/>
        </w:rPr>
        <w:t>的规定，</w:t>
      </w:r>
      <w:r>
        <w:rPr>
          <w:rFonts w:hint="eastAsia" w:ascii="仿宋_GB2312" w:hAnsi="宋体" w:eastAsia="仿宋_GB2312"/>
          <w:sz w:val="28"/>
          <w:szCs w:val="28"/>
          <w:lang w:val="en-US" w:eastAsia="zh-CN"/>
        </w:rPr>
        <w:t>结合《福建省生态环境行政处罚裁量规则》共性裁量基准表、修正裁量基准表、个性裁量基准表第五类（大气污染防治类）第1项的规定，对你公司进行裁量，你公司积极履行生态损害赔偿义务</w:t>
      </w:r>
      <w:r>
        <w:rPr>
          <w:rFonts w:hint="eastAsia" w:ascii="仿宋_GB2312" w:hAnsi="宋体" w:eastAsia="仿宋_GB2312"/>
          <w:sz w:val="28"/>
          <w:szCs w:val="28"/>
          <w:u w:val="none"/>
          <w:lang w:val="en-US" w:eastAsia="zh-CN"/>
        </w:rPr>
        <w:t>，依据</w:t>
      </w:r>
      <w:r>
        <w:rPr>
          <w:rFonts w:hint="eastAsia" w:ascii="仿宋_GB2312" w:hAnsi="宋体" w:eastAsia="仿宋_GB2312"/>
          <w:sz w:val="28"/>
          <w:szCs w:val="28"/>
          <w:u w:val="single"/>
          <w:lang w:val="en-US" w:eastAsia="zh-CN"/>
        </w:rPr>
        <w:t>《中华人民共和国行政处罚法》第三十二条第一项：“当事人有下列情形之一，应当从轻或者减轻行政处罚：（一）主动消除或者减轻违法行为危害后果的。”及《福建省生态环境行政处罚裁量规则》第九条：“法律法规规章规定其它应当从轻或者减轻行政处罚的，当事人正在履行生态环境损害赔偿义务且确保修复和赔偿义务可履行到位的(以生态环境损害赔偿协议、缴纳履约保证金凭证等相关文件作为从轻减轻处罚的认定依据)，可以作为从轻处罚或者减轻处罚的情形。对符合规定的从轻处罚，应当在裁量基准明确的拟处罚金额基础上减少一定的罚款金额，减少的罚款数额一般不超法定罚款幅度（即法定最高罚款数额与法定最低罚款数额之差，下同）的20%，且减少后的最终罚款金额不得低于法定最低罚款数额。”</w:t>
      </w:r>
      <w:r>
        <w:rPr>
          <w:rFonts w:hint="eastAsia" w:ascii="仿宋_GB2312" w:hAnsi="宋体" w:eastAsia="仿宋_GB2312"/>
          <w:sz w:val="28"/>
          <w:szCs w:val="28"/>
          <w:lang w:val="en-US" w:eastAsia="zh-CN"/>
        </w:rPr>
        <w:t>的规定，</w:t>
      </w:r>
      <w:r>
        <w:rPr>
          <w:rFonts w:hint="eastAsia" w:ascii="仿宋_GB2312" w:hAnsi="宋体" w:eastAsia="仿宋_GB2312"/>
          <w:sz w:val="28"/>
          <w:szCs w:val="28"/>
          <w:highlight w:val="none"/>
          <w:u w:val="none"/>
          <w:lang w:val="en-US" w:eastAsia="zh-CN"/>
        </w:rPr>
        <w:t>综合考虑你公司违法行为构成要素、违法情节、违法程度等多方面因素</w:t>
      </w:r>
      <w:r>
        <w:rPr>
          <w:rFonts w:hint="eastAsia" w:ascii="仿宋_GB2312" w:hAnsi="宋体" w:eastAsia="仿宋_GB2312"/>
          <w:sz w:val="28"/>
          <w:szCs w:val="28"/>
          <w:u w:val="none"/>
        </w:rPr>
        <w:t>，</w:t>
      </w:r>
      <w:r>
        <w:rPr>
          <w:rFonts w:hint="eastAsia" w:ascii="仿宋_GB2312" w:hAnsi="宋体" w:eastAsia="仿宋_GB2312"/>
          <w:sz w:val="28"/>
          <w:szCs w:val="28"/>
          <w:lang w:eastAsia="zh-CN"/>
        </w:rPr>
        <w:t>我局</w:t>
      </w:r>
      <w:r>
        <w:rPr>
          <w:rFonts w:hint="eastAsia" w:ascii="仿宋_GB2312" w:hAnsi="宋体" w:eastAsia="仿宋_GB2312"/>
          <w:sz w:val="28"/>
          <w:szCs w:val="28"/>
        </w:rPr>
        <w:t>决定对你</w:t>
      </w:r>
      <w:r>
        <w:rPr>
          <w:rFonts w:hint="eastAsia" w:ascii="仿宋_GB2312" w:hAnsi="宋体" w:eastAsia="仿宋_GB2312"/>
          <w:sz w:val="28"/>
          <w:szCs w:val="28"/>
          <w:lang w:val="en-US" w:eastAsia="zh-CN"/>
        </w:rPr>
        <w:t>公司</w:t>
      </w:r>
      <w:r>
        <w:rPr>
          <w:rFonts w:hint="eastAsia" w:ascii="仿宋_GB2312" w:hAnsi="宋体" w:eastAsia="仿宋_GB2312"/>
          <w:sz w:val="28"/>
          <w:szCs w:val="28"/>
        </w:rPr>
        <w:t>处以如下行政处罚：</w:t>
      </w:r>
    </w:p>
    <w:p w14:paraId="4765041A">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rPr>
      </w:pPr>
      <w:r>
        <w:rPr>
          <w:rFonts w:hint="eastAsia" w:ascii="仿宋_GB2312" w:hAnsi="宋体" w:eastAsia="仿宋_GB2312"/>
          <w:sz w:val="28"/>
          <w:szCs w:val="28"/>
          <w:u w:val="single"/>
          <w:lang w:val="en-US" w:eastAsia="zh-CN"/>
        </w:rPr>
        <w:t>处罚款人民币100000.00元（壹拾万元整）</w:t>
      </w:r>
      <w:r>
        <w:rPr>
          <w:rFonts w:hint="eastAsia" w:ascii="仿宋_GB2312" w:hAnsi="宋体" w:eastAsia="仿宋_GB2312"/>
          <w:sz w:val="28"/>
          <w:szCs w:val="28"/>
          <w:u w:val="single"/>
        </w:rPr>
        <w:t>。</w:t>
      </w:r>
    </w:p>
    <w:p w14:paraId="4A1F9B9F">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u w:val="single"/>
        </w:rPr>
      </w:pPr>
      <w:r>
        <w:rPr>
          <w:rFonts w:hint="eastAsia" w:ascii="仿宋_GB2312" w:hAnsi="宋体" w:eastAsia="仿宋_GB2312"/>
          <w:sz w:val="28"/>
          <w:szCs w:val="28"/>
        </w:rPr>
        <w:t>限于接到本处罚决定之日起十五日内</w:t>
      </w:r>
      <w:r>
        <w:rPr>
          <w:rFonts w:hint="eastAsia" w:ascii="仿宋_GB2312" w:hAnsi="宋体" w:eastAsia="仿宋_GB2312"/>
          <w:sz w:val="28"/>
          <w:szCs w:val="28"/>
          <w:lang w:val="en-US" w:eastAsia="zh-CN"/>
        </w:rPr>
        <w:t>持《福建省非税收入缴款通知书（电子）》和本行政处罚决定书至</w:t>
      </w:r>
      <w:r>
        <w:rPr>
          <w:rFonts w:hint="eastAsia" w:ascii="仿宋_GB2312" w:hAnsi="宋体" w:eastAsia="仿宋_GB2312"/>
          <w:sz w:val="28"/>
          <w:szCs w:val="28"/>
        </w:rPr>
        <w:t>银行或者通过电子支付系统缴纳罚款。逾期不缴纳罚款的，</w:t>
      </w:r>
      <w:r>
        <w:rPr>
          <w:rFonts w:hint="eastAsia" w:ascii="仿宋_GB2312" w:hAnsi="宋体" w:eastAsia="仿宋_GB2312"/>
          <w:sz w:val="28"/>
          <w:szCs w:val="28"/>
          <w:lang w:eastAsia="zh-CN"/>
        </w:rPr>
        <w:t>我局</w:t>
      </w:r>
      <w:r>
        <w:rPr>
          <w:rFonts w:hint="eastAsia" w:ascii="仿宋_GB2312" w:hAnsi="宋体" w:eastAsia="仿宋_GB2312"/>
          <w:sz w:val="28"/>
          <w:szCs w:val="28"/>
        </w:rPr>
        <w:t>可以根据《中华人民共和国行政处罚法》第七十二条第一款第一项规定每日按罚款数额的百分之三加处罚款。</w:t>
      </w:r>
    </w:p>
    <w:p w14:paraId="06A6B53D">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你</w:t>
      </w:r>
      <w:r>
        <w:rPr>
          <w:rFonts w:hint="eastAsia" w:ascii="仿宋_GB2312" w:hAnsi="宋体" w:eastAsia="仿宋_GB2312"/>
          <w:sz w:val="28"/>
          <w:szCs w:val="28"/>
          <w:lang w:val="en-US" w:eastAsia="zh-CN"/>
        </w:rPr>
        <w:t>公司</w:t>
      </w:r>
      <w:r>
        <w:rPr>
          <w:rFonts w:hint="eastAsia" w:ascii="仿宋_GB2312" w:hAnsi="宋体" w:eastAsia="仿宋_GB2312"/>
          <w:sz w:val="28"/>
          <w:szCs w:val="28"/>
        </w:rPr>
        <w:t>如不服本处罚决定，可在收到本处罚决定书之日起六十日内向</w:t>
      </w:r>
      <w:r>
        <w:rPr>
          <w:rFonts w:hint="eastAsia" w:ascii="仿宋_GB2312" w:hAnsi="宋体" w:eastAsia="仿宋_GB2312"/>
          <w:sz w:val="28"/>
          <w:szCs w:val="28"/>
          <w:lang w:val="en-US" w:eastAsia="zh-CN"/>
        </w:rPr>
        <w:t>龙岩市</w:t>
      </w:r>
      <w:r>
        <w:rPr>
          <w:rFonts w:hint="eastAsia" w:ascii="仿宋_GB2312" w:hAnsi="宋体" w:eastAsia="仿宋_GB2312"/>
          <w:sz w:val="28"/>
          <w:szCs w:val="28"/>
        </w:rPr>
        <w:t>人民政府申请行政复议，也可以在六个月内向</w:t>
      </w:r>
      <w:r>
        <w:rPr>
          <w:rFonts w:hint="eastAsia" w:ascii="仿宋_GB2312" w:hAnsi="宋体" w:eastAsia="仿宋_GB2312"/>
          <w:sz w:val="28"/>
          <w:szCs w:val="28"/>
          <w:lang w:val="en-US" w:eastAsia="zh-CN"/>
        </w:rPr>
        <w:t>新罗区</w:t>
      </w:r>
      <w:r>
        <w:rPr>
          <w:rFonts w:hint="eastAsia" w:ascii="仿宋_GB2312" w:hAnsi="宋体" w:eastAsia="仿宋_GB2312"/>
          <w:sz w:val="28"/>
          <w:szCs w:val="28"/>
        </w:rPr>
        <w:t>人民法院提起行政诉讼。申请行政复议或者提起行政诉讼，不停止行政处罚决定的执行。</w:t>
      </w:r>
    </w:p>
    <w:p w14:paraId="64F0E360">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eastAsia="仿宋_GB2312"/>
          <w:color w:val="auto"/>
          <w:kern w:val="0"/>
          <w:sz w:val="28"/>
          <w:szCs w:val="28"/>
          <w:lang w:bidi="ar"/>
        </w:rPr>
      </w:pPr>
      <w:r>
        <w:rPr>
          <w:rFonts w:hint="eastAsia" w:ascii="仿宋_GB2312" w:hAnsi="宋体" w:eastAsia="仿宋_GB2312"/>
          <w:sz w:val="28"/>
          <w:szCs w:val="28"/>
        </w:rPr>
        <w:t>逾期不申请行政复议，不提起行政诉讼，又不履行本处罚决定的，</w:t>
      </w:r>
      <w:r>
        <w:rPr>
          <w:rFonts w:hint="eastAsia" w:ascii="仿宋_GB2312" w:hAnsi="宋体" w:eastAsia="仿宋_GB2312"/>
          <w:sz w:val="28"/>
          <w:szCs w:val="28"/>
          <w:lang w:eastAsia="zh-CN"/>
        </w:rPr>
        <w:t>我局</w:t>
      </w:r>
      <w:r>
        <w:rPr>
          <w:rFonts w:hint="eastAsia" w:ascii="仿宋_GB2312" w:hAnsi="宋体" w:eastAsia="仿宋_GB2312"/>
          <w:sz w:val="28"/>
          <w:szCs w:val="28"/>
        </w:rPr>
        <w:t>将依法申请人民法院强制执行。</w:t>
      </w:r>
    </w:p>
    <w:p w14:paraId="26B494FA">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eastAsia="仿宋_GB2312"/>
          <w:color w:val="auto"/>
          <w:kern w:val="0"/>
          <w:sz w:val="28"/>
          <w:szCs w:val="28"/>
          <w:lang w:bidi="ar"/>
        </w:rPr>
      </w:pPr>
    </w:p>
    <w:p w14:paraId="77AE66A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sz w:val="28"/>
          <w:szCs w:val="28"/>
        </w:rPr>
      </w:pPr>
      <w:r>
        <w:rPr>
          <w:rFonts w:hint="eastAsia" w:ascii="仿宋_GB2312" w:eastAsia="仿宋_GB2312"/>
          <w:color w:val="auto"/>
          <w:kern w:val="0"/>
          <w:sz w:val="28"/>
          <w:szCs w:val="28"/>
          <w:lang w:bidi="ar"/>
        </w:rPr>
        <w:t>附件：信用修复告知书</w:t>
      </w:r>
    </w:p>
    <w:p w14:paraId="57DC3186">
      <w:pPr>
        <w:keepNext w:val="0"/>
        <w:keepLines w:val="0"/>
        <w:pageBreakBefore w:val="0"/>
        <w:kinsoku/>
        <w:wordWrap/>
        <w:overflowPunct/>
        <w:topLinePunct w:val="0"/>
        <w:autoSpaceDE/>
        <w:autoSpaceDN/>
        <w:bidi w:val="0"/>
        <w:adjustRightInd w:val="0"/>
        <w:snapToGrid w:val="0"/>
        <w:spacing w:line="560" w:lineRule="exact"/>
        <w:jc w:val="right"/>
        <w:textAlignment w:val="auto"/>
        <w:rPr>
          <w:rFonts w:hint="eastAsia" w:ascii="仿宋_GB2312" w:hAnsi="宋体" w:eastAsia="仿宋_GB2312"/>
          <w:sz w:val="28"/>
          <w:szCs w:val="28"/>
          <w:lang w:eastAsia="zh-CN"/>
        </w:rPr>
      </w:pPr>
    </w:p>
    <w:p w14:paraId="411E2208">
      <w:pPr>
        <w:keepNext w:val="0"/>
        <w:keepLines w:val="0"/>
        <w:pageBreakBefore w:val="0"/>
        <w:kinsoku/>
        <w:wordWrap/>
        <w:overflowPunct/>
        <w:topLinePunct w:val="0"/>
        <w:autoSpaceDE/>
        <w:autoSpaceDN/>
        <w:bidi w:val="0"/>
        <w:adjustRightInd w:val="0"/>
        <w:snapToGrid w:val="0"/>
        <w:spacing w:line="560" w:lineRule="exact"/>
        <w:jc w:val="right"/>
        <w:textAlignment w:val="auto"/>
        <w:rPr>
          <w:rFonts w:hint="eastAsia" w:ascii="仿宋_GB2312" w:hAnsi="宋体" w:eastAsia="仿宋_GB2312"/>
          <w:sz w:val="28"/>
          <w:szCs w:val="28"/>
          <w:lang w:eastAsia="zh-CN"/>
        </w:rPr>
      </w:pPr>
    </w:p>
    <w:p w14:paraId="213B343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lang w:eastAsia="zh-CN"/>
        </w:rPr>
        <w:t>龙岩市生态环境局</w:t>
      </w:r>
    </w:p>
    <w:p w14:paraId="2674D304">
      <w:pPr>
        <w:keepNext w:val="0"/>
        <w:keepLines w:val="0"/>
        <w:pageBreakBefore w:val="0"/>
        <w:kinsoku/>
        <w:wordWrap/>
        <w:overflowPunct/>
        <w:topLinePunct w:val="0"/>
        <w:autoSpaceDE/>
        <w:autoSpaceDN/>
        <w:bidi w:val="0"/>
        <w:adjustRightInd w:val="0"/>
        <w:snapToGrid w:val="0"/>
        <w:spacing w:line="560" w:lineRule="exact"/>
        <w:ind w:right="210" w:rightChars="100"/>
        <w:jc w:val="right"/>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2026</w:t>
      </w:r>
      <w:r>
        <w:rPr>
          <w:rFonts w:hint="eastAsia" w:ascii="仿宋_GB2312" w:hAnsi="宋体" w:eastAsia="仿宋_GB2312"/>
          <w:sz w:val="28"/>
          <w:szCs w:val="28"/>
        </w:rPr>
        <w:t>年</w:t>
      </w:r>
      <w:r>
        <w:rPr>
          <w:rFonts w:hint="eastAsia" w:ascii="仿宋_GB2312" w:hAnsi="宋体" w:eastAsia="仿宋_GB2312"/>
          <w:sz w:val="28"/>
          <w:szCs w:val="28"/>
          <w:lang w:val="en-US" w:eastAsia="zh-CN"/>
        </w:rPr>
        <w:t>1</w:t>
      </w:r>
      <w:r>
        <w:rPr>
          <w:rFonts w:hint="eastAsia" w:ascii="仿宋_GB2312" w:hAnsi="宋体" w:eastAsia="仿宋_GB2312"/>
          <w:sz w:val="28"/>
          <w:szCs w:val="28"/>
        </w:rPr>
        <w:t>月</w:t>
      </w:r>
      <w:r>
        <w:rPr>
          <w:rFonts w:hint="eastAsia" w:ascii="仿宋_GB2312" w:hAnsi="宋体" w:eastAsia="仿宋_GB2312"/>
          <w:sz w:val="28"/>
          <w:szCs w:val="28"/>
          <w:lang w:val="en-US" w:eastAsia="zh-CN"/>
        </w:rPr>
        <w:t>12</w:t>
      </w:r>
      <w:r>
        <w:rPr>
          <w:rFonts w:hint="eastAsia" w:ascii="仿宋_GB2312" w:hAnsi="宋体" w:eastAsia="仿宋_GB2312"/>
          <w:sz w:val="28"/>
          <w:szCs w:val="28"/>
        </w:rPr>
        <w:t>日</w:t>
      </w:r>
    </w:p>
    <w:bookmarkEnd w:id="0"/>
    <w:p w14:paraId="23C2C2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76523"/>
    <w:rsid w:val="2AC703AE"/>
    <w:rsid w:val="66B75538"/>
    <w:rsid w:val="6A476523"/>
    <w:rsid w:val="75F93477"/>
    <w:rsid w:val="79E41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4189</Words>
  <Characters>4527</Characters>
  <Lines>0</Lines>
  <Paragraphs>0</Paragraphs>
  <TotalTime>2</TotalTime>
  <ScaleCrop>false</ScaleCrop>
  <LinksUpToDate>false</LinksUpToDate>
  <CharactersWithSpaces>4582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2026-01-16T01:50:00Z</dcterms:created>
  <dc:creator>哎呀哎呀阿怡啊</dc:creator>
  <cp:lastModifiedBy>苏雪莉</cp:lastModifiedBy>
  <dcterms:modified xsi:type="dcterms:W3CDTF">2026-01-16T02:10:41Z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89AD53DA420B49B8A3302088E81F3507_11</vt:lpwstr>
  </property>
  <property fmtid="{D5CDD505-2E9C-101B-9397-08002B2CF9AE}" pid="4" name="KSOTemplateDocerSaveRecord">
    <vt:lpwstr>eyJoZGlkIjoiZjkwOGU4NDc1Njc5YWYzM2RlZjI4OGYyYmM3ZDA5YzIiLCJ1c2VySWQiOiIxMTc3NjIyODM3In0=</vt:lpwstr>
  </property>
</Properties>
</file>