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459B8">
      <w:pPr>
        <w:keepNext w:val="0"/>
        <w:keepLines w:val="0"/>
        <w:widowControl/>
        <w:suppressLineNumbers w:val="0"/>
        <w:jc w:val="center"/>
        <w:rPr>
          <w:rFonts w:hint="eastAsia" w:ascii="宋体" w:hAnsi="宋体" w:eastAsia="宋体" w:cs="宋体"/>
          <w:kern w:val="0"/>
          <w:sz w:val="44"/>
          <w:szCs w:val="44"/>
          <w:lang w:val="en-US" w:eastAsia="zh-CN" w:bidi="ar"/>
        </w:rPr>
      </w:pPr>
      <w:r>
        <w:rPr>
          <w:rFonts w:hint="eastAsia" w:ascii="宋体" w:hAnsi="宋体" w:eastAsia="宋体" w:cs="宋体"/>
          <w:kern w:val="0"/>
          <w:sz w:val="44"/>
          <w:szCs w:val="44"/>
          <w:lang w:val="en-US" w:eastAsia="zh-CN" w:bidi="ar"/>
        </w:rPr>
        <w:t>关于公开征求</w:t>
      </w:r>
    </w:p>
    <w:p w14:paraId="5ECCBFFF">
      <w:pPr>
        <w:keepNext w:val="0"/>
        <w:keepLines w:val="0"/>
        <w:widowControl/>
        <w:suppressLineNumbers w:val="0"/>
        <w:jc w:val="center"/>
        <w:rPr>
          <w:rFonts w:hint="eastAsia" w:ascii="宋体" w:hAnsi="宋体" w:eastAsia="宋体" w:cs="宋体"/>
          <w:kern w:val="0"/>
          <w:sz w:val="44"/>
          <w:szCs w:val="44"/>
          <w:lang w:val="en-US" w:eastAsia="zh-CN" w:bidi="ar"/>
        </w:rPr>
      </w:pPr>
      <w:r>
        <w:rPr>
          <w:rFonts w:hint="eastAsia" w:ascii="宋体" w:hAnsi="宋体" w:eastAsia="宋体" w:cs="宋体"/>
          <w:kern w:val="0"/>
          <w:sz w:val="44"/>
          <w:szCs w:val="44"/>
          <w:lang w:val="en-US" w:eastAsia="zh-CN" w:bidi="ar"/>
        </w:rPr>
        <w:t>《龙岩市漳平</w:t>
      </w:r>
      <w:r>
        <w:rPr>
          <w:rFonts w:hint="default" w:ascii="宋体" w:hAnsi="宋体" w:eastAsia="宋体" w:cs="宋体"/>
          <w:kern w:val="0"/>
          <w:sz w:val="44"/>
          <w:szCs w:val="44"/>
          <w:lang w:val="en-US" w:eastAsia="zh-CN" w:bidi="ar"/>
        </w:rPr>
        <w:t>生态环境</w:t>
      </w:r>
      <w:r>
        <w:rPr>
          <w:rFonts w:hint="eastAsia" w:ascii="宋体" w:hAnsi="宋体" w:eastAsia="宋体" w:cs="宋体"/>
          <w:kern w:val="0"/>
          <w:sz w:val="44"/>
          <w:szCs w:val="44"/>
          <w:lang w:val="en-US" w:eastAsia="zh-CN" w:bidi="ar"/>
        </w:rPr>
        <w:t>局</w:t>
      </w:r>
      <w:r>
        <w:rPr>
          <w:rFonts w:hint="default" w:ascii="宋体" w:hAnsi="宋体" w:eastAsia="宋体" w:cs="宋体"/>
          <w:kern w:val="0"/>
          <w:sz w:val="44"/>
          <w:szCs w:val="44"/>
          <w:lang w:val="en-US" w:eastAsia="zh-CN" w:bidi="ar"/>
        </w:rPr>
        <w:t>包容审慎监管执法清单</w:t>
      </w:r>
      <w:r>
        <w:rPr>
          <w:rFonts w:hint="eastAsia" w:ascii="宋体" w:hAnsi="宋体" w:eastAsia="宋体" w:cs="宋体"/>
          <w:kern w:val="0"/>
          <w:sz w:val="44"/>
          <w:szCs w:val="44"/>
          <w:lang w:val="en-US" w:eastAsia="zh-CN" w:bidi="ar"/>
        </w:rPr>
        <w:t>（试行）》意见的公告</w:t>
      </w:r>
    </w:p>
    <w:p w14:paraId="3AAADDC4">
      <w:pPr>
        <w:keepNext w:val="0"/>
        <w:keepLines w:val="0"/>
        <w:widowControl/>
        <w:suppressLineNumbers w:val="0"/>
        <w:jc w:val="center"/>
        <w:rPr>
          <w:rFonts w:hint="eastAsia" w:ascii="宋体" w:hAnsi="宋体" w:eastAsia="宋体" w:cs="宋体"/>
          <w:kern w:val="0"/>
          <w:sz w:val="44"/>
          <w:szCs w:val="44"/>
          <w:lang w:val="en-US" w:eastAsia="zh-CN" w:bidi="ar"/>
        </w:rPr>
      </w:pPr>
    </w:p>
    <w:p w14:paraId="0221E30B">
      <w:pPr>
        <w:keepNext w:val="0"/>
        <w:keepLines w:val="0"/>
        <w:pageBreakBefore w:val="0"/>
        <w:widowControl/>
        <w:suppressLineNumbers w:val="0"/>
        <w:kinsoku/>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为保证</w:t>
      </w:r>
      <w:r>
        <w:rPr>
          <w:rFonts w:hint="default"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中华人民共和国</w:t>
      </w:r>
      <w:r>
        <w:rPr>
          <w:rFonts w:hint="default" w:ascii="宋体" w:hAnsi="宋体" w:eastAsia="宋体" w:cs="宋体"/>
          <w:kern w:val="0"/>
          <w:sz w:val="24"/>
          <w:szCs w:val="24"/>
          <w:lang w:val="en-US" w:eastAsia="zh-CN" w:bidi="ar"/>
        </w:rPr>
        <w:t>生态环境法典》</w:t>
      </w:r>
      <w:r>
        <w:rPr>
          <w:rFonts w:hint="eastAsia" w:ascii="宋体" w:hAnsi="宋体" w:eastAsia="宋体" w:cs="宋体"/>
          <w:kern w:val="0"/>
          <w:sz w:val="24"/>
          <w:szCs w:val="24"/>
          <w:lang w:val="en-US" w:eastAsia="zh-CN" w:bidi="ar"/>
        </w:rPr>
        <w:t>全面有效实施，</w:t>
      </w:r>
      <w:r>
        <w:rPr>
          <w:rFonts w:hint="default" w:ascii="宋体" w:hAnsi="宋体" w:eastAsia="宋体" w:cs="宋体"/>
          <w:kern w:val="0"/>
          <w:sz w:val="24"/>
          <w:szCs w:val="24"/>
          <w:lang w:val="en-US" w:eastAsia="zh-CN" w:bidi="ar"/>
        </w:rPr>
        <w:t>持续优化营商环境，推动生态环境执法</w:t>
      </w:r>
      <w:r>
        <w:rPr>
          <w:rFonts w:hint="eastAsia" w:ascii="宋体" w:hAnsi="宋体" w:eastAsia="宋体" w:cs="宋体"/>
          <w:kern w:val="0"/>
          <w:sz w:val="24"/>
          <w:szCs w:val="24"/>
          <w:lang w:val="en-US" w:eastAsia="zh-CN" w:bidi="ar"/>
        </w:rPr>
        <w:t>刚柔并济</w:t>
      </w:r>
      <w:r>
        <w:rPr>
          <w:rFonts w:hint="default"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结合</w:t>
      </w:r>
      <w:r>
        <w:rPr>
          <w:rFonts w:hint="default" w:ascii="宋体" w:hAnsi="宋体" w:eastAsia="宋体" w:cs="宋体"/>
          <w:kern w:val="0"/>
          <w:sz w:val="24"/>
          <w:szCs w:val="24"/>
          <w:lang w:val="en-US" w:eastAsia="zh-CN" w:bidi="ar"/>
        </w:rPr>
        <w:t>我</w:t>
      </w:r>
      <w:r>
        <w:rPr>
          <w:rFonts w:hint="eastAsia" w:ascii="宋体" w:hAnsi="宋体" w:eastAsia="宋体" w:cs="宋体"/>
          <w:kern w:val="0"/>
          <w:sz w:val="24"/>
          <w:szCs w:val="24"/>
          <w:lang w:val="en-US" w:eastAsia="zh-CN" w:bidi="ar"/>
        </w:rPr>
        <w:t>县（市、区）</w:t>
      </w:r>
      <w:r>
        <w:rPr>
          <w:rFonts w:hint="default" w:ascii="宋体" w:hAnsi="宋体" w:eastAsia="宋体" w:cs="宋体"/>
          <w:kern w:val="0"/>
          <w:sz w:val="24"/>
          <w:szCs w:val="24"/>
          <w:lang w:val="en-US" w:eastAsia="zh-CN" w:bidi="ar"/>
        </w:rPr>
        <w:t>实际，</w:t>
      </w:r>
      <w:r>
        <w:rPr>
          <w:rFonts w:hint="eastAsia" w:ascii="宋体" w:hAnsi="宋体" w:eastAsia="宋体" w:cs="宋体"/>
          <w:kern w:val="0"/>
          <w:sz w:val="24"/>
          <w:szCs w:val="24"/>
          <w:lang w:val="en-US" w:eastAsia="zh-CN" w:bidi="ar"/>
        </w:rPr>
        <w:t>起草了</w:t>
      </w:r>
      <w:r>
        <w:rPr>
          <w:rFonts w:hint="default"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龙岩市漳平生态环境局</w:t>
      </w:r>
      <w:r>
        <w:rPr>
          <w:rFonts w:hint="default" w:ascii="宋体" w:hAnsi="宋体" w:eastAsia="宋体" w:cs="宋体"/>
          <w:kern w:val="0"/>
          <w:sz w:val="24"/>
          <w:szCs w:val="24"/>
          <w:lang w:val="en-US" w:eastAsia="zh-CN" w:bidi="ar"/>
        </w:rPr>
        <w:t>包容审慎监管执法清单</w:t>
      </w:r>
      <w:r>
        <w:rPr>
          <w:rFonts w:hint="eastAsia" w:ascii="宋体" w:hAnsi="宋体" w:eastAsia="宋体" w:cs="宋体"/>
          <w:kern w:val="0"/>
          <w:sz w:val="24"/>
          <w:szCs w:val="24"/>
          <w:lang w:val="en-US" w:eastAsia="zh-CN" w:bidi="ar"/>
        </w:rPr>
        <w:t>（试行）</w:t>
      </w:r>
      <w:r>
        <w:rPr>
          <w:rFonts w:hint="default"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现面向社会各界公开征</w:t>
      </w:r>
      <w:r>
        <w:rPr>
          <w:rFonts w:hint="eastAsia" w:ascii="宋体" w:hAnsi="宋体" w:eastAsia="宋体" w:cs="宋体"/>
          <w:kern w:val="0"/>
          <w:sz w:val="24"/>
          <w:szCs w:val="24"/>
          <w:lang w:val="en-US" w:eastAsia="zh-CN" w:bidi="ar"/>
        </w:rPr>
        <w:t>求</w:t>
      </w:r>
      <w:r>
        <w:rPr>
          <w:rFonts w:ascii="宋体" w:hAnsi="宋体" w:eastAsia="宋体" w:cs="宋体"/>
          <w:kern w:val="0"/>
          <w:sz w:val="24"/>
          <w:szCs w:val="24"/>
          <w:lang w:val="en-US" w:eastAsia="zh-CN" w:bidi="ar"/>
        </w:rPr>
        <w:t>意见</w:t>
      </w:r>
      <w:r>
        <w:rPr>
          <w:rFonts w:hint="eastAsia" w:ascii="宋体" w:hAnsi="宋体" w:eastAsia="宋体" w:cs="宋体"/>
          <w:kern w:val="0"/>
          <w:sz w:val="24"/>
          <w:szCs w:val="24"/>
          <w:lang w:val="en-US" w:eastAsia="zh-CN" w:bidi="ar"/>
        </w:rPr>
        <w:t>建议</w:t>
      </w:r>
      <w:r>
        <w:rPr>
          <w:rFonts w:ascii="宋体" w:hAnsi="宋体" w:eastAsia="宋体" w:cs="宋体"/>
          <w:kern w:val="0"/>
          <w:sz w:val="24"/>
          <w:szCs w:val="24"/>
          <w:lang w:val="en-US" w:eastAsia="zh-CN" w:bidi="ar"/>
        </w:rPr>
        <w:t>。</w:t>
      </w:r>
    </w:p>
    <w:p w14:paraId="3DDAD15C">
      <w:pPr>
        <w:keepNext w:val="0"/>
        <w:keepLines w:val="0"/>
        <w:pageBreakBefore w:val="0"/>
        <w:widowControl/>
        <w:suppressLineNumbers w:val="0"/>
        <w:kinsoku/>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p>
    <w:p w14:paraId="2660E82C">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Calibri" w:hAnsi="Calibri" w:eastAsia="宋体" w:cs="Calibri"/>
          <w:szCs w:val="21"/>
        </w:rPr>
      </w:pPr>
      <w:r>
        <w:rPr>
          <w:rFonts w:ascii="宋体" w:hAnsi="宋体" w:eastAsia="宋体" w:cs="宋体"/>
          <w:b/>
          <w:kern w:val="0"/>
          <w:sz w:val="24"/>
          <w:szCs w:val="24"/>
          <w:lang w:val="en-US" w:eastAsia="zh-CN" w:bidi="ar"/>
        </w:rPr>
        <w:t>一、征</w:t>
      </w:r>
      <w:r>
        <w:rPr>
          <w:rFonts w:hint="eastAsia" w:ascii="宋体" w:hAnsi="宋体" w:eastAsia="宋体" w:cs="宋体"/>
          <w:b/>
          <w:kern w:val="0"/>
          <w:sz w:val="24"/>
          <w:szCs w:val="24"/>
          <w:lang w:val="en-US" w:eastAsia="zh-CN" w:bidi="ar"/>
        </w:rPr>
        <w:t>求</w:t>
      </w:r>
      <w:r>
        <w:rPr>
          <w:rFonts w:ascii="宋体" w:hAnsi="宋体" w:eastAsia="宋体" w:cs="宋体"/>
          <w:b/>
          <w:kern w:val="0"/>
          <w:sz w:val="24"/>
          <w:szCs w:val="24"/>
          <w:lang w:val="en-US" w:eastAsia="zh-CN" w:bidi="ar"/>
        </w:rPr>
        <w:t>时间</w:t>
      </w:r>
    </w:p>
    <w:p w14:paraId="2F30D813">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自本公告发布之日起至202</w:t>
      </w:r>
      <w:r>
        <w:rPr>
          <w:rFonts w:hint="eastAsia" w:ascii="宋体" w:hAnsi="宋体" w:eastAsia="宋体" w:cs="宋体"/>
          <w:kern w:val="0"/>
          <w:sz w:val="24"/>
          <w:szCs w:val="24"/>
          <w:lang w:val="en-US" w:eastAsia="zh-CN" w:bidi="ar"/>
        </w:rPr>
        <w:t>6</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lang w:val="en-US" w:eastAsia="zh-CN" w:bidi="ar"/>
        </w:rPr>
        <w:t>9</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highlight w:val="none"/>
          <w:lang w:val="en-US" w:eastAsia="zh-CN" w:bidi="ar"/>
        </w:rPr>
        <w:t>22</w:t>
      </w:r>
      <w:bookmarkStart w:id="0" w:name="_GoBack"/>
      <w:bookmarkEnd w:id="0"/>
      <w:r>
        <w:rPr>
          <w:rFonts w:ascii="宋体" w:hAnsi="宋体" w:eastAsia="宋体" w:cs="宋体"/>
          <w:kern w:val="0"/>
          <w:sz w:val="24"/>
          <w:szCs w:val="24"/>
          <w:lang w:val="en-US" w:eastAsia="zh-CN" w:bidi="ar"/>
        </w:rPr>
        <w:t>日。</w:t>
      </w:r>
    </w:p>
    <w:p w14:paraId="04CC7A69">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p>
    <w:p w14:paraId="6515A82F">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Calibri" w:hAnsi="Calibri" w:eastAsia="宋体" w:cs="Calibri"/>
          <w:szCs w:val="21"/>
        </w:rPr>
      </w:pPr>
      <w:r>
        <w:rPr>
          <w:rFonts w:ascii="宋体" w:hAnsi="宋体" w:eastAsia="宋体" w:cs="宋体"/>
          <w:b/>
          <w:kern w:val="0"/>
          <w:sz w:val="24"/>
          <w:szCs w:val="24"/>
          <w:lang w:val="en-US" w:eastAsia="zh-CN" w:bidi="ar"/>
        </w:rPr>
        <w:t>二、征</w:t>
      </w:r>
      <w:r>
        <w:rPr>
          <w:rFonts w:hint="eastAsia" w:ascii="宋体" w:hAnsi="宋体" w:eastAsia="宋体" w:cs="宋体"/>
          <w:b/>
          <w:kern w:val="0"/>
          <w:sz w:val="24"/>
          <w:szCs w:val="24"/>
          <w:lang w:val="en-US" w:eastAsia="zh-CN" w:bidi="ar"/>
        </w:rPr>
        <w:t>求</w:t>
      </w:r>
      <w:r>
        <w:rPr>
          <w:rFonts w:ascii="宋体" w:hAnsi="宋体" w:eastAsia="宋体" w:cs="宋体"/>
          <w:b/>
          <w:kern w:val="0"/>
          <w:sz w:val="24"/>
          <w:szCs w:val="24"/>
          <w:lang w:val="en-US" w:eastAsia="zh-CN" w:bidi="ar"/>
        </w:rPr>
        <w:t>范围</w:t>
      </w:r>
    </w:p>
    <w:p w14:paraId="135B53C9">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广大市民、企事业单位、行业协会、科研机构及社会各界人士。</w:t>
      </w:r>
    </w:p>
    <w:p w14:paraId="0339D3E9">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p>
    <w:p w14:paraId="4F9E8766">
      <w:pPr>
        <w:numPr>
          <w:ilvl w:val="0"/>
          <w:numId w:val="1"/>
        </w:numPr>
        <w:rPr>
          <w:rFonts w:hint="eastAsia" w:ascii="宋体" w:hAnsi="宋体" w:eastAsia="宋体" w:cs="宋体"/>
          <w:kern w:val="0"/>
          <w:sz w:val="24"/>
          <w:szCs w:val="24"/>
          <w:lang w:val="en-US" w:eastAsia="zh-CN" w:bidi="ar"/>
        </w:rPr>
      </w:pPr>
      <w:r>
        <w:rPr>
          <w:rFonts w:ascii="宋体" w:hAnsi="宋体" w:eastAsia="宋体" w:cs="宋体"/>
          <w:b/>
          <w:kern w:val="0"/>
          <w:sz w:val="24"/>
          <w:szCs w:val="24"/>
          <w:lang w:val="en-US" w:eastAsia="zh-CN" w:bidi="ar"/>
        </w:rPr>
        <w:t>征</w:t>
      </w:r>
      <w:r>
        <w:rPr>
          <w:rFonts w:hint="eastAsia" w:ascii="宋体" w:hAnsi="宋体" w:eastAsia="宋体" w:cs="宋体"/>
          <w:b/>
          <w:kern w:val="0"/>
          <w:sz w:val="24"/>
          <w:szCs w:val="24"/>
          <w:lang w:val="en-US" w:eastAsia="zh-CN" w:bidi="ar"/>
        </w:rPr>
        <w:t>求意见内容</w:t>
      </w:r>
    </w:p>
    <w:p w14:paraId="7DCC337A">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《龙岩市漳平</w:t>
      </w:r>
      <w:r>
        <w:rPr>
          <w:rFonts w:hint="default" w:ascii="宋体" w:hAnsi="宋体" w:eastAsia="宋体" w:cs="宋体"/>
          <w:kern w:val="0"/>
          <w:sz w:val="24"/>
          <w:szCs w:val="24"/>
          <w:lang w:val="en-US" w:eastAsia="zh-CN" w:bidi="ar"/>
        </w:rPr>
        <w:t>生态环境</w:t>
      </w:r>
      <w:r>
        <w:rPr>
          <w:rFonts w:hint="eastAsia" w:ascii="宋体" w:hAnsi="宋体" w:eastAsia="宋体" w:cs="宋体"/>
          <w:kern w:val="0"/>
          <w:sz w:val="24"/>
          <w:szCs w:val="24"/>
          <w:lang w:val="en-US" w:eastAsia="zh-CN" w:bidi="ar"/>
        </w:rPr>
        <w:t>局</w:t>
      </w:r>
      <w:r>
        <w:rPr>
          <w:rFonts w:hint="default" w:ascii="宋体" w:hAnsi="宋体" w:eastAsia="宋体" w:cs="宋体"/>
          <w:kern w:val="0"/>
          <w:sz w:val="24"/>
          <w:szCs w:val="24"/>
          <w:lang w:val="en-US" w:eastAsia="zh-CN" w:bidi="ar"/>
        </w:rPr>
        <w:t>包容审慎监管执法清单</w:t>
      </w:r>
      <w:r>
        <w:rPr>
          <w:rFonts w:hint="eastAsia" w:ascii="宋体" w:hAnsi="宋体" w:eastAsia="宋体" w:cs="宋体"/>
          <w:kern w:val="0"/>
          <w:sz w:val="24"/>
          <w:szCs w:val="24"/>
          <w:lang w:val="en-US" w:eastAsia="zh-CN" w:bidi="ar"/>
        </w:rPr>
        <w:t>（试行）》全文（见附件）。</w:t>
      </w:r>
    </w:p>
    <w:p w14:paraId="5259F3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jc w:val="left"/>
        <w:textAlignment w:val="auto"/>
        <w:rPr>
          <w:rFonts w:ascii="Calibri" w:hAnsi="Calibri" w:eastAsia="宋体" w:cs="Calibri"/>
          <w:color w:val="1F2329"/>
          <w:sz w:val="24"/>
          <w:szCs w:val="24"/>
        </w:rPr>
      </w:pPr>
    </w:p>
    <w:p w14:paraId="5407E9DD">
      <w:pPr>
        <w:keepNext w:val="0"/>
        <w:keepLines w:val="0"/>
        <w:pageBreakBefore w:val="0"/>
        <w:widowControl/>
        <w:numPr>
          <w:ilvl w:val="0"/>
          <w:numId w:val="2"/>
        </w:numPr>
        <w:suppressLineNumbers w:val="0"/>
        <w:kinsoku/>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r>
        <w:rPr>
          <w:rFonts w:ascii="宋体" w:hAnsi="宋体" w:eastAsia="宋体" w:cs="宋体"/>
          <w:b/>
          <w:kern w:val="0"/>
          <w:sz w:val="24"/>
          <w:szCs w:val="24"/>
          <w:lang w:val="en-US" w:eastAsia="zh-CN" w:bidi="ar"/>
        </w:rPr>
        <w:t>提交方式</w:t>
      </w:r>
    </w:p>
    <w:p w14:paraId="01BE514F">
      <w:pPr>
        <w:keepNext w:val="0"/>
        <w:keepLines w:val="0"/>
        <w:pageBreakBefore w:val="0"/>
        <w:widowControl/>
        <w:numPr>
          <w:ilvl w:val="0"/>
          <w:numId w:val="0"/>
        </w:numPr>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b/>
          <w:kern w:val="0"/>
          <w:sz w:val="24"/>
          <w:szCs w:val="24"/>
          <w:lang w:val="en-US" w:eastAsia="zh-CN" w:bidi="ar"/>
        </w:rPr>
        <w:t>请通过以下任一方式反馈（建议注明 “漳平生态环境</w:t>
      </w:r>
      <w:r>
        <w:rPr>
          <w:rFonts w:hint="default" w:ascii="宋体" w:hAnsi="宋体" w:eastAsia="宋体" w:cs="宋体"/>
          <w:b/>
          <w:kern w:val="0"/>
          <w:sz w:val="24"/>
          <w:szCs w:val="24"/>
          <w:lang w:val="en-US" w:eastAsia="zh-CN" w:bidi="ar"/>
        </w:rPr>
        <w:t>包容审慎监管执法清单</w:t>
      </w:r>
      <w:r>
        <w:rPr>
          <w:rFonts w:hint="eastAsia" w:ascii="宋体" w:hAnsi="宋体" w:eastAsia="宋体" w:cs="宋体"/>
          <w:b/>
          <w:kern w:val="0"/>
          <w:sz w:val="24"/>
          <w:szCs w:val="24"/>
          <w:lang w:val="en-US" w:eastAsia="zh-CN" w:bidi="ar"/>
        </w:rPr>
        <w:t>（试行）建议”）：</w:t>
      </w:r>
    </w:p>
    <w:p w14:paraId="754A1763">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highlight w:val="none"/>
          <w:lang w:val="en-US" w:eastAsia="zh-CN" w:bidi="ar"/>
        </w:rPr>
      </w:pPr>
      <w:r>
        <w:rPr>
          <w:rFonts w:ascii="宋体" w:hAnsi="宋体" w:eastAsia="宋体" w:cs="宋体"/>
          <w:kern w:val="0"/>
          <w:sz w:val="24"/>
          <w:szCs w:val="24"/>
          <w:lang w:val="en-US" w:eastAsia="zh-CN" w:bidi="ar"/>
        </w:rPr>
        <w:t>1. 电子邮箱：</w:t>
      </w:r>
      <w:r>
        <w:rPr>
          <w:rFonts w:hint="eastAsia" w:ascii="宋体" w:hAnsi="宋体" w:eastAsia="宋体" w:cs="宋体"/>
          <w:kern w:val="0"/>
          <w:sz w:val="24"/>
          <w:szCs w:val="24"/>
          <w:highlight w:val="none"/>
          <w:lang w:val="en-US" w:eastAsia="zh-CN" w:bidi="ar"/>
        </w:rPr>
        <w:t>zpstbgs@163.com</w:t>
      </w:r>
    </w:p>
    <w:p w14:paraId="3656DE20">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default"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2. 信函邮寄：</w:t>
      </w:r>
      <w:r>
        <w:rPr>
          <w:rFonts w:hint="eastAsia" w:ascii="宋体" w:hAnsi="宋体" w:eastAsia="宋体" w:cs="宋体"/>
          <w:kern w:val="0"/>
          <w:sz w:val="24"/>
          <w:szCs w:val="24"/>
          <w:lang w:val="en-US" w:eastAsia="zh-CN" w:bidi="ar"/>
        </w:rPr>
        <w:t>漳平市外环西路26号 龙岩市漳平生态环境局 综合股</w:t>
      </w:r>
    </w:p>
    <w:p w14:paraId="562F36AC">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3. </w:t>
      </w:r>
      <w:r>
        <w:rPr>
          <w:rFonts w:hint="eastAsia" w:ascii="宋体" w:hAnsi="宋体" w:eastAsia="宋体" w:cs="宋体"/>
          <w:kern w:val="0"/>
          <w:sz w:val="24"/>
          <w:szCs w:val="24"/>
          <w:lang w:val="en-US" w:eastAsia="zh-CN" w:bidi="ar"/>
        </w:rPr>
        <w:t>反馈</w:t>
      </w:r>
      <w:r>
        <w:rPr>
          <w:rFonts w:ascii="宋体" w:hAnsi="宋体" w:eastAsia="宋体" w:cs="宋体"/>
          <w:kern w:val="0"/>
          <w:sz w:val="24"/>
          <w:szCs w:val="24"/>
          <w:lang w:val="en-US" w:eastAsia="zh-CN" w:bidi="ar"/>
        </w:rPr>
        <w:t>电话：</w:t>
      </w:r>
      <w:r>
        <w:rPr>
          <w:rFonts w:hint="eastAsia" w:ascii="宋体" w:hAnsi="宋体" w:eastAsia="宋体" w:cs="宋体"/>
          <w:kern w:val="0"/>
          <w:sz w:val="24"/>
          <w:szCs w:val="24"/>
          <w:lang w:val="en-US" w:eastAsia="zh-CN" w:bidi="ar"/>
        </w:rPr>
        <w:t>0597-7538830 邱女士</w:t>
      </w:r>
    </w:p>
    <w:p w14:paraId="33E9901C">
      <w:pPr>
        <w:widowControl w:val="0"/>
        <w:ind w:left="1680"/>
        <w:jc w:val="both"/>
        <w:rPr>
          <w:rFonts w:hint="eastAsia" w:ascii="仿宋_GB2312" w:hAnsi="Calibri" w:eastAsia="仿宋_GB2312" w:cs="Calibri"/>
          <w:kern w:val="2"/>
          <w:sz w:val="32"/>
          <w:szCs w:val="32"/>
          <w:lang w:val="en-US" w:eastAsia="zh-CN" w:bidi="ar-SA"/>
        </w:rPr>
      </w:pPr>
    </w:p>
    <w:p w14:paraId="4760C4EA">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龙岩市漳平生态环境局</w:t>
      </w:r>
    </w:p>
    <w:p w14:paraId="0B2FB729">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2026年9月</w:t>
      </w:r>
      <w:r>
        <w:rPr>
          <w:rFonts w:hint="eastAsia" w:ascii="宋体" w:hAnsi="宋体" w:eastAsia="宋体" w:cs="宋体"/>
          <w:kern w:val="0"/>
          <w:sz w:val="24"/>
          <w:szCs w:val="24"/>
          <w:highlight w:val="none"/>
          <w:lang w:val="en-US" w:eastAsia="zh-CN" w:bidi="ar"/>
        </w:rPr>
        <w:t>14日</w:t>
      </w:r>
    </w:p>
    <w:p w14:paraId="7192670F">
      <w:pPr>
        <w:rPr>
          <w:rFonts w:hint="default" w:ascii="Times New Roman" w:hAnsi="Times New Roman" w:eastAsia="仿宋_GB2312" w:cs="Times New Roman"/>
          <w:spacing w:val="10"/>
          <w:sz w:val="32"/>
          <w:szCs w:val="32"/>
          <w:highlight w:val="none"/>
          <w:lang w:eastAsia="zh-CN"/>
        </w:rPr>
        <w:sectPr>
          <w:footerReference r:id="rId3" w:type="default"/>
          <w:pgSz w:w="11906" w:h="16838"/>
          <w:pgMar w:top="1985" w:right="1474" w:bottom="1644" w:left="1474" w:header="851" w:footer="1417" w:gutter="0"/>
          <w:pgBorders>
            <w:top w:val="none" w:sz="0" w:space="0"/>
            <w:left w:val="none" w:sz="0" w:space="0"/>
            <w:bottom w:val="none" w:sz="0" w:space="0"/>
            <w:right w:val="none" w:sz="0" w:space="0"/>
          </w:pgBorders>
          <w:pgNumType w:fmt="decimal"/>
          <w:cols w:space="0" w:num="1"/>
          <w:docGrid w:type="linesAndChars" w:linePitch="315" w:charSpace="0"/>
        </w:sectPr>
      </w:pPr>
    </w:p>
    <w:p w14:paraId="3C65483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b w:val="0"/>
          <w:bCs w:val="0"/>
          <w:sz w:val="32"/>
          <w:szCs w:val="32"/>
          <w:highlight w:val="none"/>
          <w:lang w:eastAsia="zh-CN"/>
        </w:rPr>
      </w:pPr>
      <w:r>
        <w:rPr>
          <w:rFonts w:hint="default" w:ascii="Times New Roman" w:hAnsi="Times New Roman" w:eastAsia="黑体" w:cs="Times New Roman"/>
          <w:b w:val="0"/>
          <w:bCs w:val="0"/>
          <w:sz w:val="32"/>
          <w:szCs w:val="32"/>
          <w:highlight w:val="none"/>
          <w:lang w:eastAsia="zh-CN"/>
        </w:rPr>
        <w:t>附件</w:t>
      </w:r>
    </w:p>
    <w:p w14:paraId="431A57AB">
      <w:pPr>
        <w:keepNext w:val="0"/>
        <w:keepLines w:val="0"/>
        <w:pageBreakBefore w:val="0"/>
        <w:widowControl w:val="0"/>
        <w:kinsoku/>
        <w:wordWrap/>
        <w:overflowPunct/>
        <w:topLinePunct w:val="0"/>
        <w:autoSpaceDE/>
        <w:autoSpaceDN/>
        <w:bidi w:val="0"/>
        <w:adjustRightInd/>
        <w:snapToGrid/>
        <w:spacing w:line="700" w:lineRule="exact"/>
        <w:ind w:firstLine="2640" w:firstLineChars="600"/>
        <w:jc w:val="both"/>
        <w:textAlignment w:val="auto"/>
        <w:rPr>
          <w:rFonts w:hint="eastAsia" w:ascii="Times New Roman" w:hAnsi="Times New Roman" w:eastAsia="方正小标宋简体" w:cs="Times New Roman"/>
          <w:b w:val="0"/>
          <w:bCs w:val="0"/>
          <w:color w:val="000000"/>
          <w:sz w:val="44"/>
          <w:szCs w:val="44"/>
          <w:highlight w:val="none"/>
          <w:lang w:eastAsia="zh-CN"/>
        </w:rPr>
      </w:pPr>
      <w:r>
        <w:rPr>
          <w:rFonts w:hint="eastAsia" w:ascii="Times New Roman" w:hAnsi="Times New Roman" w:eastAsia="方正小标宋简体" w:cs="Times New Roman"/>
          <w:b w:val="0"/>
          <w:bCs w:val="0"/>
          <w:sz w:val="44"/>
          <w:szCs w:val="44"/>
          <w:highlight w:val="none"/>
          <w:lang w:eastAsia="zh-CN"/>
        </w:rPr>
        <w:t>龙岩市</w:t>
      </w:r>
      <w:r>
        <w:rPr>
          <w:rFonts w:hint="eastAsia" w:ascii="Times New Roman" w:hAnsi="Times New Roman" w:eastAsia="方正小标宋简体" w:cs="Times New Roman"/>
          <w:b w:val="0"/>
          <w:bCs w:val="0"/>
          <w:sz w:val="44"/>
          <w:szCs w:val="44"/>
          <w:highlight w:val="none"/>
          <w:lang w:val="en-US" w:eastAsia="zh-CN"/>
        </w:rPr>
        <w:t>漳平</w:t>
      </w:r>
      <w:r>
        <w:rPr>
          <w:rFonts w:hint="default" w:ascii="Times New Roman" w:hAnsi="Times New Roman" w:eastAsia="方正小标宋简体" w:cs="Times New Roman"/>
          <w:b w:val="0"/>
          <w:bCs w:val="0"/>
          <w:sz w:val="44"/>
          <w:szCs w:val="44"/>
          <w:highlight w:val="none"/>
        </w:rPr>
        <w:t>生态环境</w:t>
      </w:r>
      <w:r>
        <w:rPr>
          <w:rFonts w:hint="eastAsia" w:ascii="Times New Roman" w:hAnsi="Times New Roman" w:eastAsia="方正小标宋简体" w:cs="Times New Roman"/>
          <w:b w:val="0"/>
          <w:bCs w:val="0"/>
          <w:sz w:val="44"/>
          <w:szCs w:val="44"/>
          <w:highlight w:val="none"/>
          <w:lang w:eastAsia="zh-CN"/>
        </w:rPr>
        <w:t>局</w:t>
      </w:r>
      <w:r>
        <w:rPr>
          <w:rFonts w:hint="default" w:ascii="Times New Roman" w:hAnsi="Times New Roman" w:eastAsia="方正小标宋简体" w:cs="Times New Roman"/>
          <w:b w:val="0"/>
          <w:bCs w:val="0"/>
          <w:sz w:val="44"/>
          <w:szCs w:val="44"/>
          <w:highlight w:val="none"/>
        </w:rPr>
        <w:t>包容审慎监管执法清单</w:t>
      </w:r>
      <w:r>
        <w:rPr>
          <w:rFonts w:hint="eastAsia" w:ascii="Times New Roman" w:hAnsi="Times New Roman" w:eastAsia="方正小标宋简体" w:cs="Times New Roman"/>
          <w:b w:val="0"/>
          <w:bCs w:val="0"/>
          <w:sz w:val="44"/>
          <w:szCs w:val="44"/>
          <w:highlight w:val="none"/>
          <w:lang w:eastAsia="zh-CN"/>
        </w:rPr>
        <w:t>（试行）</w:t>
      </w:r>
    </w:p>
    <w:tbl>
      <w:tblPr>
        <w:tblStyle w:val="4"/>
        <w:tblW w:w="14831" w:type="dxa"/>
        <w:jc w:val="center"/>
        <w:shd w:val="clear" w:color="auto" w:fill="auto"/>
        <w:tblLayout w:type="fixed"/>
        <w:tblCellMar>
          <w:top w:w="15" w:type="dxa"/>
          <w:left w:w="15" w:type="dxa"/>
          <w:bottom w:w="15" w:type="dxa"/>
          <w:right w:w="15" w:type="dxa"/>
        </w:tblCellMar>
      </w:tblPr>
      <w:tblGrid>
        <w:gridCol w:w="675"/>
        <w:gridCol w:w="1650"/>
        <w:gridCol w:w="1200"/>
        <w:gridCol w:w="2397"/>
        <w:gridCol w:w="217"/>
        <w:gridCol w:w="8692"/>
      </w:tblGrid>
      <w:tr w14:paraId="7AAB94EF">
        <w:tblPrEx>
          <w:shd w:val="clear" w:color="auto" w:fill="auto"/>
          <w:tblCellMar>
            <w:top w:w="15" w:type="dxa"/>
            <w:left w:w="15" w:type="dxa"/>
            <w:bottom w:w="15" w:type="dxa"/>
            <w:right w:w="15" w:type="dxa"/>
          </w:tblCellMar>
        </w:tblPrEx>
        <w:trPr>
          <w:trHeight w:val="492" w:hRule="atLeast"/>
          <w:jc w:val="center"/>
        </w:trPr>
        <w:tc>
          <w:tcPr>
            <w:tcW w:w="14831" w:type="dxa"/>
            <w:gridSpan w:val="6"/>
            <w:tcBorders>
              <w:top w:val="nil"/>
              <w:left w:val="nil"/>
              <w:bottom w:val="nil"/>
              <w:right w:val="nil"/>
            </w:tcBorders>
            <w:shd w:val="clear" w:color="auto" w:fill="auto"/>
            <w:noWrap w:val="0"/>
            <w:vAlign w:val="center"/>
          </w:tcPr>
          <w:p w14:paraId="0CCC1A71">
            <w:pPr>
              <w:widowControl/>
              <w:snapToGrid w:val="0"/>
              <w:spacing w:line="300" w:lineRule="auto"/>
              <w:jc w:val="center"/>
              <w:textAlignment w:val="center"/>
              <w:rPr>
                <w:rFonts w:hint="default" w:ascii="Times New Roman" w:hAnsi="Times New Roman" w:eastAsia="黑体" w:cs="Times New Roman"/>
                <w:color w:val="auto"/>
                <w:sz w:val="32"/>
                <w:szCs w:val="32"/>
                <w:highlight w:val="none"/>
                <w:lang w:bidi="ar-SA"/>
              </w:rPr>
            </w:pPr>
            <w:r>
              <w:rPr>
                <w:rFonts w:hint="default" w:ascii="Times New Roman" w:hAnsi="Times New Roman" w:eastAsia="黑体" w:cs="Times New Roman"/>
                <w:color w:val="auto"/>
                <w:kern w:val="0"/>
                <w:sz w:val="32"/>
                <w:szCs w:val="32"/>
                <w:highlight w:val="none"/>
                <w:lang w:eastAsia="zh-CN" w:bidi="ar-SA"/>
              </w:rPr>
              <w:t>一、</w:t>
            </w:r>
            <w:r>
              <w:rPr>
                <w:rFonts w:hint="default" w:ascii="Times New Roman" w:hAnsi="Times New Roman" w:eastAsia="黑体" w:cs="Times New Roman"/>
                <w:color w:val="auto"/>
                <w:kern w:val="0"/>
                <w:sz w:val="32"/>
                <w:szCs w:val="32"/>
                <w:highlight w:val="none"/>
                <w:lang w:bidi="ar-SA"/>
              </w:rPr>
              <w:t>不予处罚事项清单</w:t>
            </w:r>
          </w:p>
        </w:tc>
      </w:tr>
      <w:tr w14:paraId="11AC3803">
        <w:tblPrEx>
          <w:shd w:val="clear" w:color="auto" w:fill="auto"/>
          <w:tblCellMar>
            <w:top w:w="15" w:type="dxa"/>
            <w:left w:w="15" w:type="dxa"/>
            <w:bottom w:w="15" w:type="dxa"/>
            <w:right w:w="15" w:type="dxa"/>
          </w:tblCellMar>
        </w:tblPrEx>
        <w:trPr>
          <w:trHeight w:val="521" w:hRule="atLeast"/>
          <w:jc w:val="center"/>
        </w:trPr>
        <w:tc>
          <w:tcPr>
            <w:tcW w:w="14831" w:type="dxa"/>
            <w:gridSpan w:val="6"/>
            <w:tcBorders>
              <w:top w:val="single" w:color="000000" w:sz="12" w:space="0"/>
              <w:left w:val="single" w:color="000000" w:sz="12" w:space="0"/>
              <w:bottom w:val="single" w:color="000000" w:sz="4" w:space="0"/>
              <w:right w:val="single" w:color="000000" w:sz="12" w:space="0"/>
            </w:tcBorders>
            <w:shd w:val="clear" w:color="auto" w:fill="auto"/>
            <w:noWrap w:val="0"/>
            <w:vAlign w:val="center"/>
          </w:tcPr>
          <w:p w14:paraId="2A2C7E53">
            <w:pPr>
              <w:widowControl/>
              <w:snapToGrid w:val="0"/>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lang w:eastAsia="zh-CN" w:bidi="ar-SA"/>
              </w:rPr>
              <w:t>（一）</w:t>
            </w:r>
            <w:r>
              <w:rPr>
                <w:rFonts w:hint="default" w:ascii="Times New Roman" w:hAnsi="Times New Roman" w:eastAsia="黑体" w:cs="Times New Roman"/>
                <w:color w:val="auto"/>
                <w:sz w:val="24"/>
                <w:szCs w:val="24"/>
                <w:highlight w:val="none"/>
                <w:lang w:bidi="ar-SA"/>
              </w:rPr>
              <w:t>下列违法行为轻微并及时改正，没有造成危害后果的，不予行政处罚</w:t>
            </w:r>
          </w:p>
        </w:tc>
      </w:tr>
      <w:tr w14:paraId="2043851A">
        <w:tblPrEx>
          <w:shd w:val="clear" w:color="auto" w:fill="auto"/>
          <w:tblCellMar>
            <w:top w:w="15" w:type="dxa"/>
            <w:left w:w="15" w:type="dxa"/>
            <w:bottom w:w="15" w:type="dxa"/>
            <w:right w:w="15" w:type="dxa"/>
          </w:tblCellMar>
        </w:tblPrEx>
        <w:trPr>
          <w:trHeight w:val="395"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3E4C0604">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序号</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6C752">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行政处罚事项</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AA62877">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rPr>
              <w:t>实施机关</w:t>
            </w:r>
          </w:p>
        </w:tc>
        <w:tc>
          <w:tcPr>
            <w:tcW w:w="2397"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D128662">
            <w:pPr>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不予处罚适用条件</w:t>
            </w:r>
          </w:p>
        </w:tc>
        <w:tc>
          <w:tcPr>
            <w:tcW w:w="8909" w:type="dxa"/>
            <w:gridSpan w:val="2"/>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1A6EF36C">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法律依据</w:t>
            </w:r>
          </w:p>
        </w:tc>
      </w:tr>
      <w:tr w14:paraId="7DFEBD07">
        <w:tblPrEx>
          <w:shd w:val="clear" w:color="auto" w:fill="auto"/>
          <w:tblCellMar>
            <w:top w:w="15" w:type="dxa"/>
            <w:left w:w="15" w:type="dxa"/>
            <w:bottom w:w="15" w:type="dxa"/>
            <w:right w:w="15" w:type="dxa"/>
          </w:tblCellMar>
        </w:tblPrEx>
        <w:trPr>
          <w:trHeight w:val="4922" w:hRule="exac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70CB6FB7">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bidi="ar-SA"/>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55E40">
            <w:pPr>
              <w:snapToGrid w:val="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对未按照排污许可证规定公开或者不如实公开污染物排放信息的处罚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5A73D9B">
            <w:pPr>
              <w:snapToGrid w:val="0"/>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397"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281BE95">
            <w:pPr>
              <w:snapToGrid w:val="0"/>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未按照排污许可证规定公开或者不如实公开污染物排放信息的，</w:t>
            </w:r>
            <w:r>
              <w:rPr>
                <w:rFonts w:hint="default" w:ascii="Times New Roman" w:hAnsi="Times New Roman" w:eastAsia="仿宋_GB2312" w:cs="Times New Roman"/>
                <w:color w:val="auto"/>
                <w:sz w:val="24"/>
                <w:szCs w:val="24"/>
                <w:highlight w:val="none"/>
                <w:lang w:val="en-US" w:eastAsia="zh-CN"/>
              </w:rPr>
              <w:t>并</w:t>
            </w:r>
            <w:r>
              <w:rPr>
                <w:rFonts w:hint="default" w:ascii="Times New Roman" w:hAnsi="Times New Roman" w:eastAsia="仿宋_GB2312" w:cs="Times New Roman"/>
                <w:color w:val="auto"/>
                <w:sz w:val="24"/>
                <w:szCs w:val="24"/>
                <w:highlight w:val="none"/>
                <w:lang w:eastAsia="zh-CN"/>
              </w:rPr>
              <w:t>在</w:t>
            </w:r>
            <w:r>
              <w:rPr>
                <w:rFonts w:hint="default" w:ascii="Times New Roman" w:hAnsi="Times New Roman" w:eastAsia="仿宋_GB2312" w:cs="Times New Roman"/>
                <w:color w:val="auto"/>
                <w:sz w:val="24"/>
                <w:szCs w:val="24"/>
                <w:highlight w:val="none"/>
              </w:rPr>
              <w:t>5个工作日内</w:t>
            </w:r>
            <w:r>
              <w:rPr>
                <w:rFonts w:hint="default" w:ascii="Times New Roman" w:hAnsi="Times New Roman" w:eastAsia="仿宋_GB2312" w:cs="Times New Roman"/>
                <w:color w:val="auto"/>
                <w:sz w:val="24"/>
                <w:szCs w:val="24"/>
                <w:highlight w:val="none"/>
                <w:lang w:eastAsia="zh-CN"/>
              </w:rPr>
              <w:t>改正</w:t>
            </w:r>
            <w:r>
              <w:rPr>
                <w:rFonts w:hint="default" w:ascii="Times New Roman" w:hAnsi="Times New Roman" w:eastAsia="仿宋_GB2312" w:cs="Times New Roman"/>
                <w:color w:val="auto"/>
                <w:sz w:val="24"/>
                <w:szCs w:val="24"/>
                <w:highlight w:val="none"/>
              </w:rPr>
              <w:t>的。</w:t>
            </w:r>
            <w:r>
              <w:rPr>
                <w:rFonts w:hint="default" w:ascii="Times New Roman" w:hAnsi="Times New Roman" w:eastAsia="仿宋_GB2312" w:cs="Times New Roman"/>
                <w:color w:val="auto"/>
                <w:sz w:val="24"/>
                <w:szCs w:val="24"/>
                <w:highlight w:val="none"/>
                <w:lang w:bidi="ar-SA"/>
              </w:rPr>
              <w:t>（公开内容弄虚作假行为除外）</w:t>
            </w:r>
          </w:p>
        </w:tc>
        <w:tc>
          <w:tcPr>
            <w:tcW w:w="8909" w:type="dxa"/>
            <w:gridSpan w:val="2"/>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323F620E">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20" w:lineRule="exact"/>
              <w:ind w:left="0" w:firstLine="480" w:firstLineChars="200"/>
              <w:jc w:val="both"/>
              <w:textAlignment w:val="center"/>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《中华人民共和国生态环境法典》</w:t>
            </w:r>
          </w:p>
          <w:p w14:paraId="1C961C52">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20" w:lineRule="exact"/>
              <w:ind w:left="0" w:firstLine="480" w:firstLineChars="200"/>
              <w:jc w:val="both"/>
              <w:textAlignment w:val="center"/>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第一百八十五条　实行排污许可管理的企业事业单位和其他生产经营者应当按照规定向社会公开污染物排放种类、排放浓度和排放量，以及污染防治设施的建设运行情况、自行监测数据等污染物排放信息，接受社会监督。</w:t>
            </w:r>
          </w:p>
          <w:p w14:paraId="6409DCEC">
            <w:pPr>
              <w:snapToGrid w:val="0"/>
              <w:ind w:firstLine="480" w:firstLineChars="200"/>
              <w:jc w:val="both"/>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第一千一百一十条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tc>
      </w:tr>
      <w:tr w14:paraId="58687150">
        <w:tblPrEx>
          <w:shd w:val="clear" w:color="auto" w:fill="auto"/>
          <w:tblCellMar>
            <w:top w:w="15" w:type="dxa"/>
            <w:left w:w="15" w:type="dxa"/>
            <w:bottom w:w="15" w:type="dxa"/>
            <w:right w:w="15" w:type="dxa"/>
          </w:tblCellMar>
        </w:tblPrEx>
        <w:trPr>
          <w:trHeight w:val="3948" w:hRule="exac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4C762366">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bidi="ar-SA"/>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C1BB2">
            <w:pP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rPr>
              <w:t>对生产、销售、使用放射性同位素与射线装置的单位未按规定时间报送安全和防护状况年度评估报告的处罚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C6E132">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3F5A1D">
            <w:pPr>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未按规定时间报送安全和防护状况年度评估报告，逾期时间不超过30日，</w:t>
            </w:r>
            <w:r>
              <w:rPr>
                <w:rFonts w:hint="default" w:ascii="Times New Roman" w:hAnsi="Times New Roman" w:eastAsia="仿宋_GB2312" w:cs="Times New Roman"/>
                <w:color w:val="auto"/>
                <w:sz w:val="24"/>
                <w:szCs w:val="24"/>
                <w:highlight w:val="none"/>
                <w:lang w:val="en-US" w:eastAsia="zh-CN"/>
              </w:rPr>
              <w:t>并</w:t>
            </w:r>
            <w:r>
              <w:rPr>
                <w:rFonts w:hint="default" w:ascii="Times New Roman" w:hAnsi="Times New Roman" w:eastAsia="仿宋_GB2312" w:cs="Times New Roman"/>
                <w:color w:val="auto"/>
                <w:sz w:val="24"/>
                <w:szCs w:val="24"/>
                <w:highlight w:val="none"/>
              </w:rPr>
              <w:t>自责令改正书下达之日起5个工作日内完成整改的。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45F33E11">
            <w:pPr>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《放射性同位素与射线装置安全和防护管理办法》</w:t>
            </w:r>
          </w:p>
          <w:p w14:paraId="2CA96C3C">
            <w:pPr>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第十二条</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生产、销售、使用放射性同位素与射线装置的单位，应当对本单位的放射性同位素与射线装置的安全和防护状况进行年度评估，并于每年1月31日前向发证机关提交上一年度的评估报告。</w:t>
            </w:r>
          </w:p>
          <w:p w14:paraId="0C5FAE9C">
            <w:pPr>
              <w:ind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第五十五条</w:t>
            </w:r>
            <w:r>
              <w:rPr>
                <w:rFonts w:hint="default" w:ascii="Times New Roman" w:hAnsi="Times New Roman" w:eastAsia="仿宋_GB2312" w:cs="Times New Roman"/>
                <w:color w:val="auto"/>
                <w:sz w:val="24"/>
                <w:szCs w:val="24"/>
                <w:highlight w:val="none"/>
                <w:lang w:eastAsia="zh-CN"/>
              </w:rPr>
              <w:t>第二项</w:t>
            </w:r>
            <w:r>
              <w:rPr>
                <w:rFonts w:hint="default" w:ascii="Times New Roman" w:hAnsi="Times New Roman" w:eastAsia="仿宋_GB2312" w:cs="Times New Roman"/>
                <w:color w:val="auto"/>
                <w:sz w:val="24"/>
                <w:szCs w:val="24"/>
                <w:highlight w:val="none"/>
              </w:rPr>
              <w:t xml:space="preserve"> 违反本办法规定，生产、销售、使用放射性同位素与射线装置的单位有下列行为之一的，由原辐射安全许可证发证机关给予警告，责令限期改正；逾期不改正的，处一万元以上三万元以下的罚款：</w:t>
            </w:r>
          </w:p>
          <w:p w14:paraId="0CDAB4F3">
            <w:pPr>
              <w:snapToGrid w:val="0"/>
              <w:ind w:firstLine="480" w:firstLineChars="20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rPr>
              <w:t>（二）未按规定时间报送安全和防护状况年度评估报告的；</w:t>
            </w:r>
          </w:p>
        </w:tc>
      </w:tr>
      <w:tr w14:paraId="3875CB5F">
        <w:tblPrEx>
          <w:shd w:val="clear" w:color="auto" w:fill="auto"/>
          <w:tblCellMar>
            <w:top w:w="15" w:type="dxa"/>
            <w:left w:w="15" w:type="dxa"/>
            <w:bottom w:w="15" w:type="dxa"/>
            <w:right w:w="15" w:type="dxa"/>
          </w:tblCellMar>
        </w:tblPrEx>
        <w:trPr>
          <w:trHeight w:val="421" w:hRule="atLeast"/>
          <w:jc w:val="center"/>
        </w:trPr>
        <w:tc>
          <w:tcPr>
            <w:tcW w:w="14831" w:type="dxa"/>
            <w:gridSpan w:val="6"/>
            <w:tcBorders>
              <w:top w:val="single" w:color="000000" w:sz="12" w:space="0"/>
              <w:left w:val="single" w:color="000000" w:sz="12" w:space="0"/>
              <w:bottom w:val="single" w:color="000000" w:sz="4" w:space="0"/>
              <w:right w:val="single" w:color="000000" w:sz="12" w:space="0"/>
            </w:tcBorders>
            <w:shd w:val="clear" w:color="auto" w:fill="auto"/>
            <w:noWrap w:val="0"/>
            <w:vAlign w:val="center"/>
          </w:tcPr>
          <w:p w14:paraId="499F6335">
            <w:pPr>
              <w:widowControl/>
              <w:snapToGrid w:val="0"/>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lang w:eastAsia="zh-CN" w:bidi="ar-SA"/>
              </w:rPr>
              <w:t>（二）</w:t>
            </w:r>
            <w:r>
              <w:rPr>
                <w:rFonts w:hint="default" w:ascii="Times New Roman" w:hAnsi="Times New Roman" w:eastAsia="黑体" w:cs="Times New Roman"/>
                <w:color w:val="auto"/>
                <w:sz w:val="24"/>
                <w:szCs w:val="24"/>
                <w:highlight w:val="none"/>
                <w:lang w:bidi="ar-SA"/>
              </w:rPr>
              <w:t>下列违法行为初次违法且危害后果轻微并及时改正的，不予行政处罚</w:t>
            </w:r>
          </w:p>
        </w:tc>
      </w:tr>
      <w:tr w14:paraId="582DE841">
        <w:tblPrEx>
          <w:shd w:val="clear" w:color="auto" w:fill="auto"/>
          <w:tblCellMar>
            <w:top w:w="15" w:type="dxa"/>
            <w:left w:w="15" w:type="dxa"/>
            <w:bottom w:w="15" w:type="dxa"/>
            <w:right w:w="15" w:type="dxa"/>
          </w:tblCellMar>
        </w:tblPrEx>
        <w:trPr>
          <w:trHeight w:val="418"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0FA42577">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序号</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F7B5F">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行政处罚事项</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BC70020">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rPr>
              <w:t>实施机关</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F3C35D7">
            <w:pPr>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不予处罚适用条件</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17047132">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法律依据</w:t>
            </w:r>
          </w:p>
        </w:tc>
      </w:tr>
      <w:tr w14:paraId="1E61B14C">
        <w:tblPrEx>
          <w:shd w:val="clear" w:color="auto" w:fill="auto"/>
          <w:tblCellMar>
            <w:top w:w="15" w:type="dxa"/>
            <w:left w:w="15" w:type="dxa"/>
            <w:bottom w:w="15" w:type="dxa"/>
            <w:right w:w="15" w:type="dxa"/>
          </w:tblCellMar>
        </w:tblPrEx>
        <w:trPr>
          <w:trHeight w:val="2072"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34D66829">
            <w:pPr>
              <w:snapToGrid w:val="0"/>
              <w:jc w:val="cente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val="en-US" w:eastAsia="zh-CN" w:bidi="ar-SA"/>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1BD0B">
            <w:pPr>
              <w:snapToGrid w:val="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对未依法备案建设项目环境影响登记表</w:t>
            </w:r>
            <w:r>
              <w:rPr>
                <w:rFonts w:hint="default" w:ascii="Times New Roman" w:hAnsi="Times New Roman" w:eastAsia="仿宋_GB2312" w:cs="Times New Roman"/>
                <w:color w:val="auto"/>
                <w:sz w:val="24"/>
                <w:szCs w:val="24"/>
                <w:highlight w:val="none"/>
                <w:lang w:eastAsia="zh-CN" w:bidi="ar-SA"/>
              </w:rPr>
              <w:t>行为</w:t>
            </w:r>
            <w:r>
              <w:rPr>
                <w:rFonts w:hint="default" w:ascii="Times New Roman" w:hAnsi="Times New Roman" w:eastAsia="仿宋_GB2312" w:cs="Times New Roman"/>
                <w:color w:val="auto"/>
                <w:sz w:val="24"/>
                <w:szCs w:val="24"/>
                <w:highlight w:val="none"/>
                <w:lang w:bidi="ar-SA"/>
              </w:rPr>
              <w:t>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145D50F">
            <w:pPr>
              <w:snapToGrid w:val="0"/>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4B7D84">
            <w:pPr>
              <w:snapToGrid w:val="0"/>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val="en-US" w:eastAsia="zh-CN" w:bidi="ar-SA"/>
              </w:rPr>
              <w:t>初次违法</w:t>
            </w:r>
            <w:r>
              <w:rPr>
                <w:rFonts w:hint="default" w:ascii="Times New Roman" w:hAnsi="Times New Roman" w:eastAsia="仿宋_GB2312" w:cs="Times New Roman"/>
                <w:color w:val="auto"/>
                <w:sz w:val="24"/>
                <w:szCs w:val="24"/>
                <w:highlight w:val="none"/>
                <w:lang w:bidi="ar-SA"/>
              </w:rPr>
              <w:t>，建设单位在责令改正书下达前主动实施关停、停止建设或者停止生产，并自责令改正书下达之日起5个工作日内完成整改备案的。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38FC2BA4">
            <w:pPr>
              <w:keepNext w:val="0"/>
              <w:keepLines w:val="0"/>
              <w:pageBreakBefore w:val="0"/>
              <w:widowControl w:val="0"/>
              <w:kinsoku/>
              <w:wordWrap/>
              <w:overflowPunct/>
              <w:topLinePunct w:val="0"/>
              <w:autoSpaceDE/>
              <w:autoSpaceDN/>
              <w:bidi w:val="0"/>
              <w:adjustRightInd/>
              <w:snapToGrid/>
              <w:spacing w:beforeAutospacing="0" w:afterAutospacing="0" w:line="320" w:lineRule="exact"/>
              <w:ind w:firstLine="480" w:firstLineChars="200"/>
              <w:jc w:val="both"/>
              <w:textAlignment w:val="auto"/>
              <w:rPr>
                <w:rFonts w:hint="default" w:ascii="Times New Roman" w:hAnsi="Times New Roman" w:eastAsia="仿宋_GB2312" w:cs="Times New Roman"/>
                <w:color w:val="auto"/>
                <w:sz w:val="24"/>
                <w:szCs w:val="24"/>
                <w:highlight w:val="none"/>
                <w:u w:val="none"/>
                <w:lang w:val="en-US" w:eastAsia="zh-CN" w:bidi="ar-SA"/>
              </w:rPr>
            </w:pPr>
            <w:r>
              <w:rPr>
                <w:rFonts w:hint="default" w:ascii="Times New Roman" w:hAnsi="Times New Roman" w:eastAsia="仿宋_GB2312" w:cs="Times New Roman"/>
                <w:color w:val="auto"/>
                <w:sz w:val="24"/>
                <w:szCs w:val="24"/>
                <w:highlight w:val="none"/>
                <w:u w:val="none"/>
                <w:lang w:val="en-US" w:eastAsia="zh-CN" w:bidi="ar-SA"/>
              </w:rPr>
              <w:t>1.《中华人民共和国生态环境法典》</w:t>
            </w:r>
          </w:p>
          <w:p w14:paraId="62D4CAAF">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第一百零二条第</w:t>
            </w:r>
            <w:r>
              <w:rPr>
                <w:rFonts w:hint="default" w:ascii="Times New Roman" w:hAnsi="Times New Roman" w:eastAsia="仿宋_GB2312" w:cs="Times New Roman"/>
                <w:color w:val="auto"/>
                <w:sz w:val="24"/>
                <w:szCs w:val="24"/>
                <w:highlight w:val="none"/>
                <w:lang w:val="en-US" w:eastAsia="zh-CN" w:bidi="ar-SA"/>
              </w:rPr>
              <w:t>三</w:t>
            </w:r>
            <w:r>
              <w:rPr>
                <w:rFonts w:hint="default" w:ascii="Times New Roman" w:hAnsi="Times New Roman" w:eastAsia="仿宋_GB2312" w:cs="Times New Roman"/>
                <w:color w:val="auto"/>
                <w:sz w:val="24"/>
                <w:szCs w:val="24"/>
                <w:highlight w:val="none"/>
                <w:lang w:bidi="ar-SA"/>
              </w:rPr>
              <w:t>款  国家对生态环境影响登记表实行备案管理。</w:t>
            </w:r>
          </w:p>
          <w:p w14:paraId="23927BB0">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第一千零九十五条第三款、第四款　违反本法规定，建设单位未依法将建设项目生态环境影响登记表报生态环境主管部门备案的，由生态环境主管部门责令改正，可以处五万元以下的罚款。</w:t>
            </w:r>
          </w:p>
          <w:p w14:paraId="20D6012F">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违反本法规定，核设施选址、建造、运行、退役和核技术、铀（钍）矿、伴生放射性矿开发利用中有第一款至第三款规定的违法情形的，适用第一款至第三款的规定予以处罚。</w:t>
            </w:r>
          </w:p>
          <w:p w14:paraId="3386AF2E">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2.《建设项目环境保护管理条例》（2017修订）</w:t>
            </w:r>
          </w:p>
          <w:p w14:paraId="541B8521">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第九条第四款 依法应当填报环境影响登记表的建设项目，建设单位应当按照国务院环境保护行政主管部门的规定将环境影响登记表报建设项目所在地县级环境保护行政主管部门备案。</w:t>
            </w:r>
          </w:p>
          <w:p w14:paraId="2A1989A8">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3.《建设项目环境影响登记表备案管理办法》</w:t>
            </w:r>
          </w:p>
          <w:p w14:paraId="2D04AB9F">
            <w:pPr>
              <w:snapToGrid w:val="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第九条 建设单位应当在建设项目建成并投入生产运营前，登录网上备案系统, 在网上备案系统注册真实信息，在线填报并提交建设项目环境影响登记表。</w:t>
            </w:r>
          </w:p>
        </w:tc>
      </w:tr>
      <w:tr w14:paraId="17524D86">
        <w:tblPrEx>
          <w:shd w:val="clear" w:color="auto" w:fill="auto"/>
          <w:tblCellMar>
            <w:top w:w="15" w:type="dxa"/>
            <w:left w:w="15" w:type="dxa"/>
            <w:bottom w:w="15" w:type="dxa"/>
            <w:right w:w="15" w:type="dxa"/>
          </w:tblCellMar>
        </w:tblPrEx>
        <w:trPr>
          <w:trHeight w:val="90"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5FDCE2AB">
            <w:pPr>
              <w:snapToGrid w:val="0"/>
              <w:jc w:val="center"/>
              <w:rPr>
                <w:rFonts w:hint="default" w:ascii="Times New Roman" w:hAnsi="Times New Roman" w:eastAsia="仿宋_GB2312" w:cs="Times New Roman"/>
                <w:color w:val="auto"/>
                <w:sz w:val="24"/>
                <w:szCs w:val="24"/>
                <w:highlight w:val="none"/>
                <w:lang w:bidi="ar-SA"/>
              </w:rPr>
            </w:pPr>
            <w:r>
              <w:rPr>
                <w:rFonts w:hint="eastAsia" w:ascii="Times New Roman" w:hAnsi="Times New Roman" w:eastAsia="仿宋_GB2312" w:cs="Times New Roman"/>
                <w:color w:val="auto"/>
                <w:sz w:val="24"/>
                <w:szCs w:val="24"/>
                <w:highlight w:val="none"/>
                <w:lang w:val="en-US" w:eastAsia="zh-CN" w:bidi="ar-SA"/>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66E58">
            <w:pP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rPr>
              <w:t>对建设单位未将环境保护设施建设纳入施工合同的处罚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56995DD">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5B08B69">
            <w:pPr>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rPr>
              <w:t>初次违法，建设项目尚处于初步设计阶段，且</w:t>
            </w:r>
            <w:r>
              <w:rPr>
                <w:rFonts w:hint="default" w:ascii="Times New Roman" w:hAnsi="Times New Roman" w:eastAsia="仿宋_GB2312" w:cs="Times New Roman"/>
                <w:color w:val="auto"/>
                <w:sz w:val="24"/>
                <w:szCs w:val="24"/>
                <w:highlight w:val="none"/>
                <w:lang w:val="en-US" w:eastAsia="zh-CN"/>
              </w:rPr>
              <w:t>建设单位</w:t>
            </w:r>
            <w:r>
              <w:rPr>
                <w:rFonts w:hint="default" w:ascii="Times New Roman" w:hAnsi="Times New Roman" w:eastAsia="仿宋_GB2312" w:cs="Times New Roman"/>
                <w:color w:val="auto"/>
                <w:sz w:val="24"/>
                <w:szCs w:val="24"/>
                <w:highlight w:val="none"/>
              </w:rPr>
              <w:t>在责令改正书确定的改正期限内完成整改的。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56797B27">
            <w:pPr>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《建设项目环境保护管理条例》（2017</w:t>
            </w:r>
            <w:r>
              <w:rPr>
                <w:rFonts w:hint="eastAsia" w:ascii="Times New Roman" w:hAnsi="Times New Roman" w:eastAsia="仿宋_GB2312" w:cs="Times New Roman"/>
                <w:color w:val="auto"/>
                <w:sz w:val="24"/>
                <w:szCs w:val="24"/>
                <w:highlight w:val="none"/>
                <w:lang w:eastAsia="zh-CN"/>
              </w:rPr>
              <w:t>年</w:t>
            </w:r>
            <w:r>
              <w:rPr>
                <w:rFonts w:hint="default" w:ascii="Times New Roman" w:hAnsi="Times New Roman" w:eastAsia="仿宋_GB2312" w:cs="Times New Roman"/>
                <w:color w:val="auto"/>
                <w:sz w:val="24"/>
                <w:szCs w:val="24"/>
                <w:highlight w:val="none"/>
              </w:rPr>
              <w:t>修订）</w:t>
            </w:r>
          </w:p>
          <w:p w14:paraId="7B3A18D8">
            <w:pPr>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第十六条</w:t>
            </w:r>
            <w:r>
              <w:rPr>
                <w:rFonts w:hint="default" w:ascii="Times New Roman" w:hAnsi="Times New Roman" w:eastAsia="仿宋_GB2312" w:cs="Times New Roman"/>
                <w:color w:val="auto"/>
                <w:sz w:val="24"/>
                <w:szCs w:val="24"/>
                <w:highlight w:val="none"/>
                <w:lang w:eastAsia="zh-CN"/>
              </w:rPr>
              <w:t>第二款</w:t>
            </w:r>
            <w:r>
              <w:rPr>
                <w:rFonts w:hint="default" w:ascii="Times New Roman" w:hAnsi="Times New Roman" w:eastAsia="仿宋_GB2312" w:cs="Times New Roman"/>
                <w:color w:val="auto"/>
                <w:sz w:val="24"/>
                <w:szCs w:val="24"/>
                <w:highlight w:val="none"/>
              </w:rPr>
              <w:t xml:space="preserve">  建设单位应当将环境保护设施建设纳入施工合同，保证环境保护设施建设进度和资金，并在项目建设过程中同时组织实施环境影响报告书、环境影响报告表及其审批部门审批决定中提出的环境保护对策措施。</w:t>
            </w:r>
          </w:p>
          <w:p w14:paraId="51418DE5">
            <w:pPr>
              <w:snapToGrid w:val="0"/>
              <w:ind w:firstLine="480" w:firstLineChars="20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rPr>
              <w:t>第二十二条第一款 违反本条例规定，建设单位编制建设项目初步设计未落实防治环境污染和生态破坏的措施以及环境保护设施投资概算，未将环境保护设施建设纳入施工合同，或者未依法开展环境影响后评价的，由建设项目所在地县级以上环境保护行政主管部门责令限期改正，处5万元以上20万元以下的罚款；逾期不改正的，处20万元以上100万元以下的罚款。</w:t>
            </w:r>
          </w:p>
        </w:tc>
      </w:tr>
      <w:tr w14:paraId="5B7C6B42">
        <w:tblPrEx>
          <w:shd w:val="clear" w:color="auto" w:fill="auto"/>
          <w:tblCellMar>
            <w:top w:w="15" w:type="dxa"/>
            <w:left w:w="15" w:type="dxa"/>
            <w:bottom w:w="15" w:type="dxa"/>
            <w:right w:w="15" w:type="dxa"/>
          </w:tblCellMar>
        </w:tblPrEx>
        <w:trPr>
          <w:trHeight w:val="3348"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179B8592">
            <w:pPr>
              <w:snapToGrid w:val="0"/>
              <w:jc w:val="center"/>
              <w:rPr>
                <w:rFonts w:hint="default" w:ascii="Times New Roman" w:hAnsi="Times New Roman" w:eastAsia="仿宋_GB2312" w:cs="Times New Roman"/>
                <w:color w:val="auto"/>
                <w:sz w:val="24"/>
                <w:szCs w:val="24"/>
                <w:highlight w:val="none"/>
                <w:lang w:bidi="ar-SA"/>
              </w:rPr>
            </w:pPr>
            <w:r>
              <w:rPr>
                <w:rFonts w:hint="eastAsia" w:ascii="Times New Roman" w:hAnsi="Times New Roman" w:eastAsia="仿宋_GB2312" w:cs="Times New Roman"/>
                <w:color w:val="auto"/>
                <w:sz w:val="24"/>
                <w:szCs w:val="24"/>
                <w:highlight w:val="none"/>
                <w:lang w:val="en-US" w:eastAsia="zh-CN" w:bidi="ar-SA"/>
              </w:rPr>
              <w:t>3</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FBEBB">
            <w:pP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eastAsia="zh-CN"/>
              </w:rPr>
              <w:t>对建设单位未依法向社会公开环境保护设施验收报告的处罚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A9D50E1">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B5CA36C">
            <w:pPr>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初次违法，</w:t>
            </w:r>
            <w:r>
              <w:rPr>
                <w:rFonts w:hint="default" w:ascii="Times New Roman" w:hAnsi="Times New Roman" w:eastAsia="仿宋_GB2312" w:cs="Times New Roman"/>
                <w:color w:val="auto"/>
                <w:sz w:val="24"/>
                <w:szCs w:val="24"/>
                <w:highlight w:val="none"/>
                <w:lang w:val="en-US" w:eastAsia="zh-CN" w:bidi="ar-SA"/>
              </w:rPr>
              <w:t>建设项目环境保护设施已经验收合格，但其验收报告未依法公开的违法行为持续时间不超过3个月</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并</w:t>
            </w:r>
            <w:r>
              <w:rPr>
                <w:rFonts w:hint="default" w:ascii="Times New Roman" w:hAnsi="Times New Roman" w:eastAsia="仿宋_GB2312" w:cs="Times New Roman"/>
                <w:color w:val="auto"/>
                <w:sz w:val="24"/>
                <w:szCs w:val="24"/>
                <w:highlight w:val="none"/>
                <w:lang w:eastAsia="zh-CN"/>
              </w:rPr>
              <w:t>在</w:t>
            </w:r>
            <w:r>
              <w:rPr>
                <w:rFonts w:hint="default" w:ascii="Times New Roman" w:hAnsi="Times New Roman" w:eastAsia="仿宋_GB2312" w:cs="Times New Roman"/>
                <w:color w:val="auto"/>
                <w:sz w:val="24"/>
                <w:szCs w:val="24"/>
                <w:highlight w:val="none"/>
              </w:rPr>
              <w:t>5个工作日内</w:t>
            </w:r>
            <w:r>
              <w:rPr>
                <w:rFonts w:hint="default" w:ascii="Times New Roman" w:hAnsi="Times New Roman" w:eastAsia="仿宋_GB2312" w:cs="Times New Roman"/>
                <w:color w:val="auto"/>
                <w:sz w:val="24"/>
                <w:szCs w:val="24"/>
                <w:highlight w:val="none"/>
                <w:lang w:eastAsia="zh-CN"/>
              </w:rPr>
              <w:t>改正</w:t>
            </w:r>
            <w:r>
              <w:rPr>
                <w:rFonts w:hint="default" w:ascii="Times New Roman" w:hAnsi="Times New Roman" w:eastAsia="仿宋_GB2312" w:cs="Times New Roman"/>
                <w:color w:val="auto"/>
                <w:sz w:val="24"/>
                <w:szCs w:val="24"/>
                <w:highlight w:val="none"/>
              </w:rPr>
              <w:t>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650807D5">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rPr>
              <w:t>《建设项目环境保护管理条例》</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rPr>
              <w:t>2017年修订</w:t>
            </w:r>
            <w:r>
              <w:rPr>
                <w:rFonts w:hint="default" w:ascii="Times New Roman" w:hAnsi="Times New Roman" w:eastAsia="仿宋_GB2312" w:cs="Times New Roman"/>
                <w:color w:val="auto"/>
                <w:sz w:val="24"/>
                <w:szCs w:val="24"/>
                <w:highlight w:val="none"/>
                <w:lang w:eastAsia="zh-CN"/>
              </w:rPr>
              <w:t>）</w:t>
            </w:r>
          </w:p>
          <w:p w14:paraId="550AB891">
            <w:pPr>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第十七条第三款</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除按照国家规定需要保密的情形外，建设单位应当依法向社会公开验收报告。</w:t>
            </w:r>
          </w:p>
          <w:p w14:paraId="01554970">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rPr>
              <w:t>第二十三条第二款</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违反本条例规定，建设单位未依法向社会公开环境保护设施验收报告的，由县级以上环境保护行政主管部门责令公开，处5万元以上20万元以下的罚款，并予以公告。</w:t>
            </w:r>
          </w:p>
        </w:tc>
      </w:tr>
      <w:tr w14:paraId="2DAA2AEF">
        <w:tblPrEx>
          <w:shd w:val="clear" w:color="auto" w:fill="auto"/>
          <w:tblCellMar>
            <w:top w:w="15" w:type="dxa"/>
            <w:left w:w="15" w:type="dxa"/>
            <w:bottom w:w="15" w:type="dxa"/>
            <w:right w:w="15" w:type="dxa"/>
          </w:tblCellMar>
        </w:tblPrEx>
        <w:trPr>
          <w:trHeight w:val="7411"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2AADDA41">
            <w:pPr>
              <w:snapToGrid w:val="0"/>
              <w:jc w:val="cente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val="en-US" w:eastAsia="zh-CN" w:bidi="ar-SA"/>
              </w:rPr>
              <w:t>4</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F1B08">
            <w:pPr>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rPr>
              <w:t>对超过污染物排放标准排放大气</w:t>
            </w:r>
            <w:r>
              <w:rPr>
                <w:rFonts w:hint="default" w:ascii="Times New Roman" w:hAnsi="Times New Roman" w:eastAsia="仿宋_GB2312" w:cs="Times New Roman"/>
                <w:color w:val="auto"/>
                <w:sz w:val="24"/>
                <w:szCs w:val="24"/>
                <w:highlight w:val="none"/>
                <w:lang w:val="en-US" w:eastAsia="zh-CN"/>
              </w:rPr>
              <w:t>或水</w:t>
            </w:r>
            <w:r>
              <w:rPr>
                <w:rFonts w:hint="default" w:ascii="Times New Roman" w:hAnsi="Times New Roman" w:eastAsia="仿宋_GB2312" w:cs="Times New Roman"/>
                <w:color w:val="auto"/>
                <w:sz w:val="24"/>
                <w:szCs w:val="24"/>
                <w:highlight w:val="none"/>
                <w:lang w:eastAsia="zh-CN"/>
              </w:rPr>
              <w:t>污染物的处罚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58B741A">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EA99075">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val="en-US" w:eastAsia="zh-CN"/>
              </w:rPr>
              <w:t>1.</w:t>
            </w:r>
            <w:r>
              <w:rPr>
                <w:rFonts w:hint="default" w:ascii="Times New Roman" w:hAnsi="Times New Roman" w:eastAsia="仿宋_GB2312" w:cs="Times New Roman"/>
                <w:color w:val="auto"/>
                <w:sz w:val="24"/>
                <w:szCs w:val="24"/>
                <w:highlight w:val="none"/>
                <w:lang w:eastAsia="zh-CN"/>
              </w:rPr>
              <w:t>初次违法，超标排放大气污染物除有毒有害物质、放射性物质、重金属、持久性有机污染物之外，超标排放大气污染物（不含恶臭、机动车和非道路移动机械排放污染物、生活垃圾处理单位日均值和持久性有机污染物）仅有一项污染物超过规定排放标准且超标幅度不超过10%，自责令改正决定书下达次日内改正的。</w:t>
            </w:r>
          </w:p>
          <w:p w14:paraId="64E80142">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w:t>
            </w:r>
            <w:r>
              <w:rPr>
                <w:rFonts w:hint="default" w:ascii="Times New Roman" w:hAnsi="Times New Roman" w:eastAsia="仿宋_GB2312" w:cs="Times New Roman"/>
                <w:color w:val="auto"/>
                <w:sz w:val="24"/>
                <w:szCs w:val="24"/>
                <w:highlight w:val="none"/>
                <w:lang w:eastAsia="zh-CN"/>
              </w:rPr>
              <w:t>初次违法，超标排放水污染物除第一类污染物、有毒有害物质、放射性物质、重金属、持久性有机污染物之外，超标排放水污染物（不含色度）仅有一项污染物超过规定排放标准且超标幅度不超过10%，自责令改正决定书下达次日内改正的；pH值超标幅度在±0.5以内，自责令改正决定书下达10个工作日内改正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765CC51E">
            <w:pPr>
              <w:keepNext w:val="0"/>
              <w:keepLines w:val="0"/>
              <w:widowControl/>
              <w:suppressLineNumbers w:val="0"/>
              <w:ind w:firstLine="480" w:firstLineChars="200"/>
              <w:jc w:val="left"/>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《中华人民共和国生态环境法典》</w:t>
            </w:r>
          </w:p>
          <w:p w14:paraId="42D9796B">
            <w:pPr>
              <w:keepNext w:val="0"/>
              <w:keepLines w:val="0"/>
              <w:widowControl/>
              <w:suppressLineNumbers w:val="0"/>
              <w:ind w:firstLine="480" w:firstLineChars="200"/>
              <w:jc w:val="left"/>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第一百五十一条　排放污染物，应当符合污染物排放标准、重点污染物排放总量控制指标、排污许可管理和有关法律、法规、规章的要求。</w:t>
            </w:r>
          </w:p>
          <w:p w14:paraId="33157F21">
            <w:pPr>
              <w:keepNext w:val="0"/>
              <w:keepLines w:val="0"/>
              <w:widowControl/>
              <w:suppressLineNumbers w:val="0"/>
              <w:ind w:firstLine="480" w:firstLineChars="200"/>
              <w:jc w:val="left"/>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第一千一百零七条　违反本法规定，超过污染物排放标准或者超过重点污染物排放总量控制指标排放污染物的，由生态环境主管部门责令改正，处十万元以上一百万元以下的罚款，可以责令限制生产、停产整治。其中，污染物为工业噪声的，罚款数额为二万元以上二十万元以下。</w:t>
            </w:r>
          </w:p>
          <w:p w14:paraId="40C2FCEC">
            <w:pPr>
              <w:snapToGrid w:val="0"/>
              <w:jc w:val="center"/>
              <w:rPr>
                <w:rFonts w:hint="default" w:ascii="Times New Roman" w:hAnsi="Times New Roman" w:eastAsia="仿宋_GB2312" w:cs="Times New Roman"/>
                <w:strike w:val="0"/>
                <w:dstrike w:val="0"/>
                <w:color w:val="auto"/>
                <w:kern w:val="2"/>
                <w:sz w:val="24"/>
                <w:szCs w:val="24"/>
                <w:highlight w:val="none"/>
                <w:u w:val="none"/>
                <w:lang w:val="en-US" w:eastAsia="zh-CN" w:bidi="ar-SA"/>
              </w:rPr>
            </w:pPr>
          </w:p>
        </w:tc>
      </w:tr>
      <w:tr w14:paraId="6C1AA53A">
        <w:tblPrEx>
          <w:shd w:val="clear" w:color="auto" w:fill="auto"/>
          <w:tblCellMar>
            <w:top w:w="15" w:type="dxa"/>
            <w:left w:w="15" w:type="dxa"/>
            <w:bottom w:w="15" w:type="dxa"/>
            <w:right w:w="15" w:type="dxa"/>
          </w:tblCellMar>
        </w:tblPrEx>
        <w:trPr>
          <w:trHeight w:val="6294"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2C054491">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5</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309C5">
            <w:pP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rPr>
              <w:t>对企业超过噪声排放标准排放工业噪声的处罚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228F9E8">
            <w:pP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51BB768">
            <w:pPr>
              <w:ind w:firstLine="480" w:firstLineChars="200"/>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rPr>
              <w:t>初次违法，超标幅度在</w:t>
            </w:r>
            <w:r>
              <w:rPr>
                <w:rFonts w:hint="default" w:ascii="Times New Roman" w:hAnsi="Times New Roman" w:eastAsia="仿宋_GB2312" w:cs="Times New Roman"/>
                <w:color w:val="auto"/>
                <w:sz w:val="24"/>
                <w:szCs w:val="24"/>
                <w:highlight w:val="none"/>
                <w:lang w:val="en-US" w:eastAsia="zh-CN"/>
              </w:rPr>
              <w:t>3分贝以内（含本数）的</w:t>
            </w:r>
            <w:r>
              <w:rPr>
                <w:rFonts w:hint="default" w:ascii="Times New Roman" w:hAnsi="Times New Roman" w:eastAsia="仿宋_GB2312" w:cs="Times New Roman"/>
                <w:color w:val="auto"/>
                <w:sz w:val="22"/>
                <w:szCs w:val="22"/>
                <w:highlight w:val="none"/>
              </w:rPr>
              <w:t>，</w:t>
            </w:r>
            <w:r>
              <w:rPr>
                <w:rFonts w:hint="default" w:ascii="Times New Roman" w:hAnsi="Times New Roman" w:eastAsia="仿宋_GB2312" w:cs="Times New Roman"/>
                <w:color w:val="auto"/>
                <w:sz w:val="22"/>
                <w:szCs w:val="22"/>
                <w:highlight w:val="none"/>
                <w:lang w:val="en-US" w:eastAsia="zh-CN"/>
              </w:rPr>
              <w:t>并</w:t>
            </w:r>
            <w:r>
              <w:rPr>
                <w:rFonts w:hint="default" w:ascii="Times New Roman" w:hAnsi="Times New Roman" w:eastAsia="仿宋_GB2312" w:cs="Times New Roman"/>
                <w:color w:val="auto"/>
                <w:sz w:val="22"/>
                <w:szCs w:val="22"/>
                <w:highlight w:val="none"/>
                <w:lang w:eastAsia="zh-CN"/>
              </w:rPr>
              <w:t>在</w:t>
            </w:r>
            <w:r>
              <w:rPr>
                <w:rFonts w:hint="default" w:ascii="Times New Roman" w:hAnsi="Times New Roman" w:eastAsia="仿宋_GB2312" w:cs="Times New Roman"/>
                <w:color w:val="auto"/>
                <w:sz w:val="22"/>
                <w:szCs w:val="22"/>
                <w:highlight w:val="none"/>
                <w:lang w:val="en-US" w:eastAsia="zh-CN"/>
              </w:rPr>
              <w:t>3</w:t>
            </w:r>
            <w:r>
              <w:rPr>
                <w:rFonts w:hint="default" w:ascii="Times New Roman" w:hAnsi="Times New Roman" w:eastAsia="仿宋_GB2312" w:cs="Times New Roman"/>
                <w:color w:val="auto"/>
                <w:sz w:val="22"/>
                <w:szCs w:val="22"/>
                <w:highlight w:val="none"/>
              </w:rPr>
              <w:t>个工作日内</w:t>
            </w:r>
            <w:r>
              <w:rPr>
                <w:rFonts w:hint="default" w:ascii="Times New Roman" w:hAnsi="Times New Roman" w:eastAsia="仿宋_GB2312" w:cs="Times New Roman"/>
                <w:color w:val="auto"/>
                <w:sz w:val="22"/>
                <w:szCs w:val="22"/>
                <w:highlight w:val="none"/>
                <w:lang w:eastAsia="zh-CN"/>
              </w:rPr>
              <w:t>改正</w:t>
            </w:r>
            <w:r>
              <w:rPr>
                <w:rFonts w:hint="default" w:ascii="Times New Roman" w:hAnsi="Times New Roman" w:eastAsia="仿宋_GB2312" w:cs="Times New Roman"/>
                <w:color w:val="auto"/>
                <w:sz w:val="22"/>
                <w:szCs w:val="22"/>
                <w:highlight w:val="none"/>
              </w:rPr>
              <w:t>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0132B7BA">
            <w:pPr>
              <w:keepNext w:val="0"/>
              <w:keepLines w:val="0"/>
              <w:widowControl/>
              <w:suppressLineNumbers w:val="0"/>
              <w:ind w:firstLine="480" w:firstLineChars="200"/>
              <w:jc w:val="left"/>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《中华人民共和国生态环境法典》</w:t>
            </w:r>
          </w:p>
          <w:p w14:paraId="20340419">
            <w:pPr>
              <w:keepNext w:val="0"/>
              <w:keepLines w:val="0"/>
              <w:widowControl/>
              <w:suppressLineNumbers w:val="0"/>
              <w:ind w:firstLine="480" w:firstLineChars="200"/>
              <w:jc w:val="left"/>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第一千一百零三条　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14:paraId="46F6757F">
            <w:pPr>
              <w:snapToGrid w:val="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strike w:val="0"/>
                <w:dstrike w:val="0"/>
                <w:color w:val="auto"/>
                <w:kern w:val="2"/>
                <w:sz w:val="24"/>
                <w:szCs w:val="24"/>
                <w:highlight w:val="none"/>
                <w:u w:val="none"/>
                <w:lang w:val="en-US" w:eastAsia="zh-CN" w:bidi="ar-SA"/>
              </w:rPr>
              <w:t xml:space="preserve">    </w:t>
            </w: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第一千一百零七条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tc>
      </w:tr>
      <w:tr w14:paraId="4C6914FF">
        <w:tblPrEx>
          <w:shd w:val="clear" w:color="auto" w:fill="auto"/>
          <w:tblCellMar>
            <w:top w:w="15" w:type="dxa"/>
            <w:left w:w="15" w:type="dxa"/>
            <w:bottom w:w="15" w:type="dxa"/>
            <w:right w:w="15" w:type="dxa"/>
          </w:tblCellMar>
        </w:tblPrEx>
        <w:trPr>
          <w:trHeight w:val="3472"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67BC93BA">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6</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BC5C7">
            <w:pPr>
              <w:snapToGrid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bidi="ar-SA"/>
              </w:rPr>
              <w:t>对未按照规定设置危险废物识别标志的处罚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30996A0">
            <w:pPr>
              <w:snapToGrid w:val="0"/>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692EF06">
            <w:pPr>
              <w:snapToGrid w:val="0"/>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val="en-US" w:eastAsia="zh-CN" w:bidi="ar-SA"/>
              </w:rPr>
              <w:t>初次违法，</w:t>
            </w:r>
            <w:r>
              <w:rPr>
                <w:rFonts w:hint="default" w:ascii="Times New Roman" w:hAnsi="Times New Roman" w:eastAsia="仿宋_GB2312" w:cs="Times New Roman"/>
                <w:color w:val="auto"/>
                <w:sz w:val="24"/>
                <w:szCs w:val="24"/>
                <w:highlight w:val="none"/>
                <w:lang w:bidi="ar-SA"/>
              </w:rPr>
              <w:t>违法行为持续时间不超过3个月，自责令改正书下达之日起5个工作日内完成整改的。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47562FC7">
            <w:pPr>
              <w:keepNext w:val="0"/>
              <w:keepLines w:val="0"/>
              <w:widowControl/>
              <w:suppressLineNumbers w:val="0"/>
              <w:ind w:firstLine="480" w:firstLineChars="200"/>
              <w:jc w:val="both"/>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《中华人民共和国生态环境法典》</w:t>
            </w:r>
          </w:p>
          <w:p w14:paraId="3503B4E6">
            <w:pPr>
              <w:keepNext w:val="0"/>
              <w:keepLines w:val="0"/>
              <w:widowControl/>
              <w:suppressLineNumbers w:val="0"/>
              <w:ind w:firstLine="480" w:firstLineChars="200"/>
              <w:jc w:val="both"/>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第五百三十一条 对危险废物的容器和包装物以及收集、贮存、运输、利用、处置危险废物的设施、场所，应当按照规定设置危险废物识别标志。</w:t>
            </w:r>
          </w:p>
          <w:p w14:paraId="7873CA46">
            <w:pPr>
              <w:keepNext w:val="0"/>
              <w:keepLines w:val="0"/>
              <w:widowControl/>
              <w:suppressLineNumbers w:val="0"/>
              <w:ind w:firstLine="480" w:firstLineChars="200"/>
              <w:jc w:val="both"/>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第一千一百七十五条　违反本法规定，有下列情形之一的，由生态环境主管部门责令改正，没收违法所得，并处以罚款；情节严重的，报经有批准权的人民政府批准，责令停业、关闭：</w:t>
            </w:r>
          </w:p>
          <w:p w14:paraId="5A37ED39">
            <w:pPr>
              <w:keepNext w:val="0"/>
              <w:keepLines w:val="0"/>
              <w:widowControl/>
              <w:suppressLineNumbers w:val="0"/>
              <w:ind w:firstLine="480" w:firstLineChars="200"/>
              <w:jc w:val="both"/>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（一）未设置危险废物识别标志；</w:t>
            </w:r>
          </w:p>
          <w:p w14:paraId="48BD3997">
            <w:pPr>
              <w:snapToGrid w:val="0"/>
              <w:jc w:val="both"/>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tc>
      </w:tr>
      <w:tr w14:paraId="75A977F1">
        <w:tblPrEx>
          <w:shd w:val="clear" w:color="auto" w:fill="auto"/>
          <w:tblCellMar>
            <w:top w:w="15" w:type="dxa"/>
            <w:left w:w="15" w:type="dxa"/>
            <w:bottom w:w="15" w:type="dxa"/>
            <w:right w:w="15" w:type="dxa"/>
          </w:tblCellMar>
        </w:tblPrEx>
        <w:trPr>
          <w:trHeight w:val="90"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4FFE05AE">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7</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C6BF5">
            <w:pPr>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对企业披露环境信息超过规定时限的处罚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73F7002">
            <w:pPr>
              <w:rPr>
                <w:rFonts w:hint="default"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EF05A2">
            <w:pPr>
              <w:ind w:firstLine="480" w:firstLineChars="20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eastAsia="zh-CN"/>
              </w:rPr>
              <w:t>初次违法，违法行为持续时间不超过3个月，自责令改正书下达之日起5个工作日内完成整改的。（披露信息存在弄虚作假的除外）</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7BD4ED84">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《企业环境信息依法披露管理办法》</w:t>
            </w:r>
          </w:p>
          <w:p w14:paraId="31D4A692">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 xml:space="preserve">第十七条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lang w:eastAsia="zh-CN"/>
              </w:rPr>
              <w:t>企业应当自收到相关法律文书之日起五个工作日内，以临时环境信息依法披露报告的形式，披露以下环境信息：</w:t>
            </w:r>
          </w:p>
          <w:p w14:paraId="0D98A657">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（一）生态环境行政许可准予、变更、延续、撤销等信息；</w:t>
            </w:r>
          </w:p>
          <w:p w14:paraId="1309D0F4">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（二）因生态环境违法行为受到行政处罚的信息；</w:t>
            </w:r>
          </w:p>
          <w:p w14:paraId="675BB916">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（三）因生态环境违法行为，其法定代表人、主要负责人、直接负责的主管人员和其他直接责任人员被依法处以行政拘留的信息；</w:t>
            </w:r>
          </w:p>
          <w:p w14:paraId="6EF5929B">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（四）因生态环境违法行为，企业或者其法定代表人、主要负责人、直接负责的主管人员和其他直接责任人员被追究刑事责任的信息；</w:t>
            </w:r>
          </w:p>
          <w:p w14:paraId="367B0759">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（五）生态环境损害赔偿及协议信息。</w:t>
            </w:r>
          </w:p>
          <w:p w14:paraId="2A2106C1">
            <w:pPr>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企业发生突发环境事件的，应当依照有关法律法规规定披露相关信息。</w:t>
            </w:r>
          </w:p>
          <w:p w14:paraId="4FD87B67">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 xml:space="preserve">第十九条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lang w:eastAsia="zh-CN"/>
              </w:rPr>
              <w:t>企业应当于每年3月15日前披露上一年度1月1日至12月31日的环境信息。</w:t>
            </w:r>
          </w:p>
          <w:p w14:paraId="51D172AB">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 xml:space="preserve">第二十条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lang w:eastAsia="zh-CN"/>
              </w:rPr>
              <w:t>企业在企业名单公布前存在本办法第十七条规定的环境信息的，应当于企业名单公布后十个工作日内以临时环境信息依法披露报告的形式披露本年度企业名单公布前的相关信息。</w:t>
            </w:r>
          </w:p>
          <w:p w14:paraId="2B5FA316">
            <w:pPr>
              <w:snapToGrid w:val="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rPr>
              <w:t>第二十九条第二项</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lang w:eastAsia="zh-CN"/>
              </w:rPr>
              <w:t xml:space="preserve"> 企业违反本办法规定，有下列行为之一的，由设区的市级以上生态环境主管部门责令改正，通报批评，并可以处五万元以下的罚款：（二）披露环境信息超过规定时限的。</w:t>
            </w:r>
          </w:p>
        </w:tc>
      </w:tr>
      <w:tr w14:paraId="752E3329">
        <w:tblPrEx>
          <w:shd w:val="clear" w:color="auto" w:fill="auto"/>
          <w:tblCellMar>
            <w:top w:w="15" w:type="dxa"/>
            <w:left w:w="15" w:type="dxa"/>
            <w:bottom w:w="15" w:type="dxa"/>
            <w:right w:w="15" w:type="dxa"/>
          </w:tblCellMar>
        </w:tblPrEx>
        <w:trPr>
          <w:trHeight w:val="2376"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471D4528">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8</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A01ED">
            <w:pPr>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对未将环境信息上传至企业环境信息依法披露系统的处罚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5128225">
            <w:pPr>
              <w:rPr>
                <w:rFonts w:hint="default"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040F7AE">
            <w:pPr>
              <w:ind w:firstLine="480" w:firstLineChars="20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eastAsia="zh-CN"/>
              </w:rPr>
              <w:t>初次违法，违法行为持续时间不超过3个月，自责令改正书下达之日起5个工作日内完成整改的。（披露信息存在弄虚作假的除外）</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59C584A6">
            <w:pPr>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《企业环境信息依法披露管理办法》</w:t>
            </w:r>
          </w:p>
          <w:p w14:paraId="521501AB">
            <w:pPr>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第十一条第二款</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企业应当按照准则编制年度环境信息依法披露报告和临时环境信息依法披露报告，并上传至企业环境信息依法披露系统。</w:t>
            </w:r>
          </w:p>
          <w:p w14:paraId="1BF5ED63">
            <w:pPr>
              <w:snapToGrid w:val="0"/>
              <w:ind w:firstLine="480" w:firstLineChars="200"/>
              <w:jc w:val="both"/>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color w:val="auto"/>
                <w:sz w:val="24"/>
                <w:szCs w:val="24"/>
                <w:highlight w:val="none"/>
              </w:rPr>
              <w:t>第二十九条第三项</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企业违反本办法规定，有下列行为之一的,由设区的市级以上生态环境主管部门责令改正，通报批评，并可以处五万元以下的罚款:</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rPr>
              <w:t>三</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rPr>
              <w:t>未将环境信息上传至企业环境信息依法披露系统的。</w:t>
            </w:r>
          </w:p>
        </w:tc>
      </w:tr>
      <w:tr w14:paraId="75223C97">
        <w:tblPrEx>
          <w:shd w:val="clear" w:color="auto" w:fill="auto"/>
          <w:tblCellMar>
            <w:top w:w="15" w:type="dxa"/>
            <w:left w:w="15" w:type="dxa"/>
            <w:bottom w:w="15" w:type="dxa"/>
            <w:right w:w="15" w:type="dxa"/>
          </w:tblCellMar>
        </w:tblPrEx>
        <w:trPr>
          <w:trHeight w:val="2923"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5A5C4494">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06CB4">
            <w:pPr>
              <w:snapToGrid w:val="0"/>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val="en-US" w:eastAsia="zh-CN" w:bidi="ar-SA"/>
              </w:rPr>
              <w:t>对未建立环境管理台账记录制度的处罚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25A15C3">
            <w:pPr>
              <w:snapToGrid w:val="0"/>
              <w:rPr>
                <w:rFonts w:hint="default"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7255489">
            <w:pPr>
              <w:snapToGrid w:val="0"/>
              <w:ind w:firstLine="480" w:firstLineChars="200"/>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rPr>
              <w:t>初次违法，违法行为持续时间不超过3个月，自责令改正书下达之日起5个工作日内完成整改的。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3878380D">
            <w:pPr>
              <w:widowControl/>
              <w:shd w:val="clear" w:color="auto"/>
              <w:snapToGrid w:val="0"/>
              <w:ind w:firstLine="48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eastAsia="zh-CN" w:bidi="ar-SA"/>
              </w:rPr>
              <w:t>《</w:t>
            </w:r>
            <w:r>
              <w:rPr>
                <w:rFonts w:hint="default" w:ascii="Times New Roman" w:hAnsi="Times New Roman" w:eastAsia="仿宋_GB2312" w:cs="Times New Roman"/>
                <w:color w:val="auto"/>
                <w:sz w:val="24"/>
                <w:szCs w:val="24"/>
                <w:highlight w:val="none"/>
                <w:lang w:bidi="ar-SA"/>
              </w:rPr>
              <w:t>排污许可管理条例》</w:t>
            </w:r>
          </w:p>
          <w:p w14:paraId="7CDD5E10">
            <w:pPr>
              <w:widowControl/>
              <w:shd w:val="clear" w:color="auto"/>
              <w:snapToGrid w:val="0"/>
              <w:ind w:firstLine="48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第二十一条第一款</w:t>
            </w:r>
            <w:r>
              <w:rPr>
                <w:rFonts w:hint="default" w:ascii="Times New Roman" w:hAnsi="Times New Roman" w:eastAsia="仿宋_GB2312" w:cs="Times New Roman"/>
                <w:color w:val="auto"/>
                <w:sz w:val="24"/>
                <w:szCs w:val="24"/>
                <w:highlight w:val="none"/>
                <w:lang w:val="en-US" w:eastAsia="zh-CN" w:bidi="ar-SA"/>
              </w:rPr>
              <w:t xml:space="preserve"> </w:t>
            </w:r>
            <w:r>
              <w:rPr>
                <w:rFonts w:hint="default" w:ascii="Times New Roman" w:hAnsi="Times New Roman" w:eastAsia="仿宋_GB2312" w:cs="Times New Roman"/>
                <w:color w:val="auto"/>
                <w:sz w:val="24"/>
                <w:szCs w:val="24"/>
                <w:highlight w:val="none"/>
                <w:lang w:bidi="ar-SA"/>
              </w:rPr>
              <w:t>排污单位应当建立环境管理台账记录制度，按照排污许可证规定的格式、内容和频次，如实记录主要生产设施、污染防治设施运行情况以及污染物排放浓度、排放量。环境管理台账记录保存期限不得少于5年。</w:t>
            </w:r>
          </w:p>
          <w:p w14:paraId="3FE1CB51">
            <w:pPr>
              <w:snapToGrid w:val="0"/>
              <w:ind w:firstLine="480" w:firstLineChars="200"/>
              <w:jc w:val="both"/>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color w:val="auto"/>
                <w:sz w:val="24"/>
                <w:szCs w:val="24"/>
                <w:highlight w:val="none"/>
                <w:lang w:bidi="ar-SA"/>
              </w:rPr>
              <w:t>第三十七条第一项</w:t>
            </w:r>
            <w:r>
              <w:rPr>
                <w:rFonts w:hint="default" w:ascii="Times New Roman" w:hAnsi="Times New Roman" w:eastAsia="仿宋_GB2312" w:cs="Times New Roman"/>
                <w:color w:val="auto"/>
                <w:sz w:val="24"/>
                <w:szCs w:val="24"/>
                <w:highlight w:val="none"/>
                <w:lang w:val="en-US" w:eastAsia="zh-CN" w:bidi="ar-SA"/>
              </w:rPr>
              <w:t xml:space="preserve"> </w:t>
            </w:r>
            <w:r>
              <w:rPr>
                <w:rFonts w:hint="default" w:ascii="Times New Roman" w:hAnsi="Times New Roman" w:eastAsia="仿宋_GB2312" w:cs="Times New Roman"/>
                <w:color w:val="auto"/>
                <w:sz w:val="24"/>
                <w:szCs w:val="24"/>
                <w:highlight w:val="none"/>
                <w:lang w:bidi="ar-SA"/>
              </w:rPr>
              <w:t>违反本条例规定，排污单位有下列行为之一的，由生态环境主管部门责令改正，处每次5千元以上2万元以下的罚款;法律另有规定的，从其规定:</w:t>
            </w:r>
            <w:r>
              <w:rPr>
                <w:rFonts w:hint="default" w:ascii="Times New Roman" w:hAnsi="Times New Roman" w:eastAsia="仿宋_GB2312" w:cs="Times New Roman"/>
                <w:color w:val="auto"/>
                <w:sz w:val="24"/>
                <w:szCs w:val="24"/>
                <w:highlight w:val="none"/>
                <w:lang w:eastAsia="zh-CN" w:bidi="ar-SA"/>
              </w:rPr>
              <w:t>（</w:t>
            </w:r>
            <w:r>
              <w:rPr>
                <w:rFonts w:hint="default" w:ascii="Times New Roman" w:hAnsi="Times New Roman" w:eastAsia="仿宋_GB2312" w:cs="Times New Roman"/>
                <w:color w:val="auto"/>
                <w:sz w:val="24"/>
                <w:szCs w:val="24"/>
                <w:highlight w:val="none"/>
                <w:lang w:bidi="ar-SA"/>
              </w:rPr>
              <w:t>一</w:t>
            </w:r>
            <w:r>
              <w:rPr>
                <w:rFonts w:hint="default" w:ascii="Times New Roman" w:hAnsi="Times New Roman" w:eastAsia="仿宋_GB2312" w:cs="Times New Roman"/>
                <w:color w:val="auto"/>
                <w:sz w:val="24"/>
                <w:szCs w:val="24"/>
                <w:highlight w:val="none"/>
                <w:lang w:eastAsia="zh-CN" w:bidi="ar-SA"/>
              </w:rPr>
              <w:t>）</w:t>
            </w:r>
            <w:r>
              <w:rPr>
                <w:rFonts w:hint="default" w:ascii="Times New Roman" w:hAnsi="Times New Roman" w:eastAsia="仿宋_GB2312" w:cs="Times New Roman"/>
                <w:color w:val="auto"/>
                <w:sz w:val="24"/>
                <w:szCs w:val="24"/>
                <w:highlight w:val="none"/>
                <w:lang w:bidi="ar-SA"/>
              </w:rPr>
              <w:t>未建立环境管理台账记录制度，或者未按照排污许可证规定记录。</w:t>
            </w:r>
          </w:p>
        </w:tc>
      </w:tr>
      <w:tr w14:paraId="5E940937">
        <w:tblPrEx>
          <w:shd w:val="clear" w:color="auto" w:fill="auto"/>
          <w:tblCellMar>
            <w:top w:w="15" w:type="dxa"/>
            <w:left w:w="15" w:type="dxa"/>
            <w:bottom w:w="15" w:type="dxa"/>
            <w:right w:w="15" w:type="dxa"/>
          </w:tblCellMar>
        </w:tblPrEx>
        <w:trPr>
          <w:trHeight w:val="2600"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106F257D">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10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58861">
            <w:pPr>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对</w:t>
            </w:r>
            <w:r>
              <w:rPr>
                <w:rFonts w:hint="default" w:ascii="Times New Roman" w:hAnsi="Times New Roman" w:eastAsia="仿宋_GB2312" w:cs="Times New Roman"/>
                <w:color w:val="auto"/>
                <w:sz w:val="24"/>
                <w:szCs w:val="24"/>
                <w:highlight w:val="none"/>
                <w:lang w:val="en-US" w:eastAsia="zh-CN"/>
              </w:rPr>
              <w:t>未按照排污许可证规定提交排污许可证执行报告的</w:t>
            </w:r>
            <w:r>
              <w:rPr>
                <w:rFonts w:hint="default" w:ascii="Times New Roman" w:hAnsi="Times New Roman" w:eastAsia="仿宋_GB2312" w:cs="Times New Roman"/>
                <w:color w:val="auto"/>
                <w:sz w:val="24"/>
                <w:szCs w:val="24"/>
                <w:highlight w:val="none"/>
                <w:lang w:eastAsia="zh-CN"/>
              </w:rPr>
              <w:t>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BBF10D9">
            <w:pPr>
              <w:rPr>
                <w:rFonts w:hint="default"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4F48E66">
            <w:pPr>
              <w:ind w:firstLine="480" w:firstLineChars="200"/>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eastAsia="zh-CN"/>
              </w:rPr>
              <w:t>初次违法，排污单位</w:t>
            </w:r>
            <w:r>
              <w:rPr>
                <w:rFonts w:hint="default" w:ascii="Times New Roman" w:hAnsi="Times New Roman" w:eastAsia="仿宋_GB2312" w:cs="Times New Roman"/>
                <w:color w:val="auto"/>
                <w:sz w:val="24"/>
                <w:szCs w:val="24"/>
                <w:highlight w:val="none"/>
                <w:lang w:val="en-US" w:eastAsia="zh-CN"/>
              </w:rPr>
              <w:t>未按照排污许可证规定提交排污许可证执行报告</w:t>
            </w:r>
            <w:r>
              <w:rPr>
                <w:rFonts w:hint="default" w:ascii="Times New Roman" w:hAnsi="Times New Roman" w:eastAsia="仿宋_GB2312" w:cs="Times New Roman"/>
                <w:color w:val="auto"/>
                <w:sz w:val="24"/>
                <w:szCs w:val="24"/>
                <w:highlight w:val="none"/>
                <w:lang w:eastAsia="zh-CN"/>
              </w:rPr>
              <w:t>的</w:t>
            </w:r>
            <w:r>
              <w:rPr>
                <w:rFonts w:hint="default" w:ascii="Times New Roman" w:hAnsi="Times New Roman" w:eastAsia="仿宋_GB2312" w:cs="Times New Roman"/>
                <w:color w:val="auto"/>
                <w:sz w:val="24"/>
                <w:szCs w:val="24"/>
                <w:highlight w:val="none"/>
                <w:lang w:eastAsia="zh-CN" w:bidi="ar-SA"/>
              </w:rPr>
              <w:t>，</w:t>
            </w:r>
            <w:r>
              <w:rPr>
                <w:rFonts w:hint="default" w:ascii="Times New Roman" w:hAnsi="Times New Roman" w:eastAsia="仿宋_GB2312" w:cs="Times New Roman"/>
                <w:color w:val="auto"/>
                <w:sz w:val="24"/>
                <w:szCs w:val="24"/>
                <w:highlight w:val="none"/>
                <w:lang w:val="en-US" w:eastAsia="zh-CN"/>
              </w:rPr>
              <w:t>并</w:t>
            </w:r>
            <w:r>
              <w:rPr>
                <w:rFonts w:hint="default" w:ascii="Times New Roman" w:hAnsi="Times New Roman" w:eastAsia="仿宋_GB2312" w:cs="Times New Roman"/>
                <w:color w:val="auto"/>
                <w:sz w:val="24"/>
                <w:szCs w:val="24"/>
                <w:highlight w:val="none"/>
                <w:lang w:eastAsia="zh-CN"/>
              </w:rPr>
              <w:t>在</w:t>
            </w:r>
            <w:r>
              <w:rPr>
                <w:rFonts w:hint="default" w:ascii="Times New Roman" w:hAnsi="Times New Roman" w:eastAsia="仿宋_GB2312" w:cs="Times New Roman"/>
                <w:color w:val="auto"/>
                <w:sz w:val="24"/>
                <w:szCs w:val="24"/>
                <w:highlight w:val="none"/>
              </w:rPr>
              <w:t>5个工作日内</w:t>
            </w:r>
            <w:r>
              <w:rPr>
                <w:rFonts w:hint="default" w:ascii="Times New Roman" w:hAnsi="Times New Roman" w:eastAsia="仿宋_GB2312" w:cs="Times New Roman"/>
                <w:color w:val="auto"/>
                <w:sz w:val="24"/>
                <w:szCs w:val="24"/>
                <w:highlight w:val="none"/>
                <w:lang w:eastAsia="zh-CN"/>
              </w:rPr>
              <w:t>改正</w:t>
            </w:r>
            <w:r>
              <w:rPr>
                <w:rFonts w:hint="default" w:ascii="Times New Roman" w:hAnsi="Times New Roman" w:eastAsia="仿宋_GB2312" w:cs="Times New Roman"/>
                <w:color w:val="auto"/>
                <w:sz w:val="24"/>
                <w:szCs w:val="24"/>
                <w:highlight w:val="none"/>
              </w:rPr>
              <w:t>的</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且期间内没有其他违反排污许可证要求的行为</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1DD41361">
            <w:pPr>
              <w:ind w:firstLine="480" w:firstLineChars="200"/>
              <w:jc w:val="both"/>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lang w:eastAsia="zh-CN"/>
              </w:rPr>
              <w:t>《排污许可管理条例》</w:t>
            </w:r>
          </w:p>
          <w:p w14:paraId="367D64FF">
            <w:pPr>
              <w:ind w:firstLine="480" w:firstLineChars="200"/>
              <w:jc w:val="both"/>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eastAsia="zh-CN"/>
              </w:rPr>
              <w:t>第二十二条第一款</w:t>
            </w:r>
            <w:r>
              <w:rPr>
                <w:rFonts w:hint="default" w:ascii="Times New Roman" w:hAnsi="Times New Roman" w:eastAsia="仿宋_GB2312" w:cs="Times New Roman"/>
                <w:color w:val="auto"/>
                <w:sz w:val="24"/>
                <w:szCs w:val="24"/>
                <w:highlight w:val="none"/>
                <w:lang w:val="en-US" w:eastAsia="zh-CN"/>
              </w:rPr>
              <w:t xml:space="preserve"> 排污单位应当按照排污许可证规定的内容、频次和时间要求，向审批部门提交排污许可证执行报告，如实报告污染物排放行为、排放浓度、排放量等。</w:t>
            </w:r>
          </w:p>
          <w:p w14:paraId="4533D487">
            <w:pPr>
              <w:snapToGrid w:val="0"/>
              <w:ind w:firstLine="480" w:firstLineChars="200"/>
              <w:jc w:val="both"/>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color w:val="auto"/>
                <w:sz w:val="24"/>
                <w:szCs w:val="24"/>
                <w:highlight w:val="none"/>
                <w:lang w:val="en-US" w:eastAsia="zh-CN"/>
              </w:rPr>
              <w:t>第三十七条第一款第三项 违反本条例规定，排污单位有下列行为之一的，由生态环境主管部门责令改正，处每次5千元以上2万元以下的罚款；法律另有规定的，从其规定：（三）未按照排污许可证规定提交排污许可证执行报告。</w:t>
            </w:r>
          </w:p>
        </w:tc>
      </w:tr>
      <w:tr w14:paraId="667A5BD6">
        <w:tblPrEx>
          <w:shd w:val="clear" w:color="auto" w:fill="auto"/>
          <w:tblCellMar>
            <w:top w:w="15" w:type="dxa"/>
            <w:left w:w="15" w:type="dxa"/>
            <w:bottom w:w="15" w:type="dxa"/>
            <w:right w:w="15" w:type="dxa"/>
          </w:tblCellMar>
        </w:tblPrEx>
        <w:trPr>
          <w:trHeight w:val="90"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453D9F80">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11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55EC8">
            <w:pPr>
              <w:snapToGrid w:val="0"/>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bidi="ar-SA"/>
              </w:rPr>
              <w:t>对贮存、运输、利用固体废物的单位未依法及时公开工业固体废物污染防治信息的处罚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6CF4C7D">
            <w:pPr>
              <w:snapToGrid w:val="0"/>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A87DE79">
            <w:pPr>
              <w:snapToGrid w:val="0"/>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bidi="ar-SA"/>
              </w:rPr>
              <w:t>初次违法，违法行为持续时间不超过3个月</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并</w:t>
            </w:r>
            <w:r>
              <w:rPr>
                <w:rFonts w:hint="default" w:ascii="Times New Roman" w:hAnsi="Times New Roman" w:eastAsia="仿宋_GB2312" w:cs="Times New Roman"/>
                <w:color w:val="auto"/>
                <w:sz w:val="24"/>
                <w:szCs w:val="24"/>
                <w:highlight w:val="none"/>
                <w:lang w:eastAsia="zh-CN"/>
              </w:rPr>
              <w:t>在</w:t>
            </w:r>
            <w:r>
              <w:rPr>
                <w:rFonts w:hint="default" w:ascii="Times New Roman" w:hAnsi="Times New Roman" w:eastAsia="仿宋_GB2312" w:cs="Times New Roman"/>
                <w:color w:val="auto"/>
                <w:sz w:val="24"/>
                <w:szCs w:val="24"/>
                <w:highlight w:val="none"/>
              </w:rPr>
              <w:t>5个工作日内</w:t>
            </w:r>
            <w:r>
              <w:rPr>
                <w:rFonts w:hint="default" w:ascii="Times New Roman" w:hAnsi="Times New Roman" w:eastAsia="仿宋_GB2312" w:cs="Times New Roman"/>
                <w:color w:val="auto"/>
                <w:sz w:val="24"/>
                <w:szCs w:val="24"/>
                <w:highlight w:val="none"/>
                <w:lang w:eastAsia="zh-CN"/>
              </w:rPr>
              <w:t>改正</w:t>
            </w:r>
            <w:r>
              <w:rPr>
                <w:rFonts w:hint="default" w:ascii="Times New Roman" w:hAnsi="Times New Roman" w:eastAsia="仿宋_GB2312" w:cs="Times New Roman"/>
                <w:color w:val="auto"/>
                <w:sz w:val="24"/>
                <w:szCs w:val="24"/>
                <w:highlight w:val="none"/>
              </w:rPr>
              <w:t>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2C74E88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20" w:lineRule="exact"/>
              <w:ind w:left="0" w:firstLine="480" w:firstLineChars="200"/>
              <w:jc w:val="both"/>
              <w:textAlignment w:val="center"/>
              <w:rPr>
                <w:rFonts w:hint="default" w:ascii="Times New Roman" w:hAnsi="Times New Roman" w:eastAsia="仿宋_GB2312" w:cs="Times New Roman"/>
                <w:color w:val="auto"/>
                <w:sz w:val="24"/>
                <w:szCs w:val="24"/>
                <w:highlight w:val="none"/>
                <w:lang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《中华人民共和国生态环境法典》</w:t>
            </w:r>
          </w:p>
          <w:p w14:paraId="2836ED35">
            <w:pPr>
              <w:numPr>
                <w:ilvl w:val="0"/>
                <w:numId w:val="0"/>
              </w:numPr>
              <w:snapToGrid w:val="0"/>
              <w:ind w:firstLine="480" w:firstLineChars="20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bidi="ar-SA"/>
              </w:rPr>
              <w:t>第四百八十五条第二款</w:t>
            </w:r>
            <w:r>
              <w:rPr>
                <w:rFonts w:hint="default" w:ascii="Times New Roman" w:hAnsi="Times New Roman" w:eastAsia="仿宋_GB2312" w:cs="Times New Roman"/>
                <w:color w:val="auto"/>
                <w:sz w:val="24"/>
                <w:szCs w:val="24"/>
                <w:highlight w:val="none"/>
                <w:lang w:val="en-US" w:eastAsia="zh-CN" w:bidi="ar-SA"/>
              </w:rPr>
              <w:t xml:space="preserve"> 产生、收集、贮存、运输、利用、处置固体废物的单位，应当依法及时向社会公开固体废物污染防治信息，接受社会监督。</w:t>
            </w:r>
          </w:p>
          <w:p w14:paraId="72609F03">
            <w:pPr>
              <w:snapToGrid w:val="0"/>
              <w:ind w:firstLine="480" w:firstLineChars="20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lang w:eastAsia="zh-CN" w:bidi="ar-SA"/>
              </w:rPr>
              <w:t>第一千一百一十条</w:t>
            </w:r>
            <w:r>
              <w:rPr>
                <w:rFonts w:hint="default" w:ascii="Times New Roman" w:hAnsi="Times New Roman" w:eastAsia="仿宋_GB2312" w:cs="Times New Roman"/>
                <w:color w:val="auto"/>
                <w:sz w:val="24"/>
                <w:szCs w:val="24"/>
                <w:highlight w:val="none"/>
                <w:lang w:val="en-US" w:eastAsia="zh-CN" w:bidi="ar-SA"/>
              </w:rPr>
              <w:t xml:space="preserve">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tc>
      </w:tr>
      <w:tr w14:paraId="2BF85CDC">
        <w:tblPrEx>
          <w:shd w:val="clear" w:color="auto" w:fill="auto"/>
          <w:tblCellMar>
            <w:top w:w="15" w:type="dxa"/>
            <w:left w:w="15" w:type="dxa"/>
            <w:bottom w:w="15" w:type="dxa"/>
            <w:right w:w="15" w:type="dxa"/>
          </w:tblCellMar>
        </w:tblPrEx>
        <w:trPr>
          <w:trHeight w:val="484" w:hRule="atLeast"/>
          <w:jc w:val="center"/>
        </w:trPr>
        <w:tc>
          <w:tcPr>
            <w:tcW w:w="14831" w:type="dxa"/>
            <w:gridSpan w:val="6"/>
            <w:tcBorders>
              <w:top w:val="single" w:color="000000" w:sz="12" w:space="0"/>
              <w:left w:val="single" w:color="000000" w:sz="12" w:space="0"/>
              <w:bottom w:val="single" w:color="000000" w:sz="4" w:space="0"/>
              <w:right w:val="single" w:color="000000" w:sz="12" w:space="0"/>
            </w:tcBorders>
            <w:shd w:val="clear" w:color="auto" w:fill="auto"/>
            <w:noWrap w:val="0"/>
            <w:vAlign w:val="center"/>
          </w:tcPr>
          <w:p w14:paraId="0EF9B301">
            <w:pPr>
              <w:widowControl/>
              <w:snapToGrid w:val="0"/>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lang w:eastAsia="zh-CN" w:bidi="ar-SA"/>
              </w:rPr>
              <w:t>（三）</w:t>
            </w:r>
            <w:r>
              <w:rPr>
                <w:rFonts w:hint="default" w:ascii="Times New Roman" w:hAnsi="Times New Roman" w:eastAsia="黑体" w:cs="Times New Roman"/>
                <w:color w:val="auto"/>
                <w:sz w:val="24"/>
                <w:szCs w:val="24"/>
                <w:highlight w:val="none"/>
                <w:lang w:bidi="ar-SA"/>
              </w:rPr>
              <w:t>下列违法行为当事人有证据足以证明没有主观过错的，不予行政处罚</w:t>
            </w:r>
          </w:p>
        </w:tc>
      </w:tr>
      <w:tr w14:paraId="6E0790E1">
        <w:tblPrEx>
          <w:shd w:val="clear" w:color="auto" w:fill="auto"/>
          <w:tblCellMar>
            <w:top w:w="15" w:type="dxa"/>
            <w:left w:w="15" w:type="dxa"/>
            <w:bottom w:w="15" w:type="dxa"/>
            <w:right w:w="15" w:type="dxa"/>
          </w:tblCellMar>
        </w:tblPrEx>
        <w:trPr>
          <w:trHeight w:val="482"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308D7992">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序号</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D2CC9">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行政处罚事项</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FFB45BF">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sz w:val="24"/>
                <w:szCs w:val="24"/>
                <w:highlight w:val="none"/>
              </w:rPr>
              <w:t>实施机关</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10476AB">
            <w:pPr>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不予处罚适用条件</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775905E7">
            <w:pPr>
              <w:widowControl/>
              <w:snapToGrid w:val="0"/>
              <w:jc w:val="center"/>
              <w:textAlignment w:val="center"/>
              <w:rPr>
                <w:rFonts w:hint="default" w:ascii="Times New Roman" w:hAnsi="Times New Roman" w:eastAsia="黑体" w:cs="Times New Roman"/>
                <w:color w:val="auto"/>
                <w:sz w:val="24"/>
                <w:szCs w:val="24"/>
                <w:highlight w:val="none"/>
                <w:lang w:bidi="ar-SA"/>
              </w:rPr>
            </w:pPr>
            <w:r>
              <w:rPr>
                <w:rFonts w:hint="default" w:ascii="Times New Roman" w:hAnsi="Times New Roman" w:eastAsia="黑体" w:cs="Times New Roman"/>
                <w:color w:val="auto"/>
                <w:kern w:val="0"/>
                <w:sz w:val="24"/>
                <w:szCs w:val="24"/>
                <w:highlight w:val="none"/>
              </w:rPr>
              <w:t>法律依据</w:t>
            </w:r>
          </w:p>
        </w:tc>
      </w:tr>
      <w:tr w14:paraId="7B9E471C">
        <w:tblPrEx>
          <w:shd w:val="clear" w:color="auto" w:fill="auto"/>
          <w:tblCellMar>
            <w:top w:w="15" w:type="dxa"/>
            <w:left w:w="15" w:type="dxa"/>
            <w:bottom w:w="15" w:type="dxa"/>
            <w:right w:w="15" w:type="dxa"/>
          </w:tblCellMar>
        </w:tblPrEx>
        <w:trPr>
          <w:trHeight w:val="6695"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4F96D97E">
            <w:pPr>
              <w:snapToGrid w:val="0"/>
              <w:jc w:val="cente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1</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830B5">
            <w:pPr>
              <w:rPr>
                <w:rFonts w:hint="default" w:ascii="Times New Roman" w:hAnsi="Times New Roman" w:eastAsia="仿宋_GB2312" w:cs="Times New Roman"/>
                <w:color w:val="auto"/>
                <w:sz w:val="24"/>
                <w:szCs w:val="24"/>
                <w:highlight w:val="none"/>
                <w:lang w:bidi="ar-SA"/>
              </w:rPr>
            </w:pPr>
            <w:r>
              <w:rPr>
                <w:rFonts w:hint="eastAsia" w:ascii="仿宋_GB2312" w:eastAsia="仿宋_GB2312" w:cs="宋体"/>
                <w:color w:val="auto"/>
                <w:sz w:val="22"/>
                <w:szCs w:val="22"/>
              </w:rPr>
              <w:t>对未按照排污许可证的规定运行和维护污染防治设施</w:t>
            </w:r>
            <w:r>
              <w:rPr>
                <w:rFonts w:hint="eastAsia" w:ascii="仿宋_GB2312" w:eastAsia="仿宋_GB2312" w:cs="宋体"/>
                <w:color w:val="auto"/>
                <w:sz w:val="22"/>
                <w:szCs w:val="22"/>
                <w:lang w:eastAsia="zh-CN"/>
              </w:rPr>
              <w:t>，</w:t>
            </w:r>
            <w:r>
              <w:rPr>
                <w:rFonts w:hint="eastAsia" w:ascii="仿宋_GB2312" w:eastAsia="仿宋_GB2312" w:cs="宋体"/>
                <w:color w:val="auto"/>
                <w:sz w:val="22"/>
                <w:szCs w:val="22"/>
              </w:rPr>
              <w:t>致使污染防治设施不能正常发挥作用，但不属于以逃避监管方式排放污染物的处罚</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704AAC4">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811EBFF">
            <w:pPr>
              <w:rPr>
                <w:rFonts w:ascii="仿宋_GB2312" w:eastAsia="仿宋_GB2312" w:cs="宋体"/>
                <w:color w:val="auto"/>
                <w:sz w:val="22"/>
                <w:szCs w:val="22"/>
              </w:rPr>
            </w:pPr>
            <w:r>
              <w:rPr>
                <w:rFonts w:hint="eastAsia" w:ascii="仿宋_GB2312" w:eastAsia="仿宋_GB2312" w:cs="宋体"/>
                <w:color w:val="auto"/>
                <w:sz w:val="22"/>
                <w:szCs w:val="22"/>
              </w:rPr>
              <w:t>满足下列情形之一的：</w:t>
            </w:r>
          </w:p>
          <w:p w14:paraId="6C9F6834">
            <w:pPr>
              <w:rPr>
                <w:rFonts w:hint="eastAsia" w:ascii="仿宋_GB2312" w:eastAsia="仿宋_GB2312" w:cs="宋体"/>
                <w:color w:val="auto"/>
                <w:sz w:val="22"/>
                <w:szCs w:val="22"/>
              </w:rPr>
            </w:pPr>
            <w:r>
              <w:rPr>
                <w:rFonts w:hint="eastAsia" w:ascii="仿宋_GB2312" w:eastAsia="仿宋_GB2312" w:cs="宋体"/>
                <w:color w:val="auto"/>
                <w:sz w:val="22"/>
                <w:szCs w:val="22"/>
              </w:rPr>
              <w:t>1.当事人有证据证明因不可抗力等非主观过错因素导致污染防治设施不正常运行的，并在污染防治设施不正常运行发生</w:t>
            </w:r>
            <w:r>
              <w:rPr>
                <w:rFonts w:hint="eastAsia" w:ascii="仿宋_GB2312" w:eastAsia="仿宋_GB2312" w:cs="宋体"/>
                <w:color w:val="auto"/>
                <w:sz w:val="22"/>
                <w:szCs w:val="22"/>
                <w:lang w:val="en-US" w:eastAsia="zh-CN"/>
              </w:rPr>
              <w:t>24</w:t>
            </w:r>
            <w:r>
              <w:rPr>
                <w:rFonts w:hint="eastAsia" w:ascii="仿宋_GB2312" w:eastAsia="仿宋_GB2312" w:cs="宋体"/>
                <w:color w:val="auto"/>
                <w:sz w:val="22"/>
                <w:szCs w:val="22"/>
              </w:rPr>
              <w:t>小时内及时报告。</w:t>
            </w:r>
          </w:p>
          <w:p w14:paraId="38BDCD6C">
            <w:pPr>
              <w:rPr>
                <w:rFonts w:hint="eastAsia" w:ascii="仿宋_GB2312" w:eastAsia="仿宋_GB2312" w:cs="宋体"/>
                <w:color w:val="auto"/>
                <w:sz w:val="22"/>
                <w:szCs w:val="22"/>
              </w:rPr>
            </w:pPr>
            <w:r>
              <w:rPr>
                <w:rFonts w:hint="eastAsia" w:ascii="仿宋_GB2312" w:eastAsia="仿宋_GB2312" w:cs="宋体"/>
                <w:color w:val="auto"/>
                <w:sz w:val="22"/>
                <w:szCs w:val="22"/>
              </w:rPr>
              <w:t>2.当事人因设备故障在污染防治设施不正常运行发生</w:t>
            </w:r>
            <w:r>
              <w:rPr>
                <w:rFonts w:hint="eastAsia" w:ascii="仿宋_GB2312" w:eastAsia="仿宋_GB2312" w:cs="宋体"/>
                <w:color w:val="auto"/>
                <w:sz w:val="22"/>
                <w:szCs w:val="22"/>
                <w:lang w:val="en-US" w:eastAsia="zh-CN"/>
              </w:rPr>
              <w:t>24</w:t>
            </w:r>
            <w:r>
              <w:rPr>
                <w:rFonts w:hint="eastAsia" w:ascii="仿宋_GB2312" w:eastAsia="仿宋_GB2312" w:cs="宋体"/>
                <w:color w:val="auto"/>
                <w:sz w:val="22"/>
                <w:szCs w:val="22"/>
              </w:rPr>
              <w:t>小时内及时报告并采取停、限产措施减少污染物排放，且</w:t>
            </w:r>
            <w:r>
              <w:rPr>
                <w:rFonts w:hint="eastAsia" w:ascii="仿宋_GB2312" w:eastAsia="仿宋_GB2312" w:cs="宋体"/>
                <w:color w:val="auto"/>
                <w:sz w:val="22"/>
                <w:szCs w:val="22"/>
                <w:lang w:eastAsia="zh-CN"/>
              </w:rPr>
              <w:t>排放水污染物</w:t>
            </w:r>
            <w:r>
              <w:rPr>
                <w:rFonts w:hint="eastAsia" w:ascii="仿宋_GB2312" w:eastAsia="仿宋_GB2312" w:cs="宋体"/>
                <w:color w:val="auto"/>
                <w:sz w:val="22"/>
                <w:szCs w:val="22"/>
              </w:rPr>
              <w:t>日均值未超标</w:t>
            </w:r>
            <w:r>
              <w:rPr>
                <w:rFonts w:hint="eastAsia" w:ascii="仿宋_GB2312" w:eastAsia="仿宋_GB2312" w:cs="宋体"/>
                <w:color w:val="auto"/>
                <w:sz w:val="22"/>
                <w:szCs w:val="22"/>
                <w:lang w:eastAsia="zh-CN"/>
              </w:rPr>
              <w:t>、排放大气污染物小时均值未超标</w:t>
            </w:r>
            <w:r>
              <w:rPr>
                <w:rFonts w:hint="eastAsia" w:ascii="仿宋_GB2312" w:eastAsia="仿宋_GB2312" w:cs="宋体"/>
                <w:color w:val="auto"/>
                <w:sz w:val="22"/>
                <w:szCs w:val="22"/>
              </w:rPr>
              <w:t>的。</w:t>
            </w:r>
          </w:p>
          <w:p w14:paraId="6A515F0D">
            <w:pPr>
              <w:rPr>
                <w:rFonts w:hint="default" w:ascii="Times New Roman" w:hAnsi="Times New Roman" w:eastAsia="仿宋_GB2312" w:cs="Times New Roman"/>
                <w:color w:val="auto"/>
                <w:sz w:val="24"/>
                <w:szCs w:val="24"/>
                <w:highlight w:val="none"/>
                <w:lang w:bidi="ar-SA"/>
              </w:rPr>
            </w:pPr>
            <w:r>
              <w:rPr>
                <w:rFonts w:hint="eastAsia" w:ascii="仿宋_GB2312" w:eastAsia="仿宋_GB2312" w:cs="宋体"/>
                <w:color w:val="auto"/>
                <w:sz w:val="22"/>
                <w:szCs w:val="22"/>
              </w:rPr>
              <w:t>3.涉及民生、公共利益或生产安全等需要无法实施停产，因设施故障、维修等原因导致污染防治设施不正常运行，但当事人提前</w:t>
            </w:r>
            <w:r>
              <w:rPr>
                <w:rFonts w:hint="eastAsia" w:ascii="仿宋_GB2312" w:eastAsia="仿宋_GB2312" w:cs="宋体"/>
                <w:color w:val="auto"/>
                <w:sz w:val="22"/>
                <w:szCs w:val="22"/>
                <w:lang w:val="en-US" w:eastAsia="zh-CN"/>
              </w:rPr>
              <w:t>24</w:t>
            </w:r>
            <w:r>
              <w:rPr>
                <w:rFonts w:hint="eastAsia" w:ascii="仿宋_GB2312" w:eastAsia="仿宋_GB2312" w:cs="宋体"/>
                <w:color w:val="auto"/>
                <w:sz w:val="22"/>
                <w:szCs w:val="22"/>
              </w:rPr>
              <w:t>小时书面报告并采取减缓措施减少污染物排放，且未造成危害后果的。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0590B76C">
            <w:pPr>
              <w:ind w:firstLine="440" w:firstLineChars="200"/>
              <w:rPr>
                <w:rFonts w:hint="eastAsia" w:ascii="仿宋_GB2312" w:eastAsia="仿宋_GB2312" w:cs="宋体"/>
                <w:color w:val="auto"/>
                <w:sz w:val="22"/>
                <w:szCs w:val="22"/>
              </w:rPr>
            </w:pPr>
            <w:r>
              <w:rPr>
                <w:rFonts w:hint="eastAsia" w:ascii="仿宋_GB2312" w:eastAsia="仿宋_GB2312" w:cs="宋体"/>
                <w:color w:val="auto"/>
                <w:sz w:val="22"/>
                <w:szCs w:val="22"/>
              </w:rPr>
              <w:t>1</w:t>
            </w:r>
            <w:r>
              <w:rPr>
                <w:rFonts w:ascii="仿宋_GB2312" w:eastAsia="仿宋_GB2312" w:cs="宋体"/>
                <w:color w:val="auto"/>
                <w:sz w:val="22"/>
                <w:szCs w:val="22"/>
              </w:rPr>
              <w:t>.</w:t>
            </w:r>
            <w:r>
              <w:rPr>
                <w:rFonts w:hint="eastAsia" w:ascii="仿宋_GB2312" w:eastAsia="仿宋_GB2312" w:cs="宋体"/>
                <w:color w:val="auto"/>
                <w:sz w:val="22"/>
                <w:szCs w:val="22"/>
              </w:rPr>
              <w:t>《中华人民共和国生态环境法典》</w:t>
            </w:r>
          </w:p>
          <w:p w14:paraId="3DB978A9">
            <w:pPr>
              <w:ind w:firstLine="440" w:firstLineChars="200"/>
              <w:rPr>
                <w:rFonts w:hint="eastAsia" w:ascii="仿宋_GB2312" w:eastAsia="仿宋_GB2312" w:cs="宋体"/>
                <w:color w:val="auto"/>
                <w:sz w:val="22"/>
                <w:szCs w:val="22"/>
              </w:rPr>
            </w:pPr>
            <w:r>
              <w:rPr>
                <w:rFonts w:hint="eastAsia" w:ascii="仿宋_GB2312" w:eastAsia="仿宋_GB2312" w:cs="宋体"/>
                <w:color w:val="auto"/>
                <w:sz w:val="22"/>
                <w:szCs w:val="22"/>
              </w:rPr>
              <w:t>第一百七十九条第二款  实行排污许可管理的企业事业单位和其他生产经营者应当遵守排污许可证的要求，按照规定运行和维护污染防治设施，建立生态环境管理制度，严格控制污染物排放。</w:t>
            </w:r>
          </w:p>
          <w:p w14:paraId="2A8475F7">
            <w:pPr>
              <w:ind w:firstLine="440" w:firstLineChars="200"/>
              <w:rPr>
                <w:rFonts w:hint="eastAsia" w:ascii="仿宋_GB2312" w:hAnsi="宋体" w:eastAsia="仿宋_GB2312" w:cs="宋体"/>
                <w:color w:val="auto"/>
                <w:sz w:val="22"/>
                <w:szCs w:val="22"/>
                <w:lang w:val="en-US" w:eastAsia="zh-CN"/>
              </w:rPr>
            </w:pPr>
            <w:r>
              <w:rPr>
                <w:rFonts w:hint="eastAsia" w:ascii="仿宋_GB2312" w:hAnsi="宋体" w:eastAsia="仿宋_GB2312" w:cs="宋体"/>
                <w:color w:val="auto"/>
                <w:sz w:val="22"/>
                <w:szCs w:val="22"/>
              </w:rPr>
              <w:t>第一千一百零四条</w:t>
            </w:r>
            <w:r>
              <w:rPr>
                <w:rFonts w:hint="eastAsia" w:ascii="仿宋_GB2312" w:hAnsi="宋体" w:eastAsia="仿宋_GB2312" w:cs="宋体"/>
                <w:color w:val="auto"/>
                <w:sz w:val="22"/>
                <w:szCs w:val="22"/>
                <w:lang w:val="en-US" w:eastAsia="zh-CN"/>
              </w:rPr>
              <w:t>第一款</w:t>
            </w:r>
            <w:r>
              <w:rPr>
                <w:rFonts w:hint="eastAsia" w:ascii="仿宋_GB2312" w:hAnsi="宋体" w:eastAsia="仿宋_GB2312" w:cs="宋体"/>
                <w:color w:val="auto"/>
                <w:sz w:val="22"/>
                <w:szCs w:val="22"/>
              </w:rPr>
              <w:t>　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p>
          <w:p w14:paraId="549D0384">
            <w:pPr>
              <w:ind w:firstLine="440" w:firstLineChars="200"/>
              <w:rPr>
                <w:rFonts w:hint="eastAsia" w:ascii="仿宋_GB2312" w:eastAsia="仿宋_GB2312" w:cs="宋体"/>
                <w:color w:val="auto"/>
                <w:sz w:val="22"/>
                <w:szCs w:val="22"/>
              </w:rPr>
            </w:pPr>
            <w:r>
              <w:rPr>
                <w:rFonts w:hint="eastAsia" w:ascii="仿宋_GB2312" w:hAnsi="宋体" w:eastAsia="仿宋_GB2312" w:cs="宋体"/>
                <w:color w:val="auto"/>
                <w:sz w:val="22"/>
                <w:szCs w:val="22"/>
                <w:lang w:val="en-US" w:eastAsia="zh-CN"/>
              </w:rPr>
              <w:t>2</w:t>
            </w:r>
            <w:r>
              <w:rPr>
                <w:rFonts w:hint="eastAsia" w:ascii="仿宋_GB2312" w:eastAsia="仿宋_GB2312" w:cs="宋体"/>
                <w:color w:val="auto"/>
                <w:sz w:val="22"/>
                <w:szCs w:val="22"/>
              </w:rPr>
              <w:t>.《排污许可管理条例》</w:t>
            </w:r>
          </w:p>
          <w:p w14:paraId="0EFD2ADC">
            <w:pPr>
              <w:ind w:firstLine="440" w:firstLineChars="200"/>
              <w:rPr>
                <w:rFonts w:hint="default" w:ascii="Times New Roman" w:hAnsi="Times New Roman" w:eastAsia="仿宋_GB2312" w:cs="Times New Roman"/>
                <w:color w:val="auto"/>
                <w:sz w:val="24"/>
                <w:szCs w:val="24"/>
                <w:highlight w:val="none"/>
                <w:lang w:bidi="ar-SA"/>
              </w:rPr>
            </w:pPr>
            <w:r>
              <w:rPr>
                <w:rFonts w:hint="eastAsia" w:ascii="仿宋_GB2312" w:eastAsia="仿宋_GB2312" w:cs="宋体"/>
                <w:color w:val="auto"/>
                <w:sz w:val="22"/>
                <w:szCs w:val="22"/>
              </w:rPr>
              <w:t>第十七条第二款  排污单位应当遵守排污许可证规定</w:t>
            </w:r>
            <w:r>
              <w:rPr>
                <w:rFonts w:hint="default" w:ascii="Times New Roman" w:hAnsi="Times New Roman" w:eastAsia="宋体" w:cs="Times New Roman"/>
                <w:b/>
                <w:bCs/>
                <w:color w:val="auto"/>
                <w:sz w:val="22"/>
                <w:szCs w:val="22"/>
              </w:rPr>
              <w:t>，</w:t>
            </w:r>
            <w:r>
              <w:rPr>
                <w:rFonts w:hint="eastAsia" w:ascii="仿宋_GB2312" w:eastAsia="仿宋_GB2312" w:cs="宋体"/>
                <w:color w:val="auto"/>
                <w:sz w:val="22"/>
                <w:szCs w:val="22"/>
              </w:rPr>
              <w:t>按照生态环境管理要求运行和维护污染防治设施，建立环境管理制度，严格控制污染物排放。</w:t>
            </w:r>
          </w:p>
        </w:tc>
      </w:tr>
      <w:tr w14:paraId="536B3F7D">
        <w:tblPrEx>
          <w:shd w:val="clear" w:color="auto" w:fill="auto"/>
          <w:tblCellMar>
            <w:top w:w="15" w:type="dxa"/>
            <w:left w:w="15" w:type="dxa"/>
            <w:bottom w:w="15" w:type="dxa"/>
            <w:right w:w="15" w:type="dxa"/>
          </w:tblCellMar>
        </w:tblPrEx>
        <w:trPr>
          <w:trHeight w:val="767" w:hRule="atLeast"/>
          <w:jc w:val="center"/>
        </w:trPr>
        <w:tc>
          <w:tcPr>
            <w:tcW w:w="14831" w:type="dxa"/>
            <w:gridSpan w:val="6"/>
            <w:tcBorders>
              <w:top w:val="nil"/>
              <w:left w:val="nil"/>
              <w:bottom w:val="single" w:color="auto" w:sz="4" w:space="0"/>
              <w:right w:val="nil"/>
            </w:tcBorders>
            <w:shd w:val="clear" w:color="auto" w:fill="auto"/>
            <w:noWrap w:val="0"/>
            <w:vAlign w:val="center"/>
          </w:tcPr>
          <w:p w14:paraId="36CF8BA4">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eastAsia" w:ascii="Times New Roman" w:hAnsi="Times New Roman" w:eastAsia="黑体" w:cs="Times New Roman"/>
                <w:color w:val="auto"/>
                <w:kern w:val="0"/>
                <w:sz w:val="32"/>
                <w:szCs w:val="32"/>
                <w:highlight w:val="none"/>
                <w:lang w:eastAsia="zh-CN" w:bidi="ar-SA"/>
              </w:rPr>
              <w:t>二</w:t>
            </w:r>
            <w:r>
              <w:rPr>
                <w:rFonts w:hint="default" w:ascii="Times New Roman" w:hAnsi="Times New Roman" w:eastAsia="黑体" w:cs="Times New Roman"/>
                <w:color w:val="auto"/>
                <w:kern w:val="0"/>
                <w:sz w:val="32"/>
                <w:szCs w:val="32"/>
                <w:highlight w:val="none"/>
                <w:lang w:eastAsia="zh-CN" w:bidi="ar-SA"/>
              </w:rPr>
              <w:t>、</w:t>
            </w:r>
            <w:r>
              <w:rPr>
                <w:rFonts w:hint="default" w:ascii="Times New Roman" w:hAnsi="Times New Roman" w:eastAsia="黑体" w:cs="Times New Roman"/>
                <w:color w:val="000000"/>
                <w:kern w:val="0"/>
                <w:sz w:val="32"/>
                <w:szCs w:val="32"/>
                <w:highlight w:val="none"/>
                <w:lang w:bidi="ar-SA"/>
              </w:rPr>
              <w:t>免予行政强制事项清单</w:t>
            </w:r>
          </w:p>
        </w:tc>
      </w:tr>
      <w:tr w14:paraId="62ED4FEA">
        <w:tblPrEx>
          <w:shd w:val="clear" w:color="auto" w:fill="auto"/>
          <w:tblCellMar>
            <w:top w:w="15" w:type="dxa"/>
            <w:left w:w="15" w:type="dxa"/>
            <w:bottom w:w="15" w:type="dxa"/>
            <w:right w:w="15" w:type="dxa"/>
          </w:tblCellMar>
        </w:tblPrEx>
        <w:trPr>
          <w:trHeight w:val="3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64F8C2">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序号</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1D711E">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行政强制事项</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241078">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实施机关</w:t>
            </w:r>
          </w:p>
        </w:tc>
        <w:tc>
          <w:tcPr>
            <w:tcW w:w="2614"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F9A9FB">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免予行政强制</w:t>
            </w:r>
          </w:p>
          <w:p w14:paraId="2CC90781">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适用条件</w:t>
            </w:r>
          </w:p>
        </w:tc>
        <w:tc>
          <w:tcPr>
            <w:tcW w:w="86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CD875C">
            <w:pPr>
              <w:widowControl/>
              <w:snapToGrid w:val="0"/>
              <w:jc w:val="center"/>
              <w:textAlignment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法律依据</w:t>
            </w:r>
          </w:p>
        </w:tc>
      </w:tr>
      <w:tr w14:paraId="545CFC7C">
        <w:tblPrEx>
          <w:shd w:val="clear" w:color="auto" w:fill="auto"/>
          <w:tblCellMar>
            <w:top w:w="15" w:type="dxa"/>
            <w:left w:w="15" w:type="dxa"/>
            <w:bottom w:w="15" w:type="dxa"/>
            <w:right w:w="15" w:type="dxa"/>
          </w:tblCellMar>
        </w:tblPrEx>
        <w:trPr>
          <w:trHeight w:val="6430" w:hRule="atLeast"/>
          <w:jc w:val="center"/>
        </w:trPr>
        <w:tc>
          <w:tcPr>
            <w:tcW w:w="675" w:type="dxa"/>
            <w:tcBorders>
              <w:top w:val="single" w:color="auto" w:sz="4" w:space="0"/>
              <w:left w:val="single" w:color="000000" w:sz="12" w:space="0"/>
              <w:bottom w:val="single" w:color="000000" w:sz="4" w:space="0"/>
              <w:right w:val="single" w:color="000000" w:sz="4" w:space="0"/>
            </w:tcBorders>
            <w:shd w:val="clear" w:color="auto" w:fill="auto"/>
            <w:noWrap w:val="0"/>
            <w:vAlign w:val="center"/>
          </w:tcPr>
          <w:p w14:paraId="5C9CDFF8">
            <w:pPr>
              <w:snapToGrid w:val="0"/>
              <w:jc w:val="cente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1</w:t>
            </w:r>
          </w:p>
        </w:tc>
        <w:tc>
          <w:tcPr>
            <w:tcW w:w="1650"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94B470D">
            <w:pPr>
              <w:snapToGrid w:val="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对违法排放污染物的有关证据可能灭失或者被藏匿的行政强制</w:t>
            </w:r>
          </w:p>
        </w:tc>
        <w:tc>
          <w:tcPr>
            <w:tcW w:w="1200" w:type="dxa"/>
            <w:tcBorders>
              <w:top w:val="single" w:color="auto" w:sz="4" w:space="0"/>
              <w:left w:val="single" w:color="000000" w:sz="4" w:space="0"/>
              <w:bottom w:val="single" w:color="000000" w:sz="4" w:space="0"/>
              <w:right w:val="single" w:color="auto" w:sz="4" w:space="0"/>
            </w:tcBorders>
            <w:shd w:val="clear" w:color="auto" w:fill="auto"/>
            <w:noWrap w:val="0"/>
            <w:vAlign w:val="center"/>
          </w:tcPr>
          <w:p w14:paraId="03528444">
            <w:pPr>
              <w:snapToGrid w:val="0"/>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797CAEE2">
            <w:pPr>
              <w:snapToGrid w:val="0"/>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涉及供水、供气、供热、电力、通信、公共交通、物流配送、防灾避险等与民生密切相关地基础设施，违法行为情节显著轻微或者没有造成明显社会危害的。</w:t>
            </w:r>
          </w:p>
        </w:tc>
        <w:tc>
          <w:tcPr>
            <w:tcW w:w="8692" w:type="dxa"/>
            <w:tcBorders>
              <w:top w:val="single" w:color="auto" w:sz="4" w:space="0"/>
              <w:left w:val="single" w:color="000000" w:sz="4" w:space="0"/>
              <w:bottom w:val="single" w:color="000000" w:sz="4" w:space="0"/>
              <w:right w:val="single" w:color="000000" w:sz="12" w:space="0"/>
            </w:tcBorders>
            <w:shd w:val="clear" w:color="auto" w:fill="auto"/>
            <w:noWrap w:val="0"/>
            <w:vAlign w:val="center"/>
          </w:tcPr>
          <w:p w14:paraId="7E7838B6">
            <w:pPr>
              <w:snapToGrid w:val="0"/>
              <w:ind w:firstLine="480" w:firstLineChars="200"/>
              <w:jc w:val="both"/>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szCs w:val="24"/>
                <w:highlight w:val="none"/>
                <w:lang w:bidi="ar-SA"/>
              </w:rPr>
              <w:t>1.《中华人民共和国行政强制法》（2012年修订）第十六条第二款  违法行为情节显著轻微或者没有明显社会危害的，可以不采取行政强制措施。</w:t>
            </w:r>
          </w:p>
          <w:p w14:paraId="337D7D78">
            <w:pPr>
              <w:keepNext w:val="0"/>
              <w:keepLines w:val="0"/>
              <w:widowControl/>
              <w:suppressLineNumbers w:val="0"/>
              <w:ind w:firstLine="480" w:firstLineChars="200"/>
              <w:jc w:val="both"/>
              <w:rPr>
                <w:rFonts w:hint="default" w:ascii="Times New Roman" w:hAnsi="Times New Roman" w:eastAsia="仿宋_GB2312" w:cs="Times New Roman"/>
                <w:strike w:val="0"/>
                <w:dstrike w:val="0"/>
                <w:color w:val="auto"/>
                <w:kern w:val="2"/>
                <w:sz w:val="24"/>
                <w:szCs w:val="24"/>
                <w:highlight w:val="none"/>
                <w:u w:val="none"/>
                <w:lang w:val="en-US" w:eastAsia="zh-CN" w:bidi="ar-SA"/>
              </w:rPr>
            </w:pPr>
            <w:r>
              <w:rPr>
                <w:rFonts w:hint="default" w:ascii="Times New Roman" w:hAnsi="Times New Roman" w:eastAsia="仿宋_GB2312" w:cs="Times New Roman"/>
                <w:strike w:val="0"/>
                <w:dstrike w:val="0"/>
                <w:color w:val="auto"/>
                <w:kern w:val="2"/>
                <w:sz w:val="24"/>
                <w:szCs w:val="24"/>
                <w:highlight w:val="none"/>
                <w:u w:val="none"/>
                <w:lang w:val="en-US" w:eastAsia="zh-CN" w:bidi="ar-SA"/>
              </w:rPr>
              <w:t>2.《中华人民共和国生态环境法典》</w:t>
            </w:r>
          </w:p>
          <w:p w14:paraId="63844318">
            <w:pPr>
              <w:snapToGrid w:val="0"/>
              <w:ind w:firstLine="480" w:firstLineChars="200"/>
              <w:jc w:val="both"/>
              <w:rPr>
                <w:rFonts w:hint="default" w:ascii="Times New Roman" w:hAnsi="Times New Roman" w:eastAsia="仿宋_GB2312" w:cs="Times New Roman"/>
                <w:color w:val="auto"/>
                <w:spacing w:val="0"/>
                <w:kern w:val="0"/>
                <w:sz w:val="24"/>
                <w:szCs w:val="24"/>
                <w:highlight w:val="none"/>
                <w:lang w:bidi="ar-SA"/>
              </w:rPr>
            </w:pPr>
            <w:r>
              <w:rPr>
                <w:rFonts w:hint="default" w:ascii="Times New Roman" w:hAnsi="Times New Roman" w:eastAsia="仿宋_GB2312" w:cs="Times New Roman"/>
                <w:color w:val="auto"/>
                <w:spacing w:val="0"/>
                <w:kern w:val="0"/>
                <w:sz w:val="24"/>
                <w:szCs w:val="24"/>
                <w:highlight w:val="none"/>
                <w:lang w:val="en-US" w:eastAsia="zh-CN" w:bidi="ar-SA"/>
              </w:rPr>
              <w:t>第五十二条  企业事业单位和其他生产经营者违反法律法规规定，造成或者可能造成严重污染环境、破坏生态等后果，或者有关证据可能灭失、被隐匿的，负有生态环境保护监督管理职责的部门可以依法查封、扣押有关场所、船舶、设施、设备、工具、物品。</w:t>
            </w:r>
          </w:p>
          <w:p w14:paraId="4D7344B2">
            <w:pPr>
              <w:snapToGrid w:val="0"/>
              <w:jc w:val="both"/>
              <w:rPr>
                <w:rFonts w:hint="default" w:ascii="Times New Roman" w:hAnsi="Times New Roman" w:eastAsia="仿宋_GB2312" w:cs="Times New Roman"/>
                <w:color w:val="auto"/>
                <w:sz w:val="24"/>
                <w:szCs w:val="24"/>
                <w:highlight w:val="none"/>
                <w:lang w:eastAsia="zh-CN" w:bidi="ar-SA"/>
              </w:rPr>
            </w:pPr>
          </w:p>
        </w:tc>
      </w:tr>
      <w:tr w14:paraId="61E255B7">
        <w:tblPrEx>
          <w:shd w:val="clear" w:color="auto" w:fill="auto"/>
          <w:tblCellMar>
            <w:top w:w="15" w:type="dxa"/>
            <w:left w:w="15" w:type="dxa"/>
            <w:bottom w:w="15" w:type="dxa"/>
            <w:right w:w="15" w:type="dxa"/>
          </w:tblCellMar>
        </w:tblPrEx>
        <w:trPr>
          <w:trHeight w:val="5883" w:hRule="atLeast"/>
          <w:jc w:val="center"/>
        </w:trPr>
        <w:tc>
          <w:tcPr>
            <w:tcW w:w="675"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14:paraId="77C14E83">
            <w:pPr>
              <w:snapToGrid w:val="0"/>
              <w:jc w:val="center"/>
              <w:rPr>
                <w:rFonts w:hint="default" w:ascii="Times New Roman" w:hAnsi="Times New Roman" w:eastAsia="仿宋_GB2312" w:cs="Times New Roman"/>
                <w:color w:val="auto"/>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bidi="ar-SA"/>
              </w:rPr>
              <w:t>2</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0BF0B">
            <w:pPr>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highlight w:val="none"/>
              </w:rPr>
              <w:t>对涉及基本民生、生产安全</w:t>
            </w:r>
            <w:r>
              <w:rPr>
                <w:rFonts w:hint="eastAsia"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highlight w:val="none"/>
              </w:rPr>
              <w:t>公共利益等生产经营活动，造成或者可能造成严重污染排污者的行政强制</w:t>
            </w:r>
          </w:p>
        </w:tc>
        <w:tc>
          <w:tcPr>
            <w:tcW w:w="12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9DD9297">
            <w:pPr>
              <w:rPr>
                <w:rFonts w:hint="default" w:ascii="Times New Roman" w:hAnsi="Times New Roman" w:eastAsia="仿宋_GB2312" w:cs="Times New Roman"/>
                <w:color w:val="auto"/>
                <w:sz w:val="24"/>
                <w:szCs w:val="24"/>
                <w:highlight w:val="none"/>
                <w:lang w:eastAsia="zh-CN" w:bidi="ar-SA"/>
              </w:rPr>
            </w:pPr>
            <w:r>
              <w:rPr>
                <w:rFonts w:hint="eastAsia" w:ascii="Times New Roman" w:hAnsi="Times New Roman" w:eastAsia="仿宋_GB2312" w:cs="Times New Roman"/>
                <w:color w:val="auto"/>
                <w:sz w:val="24"/>
                <w:szCs w:val="24"/>
                <w:highlight w:val="none"/>
                <w:lang w:eastAsia="zh-CN" w:bidi="ar-SA"/>
              </w:rPr>
              <w:t>龙岩市</w:t>
            </w:r>
            <w:r>
              <w:rPr>
                <w:rFonts w:hint="eastAsia" w:ascii="Times New Roman" w:hAnsi="Times New Roman" w:eastAsia="仿宋_GB2312" w:cs="Times New Roman"/>
                <w:color w:val="auto"/>
                <w:sz w:val="24"/>
                <w:szCs w:val="24"/>
                <w:highlight w:val="none"/>
                <w:lang w:val="en-US" w:eastAsia="zh-CN" w:bidi="ar-SA"/>
              </w:rPr>
              <w:t>漳平生态环境局</w:t>
            </w:r>
          </w:p>
        </w:tc>
        <w:tc>
          <w:tcPr>
            <w:tcW w:w="2614"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3544533">
            <w:pPr>
              <w:numPr>
                <w:ilvl w:val="0"/>
                <w:numId w:val="0"/>
              </w:numPr>
              <w:ind w:firstLine="480" w:firstLineChars="200"/>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lang w:val="en-US" w:eastAsia="zh-CN"/>
              </w:rPr>
              <w:t>1.</w:t>
            </w:r>
            <w:r>
              <w:rPr>
                <w:rFonts w:hint="default" w:ascii="Times New Roman" w:hAnsi="Times New Roman" w:eastAsia="仿宋_GB2312" w:cs="Times New Roman"/>
                <w:color w:val="auto"/>
                <w:sz w:val="24"/>
                <w:highlight w:val="none"/>
              </w:rPr>
              <w:t>涉及城镇污水处理、垃圾处理、危险废物处置等公共设施，或者供水、供气、供热、电力、通信、公共交通、物流配送、防灾避险等与民生密切相关的基础设施，或者实施查封、扣押可能影响生产安全的；</w:t>
            </w:r>
          </w:p>
          <w:p w14:paraId="2B0CC1E2">
            <w:pPr>
              <w:numPr>
                <w:ilvl w:val="0"/>
                <w:numId w:val="0"/>
              </w:numPr>
              <w:ind w:firstLine="480" w:firstLineChars="200"/>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lang w:val="en-US" w:eastAsia="zh-CN"/>
              </w:rPr>
              <w:t>2.</w:t>
            </w:r>
            <w:r>
              <w:rPr>
                <w:rFonts w:hint="default" w:ascii="Times New Roman" w:hAnsi="Times New Roman" w:eastAsia="仿宋_GB2312" w:cs="Times New Roman"/>
                <w:color w:val="auto"/>
                <w:sz w:val="24"/>
                <w:highlight w:val="none"/>
              </w:rPr>
              <w:t>违法行为情节显著轻微或者没有造成明显社会危害；</w:t>
            </w:r>
          </w:p>
          <w:p w14:paraId="54A6F8F3">
            <w:pPr>
              <w:numPr>
                <w:ilvl w:val="0"/>
                <w:numId w:val="0"/>
              </w:numPr>
              <w:ind w:firstLine="480" w:firstLineChars="200"/>
              <w:rPr>
                <w:rFonts w:hint="default" w:ascii="Times New Roman" w:hAnsi="Times New Roman" w:eastAsia="仿宋_GB2312" w:cs="Times New Roman"/>
                <w:color w:val="auto"/>
                <w:sz w:val="24"/>
                <w:szCs w:val="24"/>
                <w:highlight w:val="none"/>
                <w:lang w:bidi="ar-SA"/>
              </w:rPr>
            </w:pPr>
            <w:r>
              <w:rPr>
                <w:rFonts w:hint="default" w:ascii="Times New Roman" w:hAnsi="Times New Roman" w:eastAsia="仿宋_GB2312" w:cs="Times New Roman"/>
                <w:color w:val="auto"/>
                <w:sz w:val="24"/>
                <w:highlight w:val="none"/>
                <w:lang w:val="en-US" w:eastAsia="zh-CN"/>
              </w:rPr>
              <w:t>3.</w:t>
            </w:r>
            <w:r>
              <w:rPr>
                <w:rFonts w:hint="default" w:ascii="Times New Roman" w:hAnsi="Times New Roman" w:eastAsia="仿宋_GB2312" w:cs="Times New Roman"/>
                <w:color w:val="auto"/>
                <w:sz w:val="24"/>
                <w:highlight w:val="none"/>
              </w:rPr>
              <w:t>采用非强制性手段能够达到行政管理目的。</w:t>
            </w:r>
          </w:p>
        </w:tc>
        <w:tc>
          <w:tcPr>
            <w:tcW w:w="8692"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14:paraId="4BD31EAF">
            <w:pPr>
              <w:widowControl/>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《环境保护主管部门实施查封、扣押办法》第六条 具备下列情形之一的排污者，造成或者可能造成严重污染的，环境保护主管部门应当按照有关环境保护法律法规予以处罚，可以不予实施查封、扣押：</w:t>
            </w:r>
          </w:p>
          <w:p w14:paraId="1C7E967D">
            <w:pPr>
              <w:widowControl/>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（一）城镇污水处理、垃圾处理、危险废物处置等公共设施的运营单位；</w:t>
            </w:r>
          </w:p>
          <w:p w14:paraId="361BD016">
            <w:pPr>
              <w:widowControl/>
              <w:ind w:firstLine="480" w:firstLineChars="2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（二）生产经营业务涉及基本民生、公共利益的；</w:t>
            </w:r>
          </w:p>
          <w:p w14:paraId="6E0B9519">
            <w:pPr>
              <w:snapToGrid w:val="0"/>
              <w:ind w:firstLine="480" w:firstLineChars="200"/>
              <w:jc w:val="both"/>
              <w:rPr>
                <w:rFonts w:hint="default" w:ascii="Times New Roman" w:hAnsi="Times New Roman" w:eastAsia="仿宋_GB2312" w:cs="Times New Roman"/>
                <w:color w:val="auto"/>
                <w:sz w:val="24"/>
                <w:szCs w:val="24"/>
                <w:highlight w:val="none"/>
                <w:lang w:val="en-US" w:eastAsia="zh-CN" w:bidi="ar-SA"/>
              </w:rPr>
            </w:pPr>
            <w:r>
              <w:rPr>
                <w:rFonts w:hint="default" w:ascii="Times New Roman" w:hAnsi="Times New Roman" w:eastAsia="仿宋_GB2312" w:cs="Times New Roman"/>
                <w:color w:val="auto"/>
                <w:sz w:val="24"/>
                <w:szCs w:val="24"/>
                <w:highlight w:val="none"/>
              </w:rPr>
              <w:t>（三）实施查封、扣押可能影响生产安全的。</w:t>
            </w:r>
          </w:p>
        </w:tc>
      </w:tr>
    </w:tbl>
    <w:p w14:paraId="7295F89C"/>
    <w:sectPr>
      <w:footerReference r:id="rId4" w:type="default"/>
      <w:pgSz w:w="16838" w:h="11906" w:orient="landscape"/>
      <w:pgMar w:top="1474" w:right="1984" w:bottom="147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A7EAE">
    <w:pPr>
      <w:widowControl w:val="0"/>
      <w:tabs>
        <w:tab w:val="center" w:pos="4153"/>
        <w:tab w:val="right" w:pos="8306"/>
      </w:tabs>
      <w:snapToGrid w:val="0"/>
      <w:ind w:right="360" w:firstLine="360"/>
      <w:jc w:val="left"/>
      <w:rPr>
        <w:rFonts w:ascii="Calibri" w:hAnsi="Calibri" w:eastAsia="宋体" w:cs="Times New Roman"/>
        <w:kern w:val="0"/>
        <w:sz w:val="18"/>
        <w:szCs w:val="18"/>
        <w:lang w:val="en-US" w:eastAsia="zh-CN" w:bidi="ar-SA"/>
      </w:rPr>
    </w:pPr>
    <w:r>
      <w:rPr>
        <w:rFonts w:ascii="Calibri" w:hAnsi="Calibri" w:eastAsia="宋体" w:cs="Calibri"/>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59E5A6">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default" w:ascii="Times New Roman" w:hAnsi="Times New Roman" w:eastAsia="宋体" w:cs="Times New Roman"/>
                              <w:kern w:val="0"/>
                              <w:sz w:val="28"/>
                              <w:szCs w:val="28"/>
                              <w:lang w:val="en-US" w:eastAsia="zh-CN" w:bidi="ar-SA"/>
                            </w:rPr>
                          </w:pPr>
                          <w:r>
                            <w:rPr>
                              <w:rFonts w:hint="default" w:ascii="Times New Roman" w:hAnsi="Times New Roman" w:eastAsia="宋体" w:cs="Times New Roman"/>
                              <w:kern w:val="0"/>
                              <w:sz w:val="28"/>
                              <w:szCs w:val="28"/>
                              <w:lang w:val="en-US" w:eastAsia="zh-CN" w:bidi="ar-SA"/>
                            </w:rPr>
                            <w:t xml:space="preserve">— </w:t>
                          </w:r>
                          <w:r>
                            <w:rPr>
                              <w:rFonts w:hint="default" w:ascii="Times New Roman" w:hAnsi="Times New Roman" w:eastAsia="宋体" w:cs="Times New Roman"/>
                              <w:kern w:val="0"/>
                              <w:sz w:val="28"/>
                              <w:szCs w:val="28"/>
                              <w:lang w:val="en-US" w:eastAsia="zh-CN" w:bidi="ar-SA"/>
                            </w:rPr>
                            <w:fldChar w:fldCharType="begin"/>
                          </w:r>
                          <w:r>
                            <w:rPr>
                              <w:rFonts w:hint="default" w:ascii="Times New Roman" w:hAnsi="Times New Roman" w:eastAsia="宋体" w:cs="Times New Roman"/>
                              <w:kern w:val="0"/>
                              <w:sz w:val="28"/>
                              <w:szCs w:val="28"/>
                              <w:lang w:val="en-US" w:eastAsia="zh-CN" w:bidi="ar-SA"/>
                            </w:rPr>
                            <w:instrText xml:space="preserve"> PAGE  \* MERGEFORMAT </w:instrText>
                          </w:r>
                          <w:r>
                            <w:rPr>
                              <w:rFonts w:hint="default" w:ascii="Times New Roman" w:hAnsi="Times New Roman" w:eastAsia="宋体" w:cs="Times New Roman"/>
                              <w:kern w:val="0"/>
                              <w:sz w:val="28"/>
                              <w:szCs w:val="28"/>
                              <w:lang w:val="en-US" w:eastAsia="zh-CN" w:bidi="ar-SA"/>
                            </w:rPr>
                            <w:fldChar w:fldCharType="separate"/>
                          </w:r>
                          <w:r>
                            <w:rPr>
                              <w:rFonts w:hint="default" w:ascii="Times New Roman" w:hAnsi="Times New Roman" w:eastAsia="宋体" w:cs="Times New Roman"/>
                              <w:kern w:val="0"/>
                              <w:sz w:val="28"/>
                              <w:szCs w:val="28"/>
                              <w:lang w:val="en-US" w:eastAsia="zh-CN" w:bidi="ar-SA"/>
                            </w:rPr>
                            <w:t>1</w:t>
                          </w:r>
                          <w:r>
                            <w:rPr>
                              <w:rFonts w:hint="default" w:ascii="Times New Roman" w:hAnsi="Times New Roman" w:eastAsia="宋体" w:cs="Times New Roman"/>
                              <w:kern w:val="0"/>
                              <w:sz w:val="28"/>
                              <w:szCs w:val="28"/>
                              <w:lang w:val="en-US" w:eastAsia="zh-CN" w:bidi="ar-SA"/>
                            </w:rPr>
                            <w:fldChar w:fldCharType="end"/>
                          </w:r>
                          <w:r>
                            <w:rPr>
                              <w:rFonts w:hint="default" w:ascii="Times New Roman" w:hAnsi="Times New Roman" w:eastAsia="宋体" w:cs="Times New Roman"/>
                              <w:kern w:val="0"/>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359E5A6">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default" w:ascii="Times New Roman" w:hAnsi="Times New Roman" w:eastAsia="宋体" w:cs="Times New Roman"/>
                        <w:kern w:val="0"/>
                        <w:sz w:val="28"/>
                        <w:szCs w:val="28"/>
                        <w:lang w:val="en-US" w:eastAsia="zh-CN" w:bidi="ar-SA"/>
                      </w:rPr>
                    </w:pPr>
                    <w:r>
                      <w:rPr>
                        <w:rFonts w:hint="default" w:ascii="Times New Roman" w:hAnsi="Times New Roman" w:eastAsia="宋体" w:cs="Times New Roman"/>
                        <w:kern w:val="0"/>
                        <w:sz w:val="28"/>
                        <w:szCs w:val="28"/>
                        <w:lang w:val="en-US" w:eastAsia="zh-CN" w:bidi="ar-SA"/>
                      </w:rPr>
                      <w:t xml:space="preserve">— </w:t>
                    </w:r>
                    <w:r>
                      <w:rPr>
                        <w:rFonts w:hint="default" w:ascii="Times New Roman" w:hAnsi="Times New Roman" w:eastAsia="宋体" w:cs="Times New Roman"/>
                        <w:kern w:val="0"/>
                        <w:sz w:val="28"/>
                        <w:szCs w:val="28"/>
                        <w:lang w:val="en-US" w:eastAsia="zh-CN" w:bidi="ar-SA"/>
                      </w:rPr>
                      <w:fldChar w:fldCharType="begin"/>
                    </w:r>
                    <w:r>
                      <w:rPr>
                        <w:rFonts w:hint="default" w:ascii="Times New Roman" w:hAnsi="Times New Roman" w:eastAsia="宋体" w:cs="Times New Roman"/>
                        <w:kern w:val="0"/>
                        <w:sz w:val="28"/>
                        <w:szCs w:val="28"/>
                        <w:lang w:val="en-US" w:eastAsia="zh-CN" w:bidi="ar-SA"/>
                      </w:rPr>
                      <w:instrText xml:space="preserve"> PAGE  \* MERGEFORMAT </w:instrText>
                    </w:r>
                    <w:r>
                      <w:rPr>
                        <w:rFonts w:hint="default" w:ascii="Times New Roman" w:hAnsi="Times New Roman" w:eastAsia="宋体" w:cs="Times New Roman"/>
                        <w:kern w:val="0"/>
                        <w:sz w:val="28"/>
                        <w:szCs w:val="28"/>
                        <w:lang w:val="en-US" w:eastAsia="zh-CN" w:bidi="ar-SA"/>
                      </w:rPr>
                      <w:fldChar w:fldCharType="separate"/>
                    </w:r>
                    <w:r>
                      <w:rPr>
                        <w:rFonts w:hint="default" w:ascii="Times New Roman" w:hAnsi="Times New Roman" w:eastAsia="宋体" w:cs="Times New Roman"/>
                        <w:kern w:val="0"/>
                        <w:sz w:val="28"/>
                        <w:szCs w:val="28"/>
                        <w:lang w:val="en-US" w:eastAsia="zh-CN" w:bidi="ar-SA"/>
                      </w:rPr>
                      <w:t>1</w:t>
                    </w:r>
                    <w:r>
                      <w:rPr>
                        <w:rFonts w:hint="default" w:ascii="Times New Roman" w:hAnsi="Times New Roman" w:eastAsia="宋体" w:cs="Times New Roman"/>
                        <w:kern w:val="0"/>
                        <w:sz w:val="28"/>
                        <w:szCs w:val="28"/>
                        <w:lang w:val="en-US" w:eastAsia="zh-CN" w:bidi="ar-SA"/>
                      </w:rPr>
                      <w:fldChar w:fldCharType="end"/>
                    </w:r>
                    <w:r>
                      <w:rPr>
                        <w:rFonts w:hint="default" w:ascii="Times New Roman" w:hAnsi="Times New Roman" w:eastAsia="宋体" w:cs="Times New Roman"/>
                        <w:kern w:val="0"/>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ECAED">
    <w:pPr>
      <w:pStyle w:val="3"/>
      <w:ind w:right="360" w:firstLine="360"/>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F0D6A">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56F0D6A">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40F6B"/>
    <w:multiLevelType w:val="singleLevel"/>
    <w:tmpl w:val="8AF40F6B"/>
    <w:lvl w:ilvl="0" w:tentative="0">
      <w:start w:val="3"/>
      <w:numFmt w:val="chineseCounting"/>
      <w:suff w:val="nothing"/>
      <w:lvlText w:val="%1、"/>
      <w:lvlJc w:val="left"/>
      <w:rPr>
        <w:rFonts w:hint="eastAsia"/>
      </w:rPr>
    </w:lvl>
  </w:abstractNum>
  <w:abstractNum w:abstractNumId="1">
    <w:nsid w:val="FFEE6219"/>
    <w:multiLevelType w:val="singleLevel"/>
    <w:tmpl w:val="FFEE621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03899"/>
    <w:rsid w:val="11334FBB"/>
    <w:rsid w:val="11665A0D"/>
    <w:rsid w:val="13516249"/>
    <w:rsid w:val="269B7AAF"/>
    <w:rsid w:val="4F0973FC"/>
    <w:rsid w:val="54983D6A"/>
    <w:rsid w:val="58B03899"/>
    <w:rsid w:val="71870DF3"/>
    <w:rsid w:val="766034F6"/>
    <w:rsid w:val="7F255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5"/>
    <w:basedOn w:val="1"/>
    <w:next w:val="1"/>
    <w:semiHidden/>
    <w:qFormat/>
    <w:uiPriority w:val="99"/>
    <w:pPr>
      <w:ind w:left="1680"/>
    </w:pPr>
    <w:rPr>
      <w:rFonts w:ascii="仿宋_GB2312" w:eastAsia="仿宋_GB2312"/>
      <w:sz w:val="32"/>
      <w:szCs w:val="32"/>
    </w:rPr>
  </w:style>
  <w:style w:type="paragraph" w:styleId="3">
    <w:name w:val="footer"/>
    <w:basedOn w:val="1"/>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6611</Words>
  <Characters>6699</Characters>
  <Lines>0</Lines>
  <Paragraphs>0</Paragraphs>
  <TotalTime>22</TotalTime>
  <ScaleCrop>false</ScaleCrop>
  <LinksUpToDate>false</LinksUpToDate>
  <CharactersWithSpaces>6757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2026-09-11T10:11:00Z</dcterms:created>
  <dc:creator>kang****@****asd.xyz</dc:creator>
  <cp:lastModifiedBy>苏雪莉</cp:lastModifiedBy>
  <dcterms:modified xsi:type="dcterms:W3CDTF">2026-09-15T01:19:36Z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CD68A551D87A45C5922FB46C1CEC673C_11</vt:lpwstr>
  </property>
  <property fmtid="{D5CDD505-2E9C-101B-9397-08002B2CF9AE}" pid="4" name="KSOTemplateDocerSaveRecord">
    <vt:lpwstr>eyJoZGlkIjoiZjkwOGU4NDc1Njc5YWYzM2RlZjI4OGYyYmM3ZDA5YzIiLCJ1c2VySWQiOiIxMTc3NjIyODM3In0=</vt:lpwstr>
  </property>
</Properties>
</file>