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10.xml"/>
  <Override ContentType="application/vnd.openxmlformats-officedocument.wordprocessingml.footer+xml" PartName="/word/footer11.xml"/>
  <Override ContentType="application/vnd.openxmlformats-officedocument.wordprocessingml.footer+xml" PartName="/word/footer12.xml"/>
  <Override ContentType="application/vnd.openxmlformats-officedocument.wordprocessingml.footer+xml" PartName="/word/footer13.xml"/>
  <Override ContentType="application/vnd.openxmlformats-officedocument.wordprocessingml.footer+xml" PartName="/word/footer14.xml"/>
  <Override ContentType="application/vnd.openxmlformats-officedocument.wordprocessingml.footer+xml" PartName="/word/footer15.xml"/>
  <Override ContentType="application/vnd.openxmlformats-officedocument.wordprocessingml.footer+xml" PartName="/word/footer16.xml"/>
  <Override ContentType="application/vnd.openxmlformats-officedocument.wordprocessingml.footer+xml" PartName="/word/footer17.xml"/>
  <Override ContentType="application/vnd.openxmlformats-officedocument.wordprocessingml.footer+xml" PartName="/word/footer18.xml"/>
  <Override ContentType="application/vnd.openxmlformats-officedocument.wordprocessingml.footer+xml" PartName="/word/footer19.xml"/>
  <Override ContentType="application/vnd.openxmlformats-officedocument.wordprocessingml.footer+xml" PartName="/word/footer2.xml"/>
  <Override ContentType="application/vnd.openxmlformats-officedocument.wordprocessingml.footer+xml" PartName="/word/footer20.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Override ContentType="application/vnd.openxmlformats-officedocument.wordprocessingml.footer+xml" PartName="/word/footer6.xml"/>
  <Override ContentType="application/vnd.openxmlformats-officedocument.wordprocessingml.footer+xml" PartName="/word/footer7.xml"/>
  <Override ContentType="application/vnd.openxmlformats-officedocument.wordprocessingml.footer+xml" PartName="/word/footer8.xml"/>
  <Override ContentType="application/vnd.openxmlformats-officedocument.wordprocessingml.footer+xml" PartName="/word/footer9.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360" w:lineRule="auto"/>
        <w:jc w:val="center"/>
        <w:rPr>
          <w:rFonts w:ascii="宋体" w:hAnsi="宋体"/>
          <w:sz w:val="24"/>
        </w:rPr>
      </w:pPr>
    </w:p>
    <w:p>
      <w:pPr>
        <w:spacing w:line="360" w:lineRule="auto"/>
        <w:jc w:val="center"/>
        <w:rPr>
          <w:rFonts w:ascii="宋体" w:hAnsi="宋体"/>
          <w:sz w:val="24"/>
        </w:rPr>
      </w:pPr>
    </w:p>
    <w:p>
      <w:pPr>
        <w:spacing w:line="360" w:lineRule="auto"/>
        <w:jc w:val="center"/>
        <w:rPr>
          <w:rFonts w:ascii="宋体" w:hAnsi="宋体"/>
          <w:sz w:val="24"/>
        </w:rPr>
      </w:pPr>
    </w:p>
    <w:p>
      <w:pPr>
        <w:spacing w:line="360" w:lineRule="auto"/>
        <w:jc w:val="center"/>
        <w:rPr>
          <w:rFonts w:ascii="宋体" w:hAnsi="宋体"/>
          <w:sz w:val="24"/>
        </w:rPr>
      </w:pPr>
    </w:p>
    <w:p>
      <w:pPr>
        <w:widowControl/>
        <w:jc w:val="center"/>
        <w:rPr>
          <w:sz w:val="32"/>
          <w:szCs w:val="32"/>
          <w:highlight w:val="none"/>
        </w:rPr>
      </w:pPr>
    </w:p>
    <w:p>
      <w:pPr>
        <w:widowControl/>
        <w:jc w:val="both"/>
        <w:rPr>
          <w:sz w:val="84"/>
          <w:szCs w:val="84"/>
          <w:highlight w:val="none"/>
        </w:rPr>
      </w:pPr>
    </w:p>
    <w:p>
      <w:pPr>
        <w:widowControl/>
        <w:jc w:val="center"/>
        <w:rPr>
          <w:rFonts w:hint="eastAsia" w:ascii="宋体" w:hAnsi="宋体" w:eastAsia="宋体" w:cs="宋体"/>
          <w:b/>
          <w:bCs/>
          <w:sz w:val="84"/>
          <w:szCs w:val="84"/>
          <w:highlight w:val="none"/>
        </w:rPr>
      </w:pPr>
      <w:r>
        <w:rPr>
          <w:rFonts w:hint="eastAsia" w:ascii="宋体" w:hAnsi="宋体" w:eastAsia="宋体" w:cs="宋体"/>
          <w:b/>
          <w:bCs/>
          <w:sz w:val="84"/>
          <w:szCs w:val="84"/>
          <w:highlight w:val="none"/>
          <w:lang w:val="en-US" w:eastAsia="zh-CN"/>
        </w:rPr>
        <w:t>2025</w:t>
      </w:r>
      <w:r>
        <w:rPr>
          <w:rFonts w:hint="eastAsia" w:ascii="宋体" w:hAnsi="宋体" w:eastAsia="宋体" w:cs="宋体"/>
          <w:b/>
          <w:bCs/>
          <w:sz w:val="84"/>
          <w:szCs w:val="84"/>
          <w:highlight w:val="none"/>
        </w:rPr>
        <w:t>年度</w:t>
      </w:r>
    </w:p>
    <w:p>
      <w:pPr>
        <w:widowControl/>
        <w:jc w:val="center"/>
        <w:rPr>
          <w:rFonts w:hint="eastAsia" w:ascii="宋体" w:hAnsi="宋体" w:eastAsia="宋体" w:cs="宋体"/>
          <w:b/>
          <w:bCs/>
          <w:sz w:val="84"/>
          <w:szCs w:val="84"/>
          <w:highlight w:val="none"/>
          <w:lang w:val="en-US" w:eastAsia="zh-CN"/>
        </w:rPr>
        <w:sectPr>
          <w:footerReference r:id="rId4" w:type="default"/>
          <w:pgSz w:w="11906" w:h="16838"/>
          <w:pgMar w:top="1440" w:right="1083" w:bottom="1440" w:left="1083" w:header="0" w:footer="720" w:gutter="0"/>
          <w:pgBorders>
            <w:top w:val="none" w:color="auto" w:sz="0" w:space="0"/>
            <w:left w:val="none" w:color="auto" w:sz="0" w:space="0"/>
            <w:bottom w:val="none" w:color="auto" w:sz="0" w:space="0"/>
            <w:right w:val="none" w:color="auto" w:sz="0" w:space="0"/>
          </w:pgBorders>
          <w:pgNumType w:fmt="decimal"/>
          <w:cols w:space="720" w:num="1"/>
          <w:titlePg/>
          <w:rtlGutter w:val="0"/>
          <w:docGrid w:type="lines" w:linePitch="317" w:charSpace="0"/>
        </w:sectPr>
      </w:pPr>
      <w:r>
        <w:rPr>
          <w:rFonts w:hint="eastAsia" w:ascii="宋体" w:hAnsi="宋体" w:eastAsia="宋体" w:cs="宋体"/>
          <w:b/>
          <w:bCs/>
          <w:sz w:val="84"/>
          <w:szCs w:val="84"/>
          <w:highlight w:val="none"/>
        </w:rPr>
        <w:t>漳平市人民政府菁城街道办事处</w:t>
      </w:r>
      <w:r>
        <w:rPr>
          <w:rFonts w:hint="eastAsia" w:ascii="宋体" w:hAnsi="宋体" w:eastAsia="宋体" w:cs="宋体"/>
          <w:b/>
          <w:bCs/>
          <w:sz w:val="84"/>
          <w:u w:val="none" w:color="auto"/>
          <w:lang w:val="en-US" w:eastAsia="zh-CN"/>
        </w:rPr>
        <w:t>部门</w:t>
      </w:r>
      <w:r>
        <w:rPr>
          <w:rFonts w:hint="eastAsia" w:ascii="宋体" w:hAnsi="宋体" w:eastAsia="宋体" w:cs="宋体"/>
          <w:b/>
          <w:bCs/>
          <w:sz w:val="84"/>
          <w:szCs w:val="84"/>
          <w:highlight w:val="none"/>
        </w:rPr>
        <w:t>决算</w:t>
      </w:r>
    </w:p>
    <w:p>
      <w:pPr>
        <w:widowControl/>
        <w:spacing w:before="0" w:beforeLines="0" w:after="0" w:afterLines="0" w:line="240" w:lineRule="auto"/>
        <w:ind w:left="0" w:leftChars="0" w:right="0" w:firstLine="0" w:firstLineChars="0"/>
        <w:jc w:val="center"/>
        <w:rPr>
          <w:rFonts w:hint="eastAsia" w:ascii="仿宋" w:hAnsi="仿宋" w:eastAsia="仿宋" w:cs="仿宋"/>
          <w:b/>
          <w:bCs/>
          <w:kern w:val="0"/>
          <w:sz w:val="32"/>
          <w:szCs w:val="32"/>
        </w:rPr>
      </w:pPr>
      <w:r>
        <w:rPr>
          <w:rFonts w:hint="eastAsia" w:ascii="仿宋" w:hAnsi="仿宋" w:eastAsia="仿宋" w:cs="仿宋"/>
          <w:b/>
          <w:bCs/>
          <w:kern w:val="0"/>
          <w:sz w:val="32"/>
          <w:szCs w:val="32"/>
        </w:rPr>
        <w:t>目</w:t>
      </w:r>
      <w:r>
        <w:rPr>
          <w:rFonts w:hint="eastAsia" w:ascii="仿宋" w:hAnsi="仿宋" w:eastAsia="仿宋" w:cs="仿宋"/>
          <w:b/>
          <w:bCs/>
          <w:kern w:val="0"/>
          <w:sz w:val="32"/>
          <w:szCs w:val="32"/>
          <w:lang w:val="en-US" w:eastAsia="zh-CN"/>
        </w:rPr>
        <w:t xml:space="preserve"> </w:t>
      </w:r>
      <w:r>
        <w:rPr>
          <w:rFonts w:hint="eastAsia" w:ascii="仿宋" w:hAnsi="仿宋" w:eastAsia="仿宋" w:cs="仿宋"/>
          <w:b/>
          <w:bCs/>
          <w:kern w:val="0"/>
          <w:sz w:val="32"/>
          <w:szCs w:val="32"/>
        </w:rPr>
        <w:t>录</w:t>
      </w:r>
    </w:p>
    <w:p>
      <w:pPr>
        <w:pStyle w:val="17"/>
        <w:tabs>
          <w:tab w:val="right" w:leader="dot" w:pos="9730"/>
        </w:tabs>
        <w:rPr>
          <w:rFonts w:ascii="Calibri" w:hAnsi="Calibri"/>
          <w:sz w:val="22"/>
        </w:rPr>
      </w:pPr>
      <w:r>
        <w:rPr>
          <w:rFonts w:hint="eastAsia" w:ascii="仿宋" w:hAnsi="仿宋" w:eastAsia="仿宋" w:cs="仿宋"/>
          <w:b w:val="0"/>
          <w:bCs/>
          <w:kern w:val="2"/>
          <w:sz w:val="32"/>
          <w:szCs w:val="32"/>
          <w:lang w:val="en-US" w:eastAsia="zh-CN" w:bidi="ar-SA"/>
        </w:rPr>
        <w:fldChar w:fldCharType="begin"/>
      </w:r>
      <w:r>
        <w:rPr>
          <w:rFonts w:hint="eastAsia" w:ascii="仿宋" w:hAnsi="仿宋" w:eastAsia="仿宋" w:cs="仿宋"/>
          <w:b w:val="0"/>
          <w:bCs/>
          <w:kern w:val="2"/>
          <w:sz w:val="32"/>
          <w:szCs w:val="32"/>
          <w:lang w:val="en-US" w:eastAsia="zh-CN" w:bidi="ar-SA"/>
        </w:rPr>
        <w:instrText xml:space="preserve">TOC \o "1-3" \h \u </w:instrText>
      </w:r>
      <w:r>
        <w:rPr>
          <w:rFonts w:hint="eastAsia" w:ascii="仿宋" w:hAnsi="仿宋" w:eastAsia="仿宋" w:cs="仿宋"/>
          <w:b w:val="0"/>
          <w:bCs/>
          <w:kern w:val="2"/>
          <w:sz w:val="32"/>
          <w:szCs w:val="32"/>
          <w:lang w:val="en-US" w:eastAsia="zh-CN" w:bidi="ar-SA"/>
        </w:rPr>
        <w:fldChar w:fldCharType="separate"/>
      </w:r>
      <w:r>
        <w:fldChar w:fldCharType="begin"/>
      </w:r>
      <w:r>
        <w:instrText xml:space="preserve">HYPERLINK  \l "_Toc256000054" </w:instrText>
      </w:r>
      <w:r>
        <w:fldChar w:fldCharType="separate"/>
      </w:r>
      <w:r>
        <w:rPr>
          <w:rStyle w:val="21"/>
          <w:rFonts w:ascii="仿宋" w:hAnsi="仿宋" w:eastAsia="仿宋" w:cs="仿宋"/>
        </w:rPr>
        <w:t>第一部分</w:t>
      </w:r>
      <w:r>
        <w:rPr>
          <w:rStyle w:val="21"/>
          <w:rFonts w:ascii="黑体" w:hAnsi="黑体" w:eastAsia="黑体" w:cs="黑体"/>
        </w:rPr>
        <w:t xml:space="preserve"> </w:t>
      </w:r>
      <w:r>
        <w:rPr>
          <w:rStyle w:val="21"/>
          <w:rFonts w:ascii="仿宋" w:hAnsi="仿宋" w:eastAsia="仿宋" w:cs="仿宋"/>
        </w:rPr>
        <w:t>部门概况</w:t>
      </w:r>
      <w:r>
        <w:tab/>
      </w:r>
      <w:r>
        <w:fldChar w:fldCharType="begin"/>
      </w:r>
      <w:r>
        <w:instrText xml:space="preserve"> PAGEREF _Toc256000054 \h </w:instrText>
      </w:r>
      <w:r>
        <w:fldChar w:fldCharType="separate"/>
      </w:r>
      <w:r>
        <w:t>1</w:t>
      </w:r>
      <w:r>
        <w:fldChar w:fldCharType="end"/>
      </w:r>
      <w:r>
        <w:fldChar w:fldCharType="end"/>
      </w:r>
    </w:p>
    <w:p>
      <w:pPr>
        <w:pStyle w:val="10"/>
        <w:tabs>
          <w:tab w:val="right" w:leader="dot" w:pos="9730"/>
        </w:tabs>
        <w:rPr>
          <w:rFonts w:ascii="Calibri" w:hAnsi="Calibri"/>
          <w:sz w:val="22"/>
        </w:rPr>
      </w:pPr>
      <w:r>
        <w:fldChar w:fldCharType="begin"/>
      </w:r>
      <w:r>
        <w:instrText xml:space="preserve">HYPERLINK  \l "_Toc256000055" </w:instrText>
      </w:r>
      <w:r>
        <w:fldChar w:fldCharType="separate"/>
      </w:r>
      <w:r>
        <w:rPr>
          <w:rStyle w:val="21"/>
          <w:rFonts w:ascii="仿宋" w:hAnsi="仿宋" w:eastAsia="仿宋" w:cs="仿宋"/>
        </w:rPr>
        <w:t>一、部门主要职责</w:t>
      </w:r>
      <w:r>
        <w:tab/>
      </w:r>
      <w:r>
        <w:fldChar w:fldCharType="begin"/>
      </w:r>
      <w:r>
        <w:instrText xml:space="preserve"> PAGEREF _Toc256000055 \h </w:instrText>
      </w:r>
      <w:r>
        <w:fldChar w:fldCharType="separate"/>
      </w:r>
      <w:r>
        <w:t>2</w:t>
      </w:r>
      <w:r>
        <w:fldChar w:fldCharType="end"/>
      </w:r>
      <w:r>
        <w:fldChar w:fldCharType="end"/>
      </w:r>
    </w:p>
    <w:p>
      <w:pPr>
        <w:pStyle w:val="10"/>
        <w:tabs>
          <w:tab w:val="right" w:leader="dot" w:pos="9730"/>
        </w:tabs>
        <w:rPr>
          <w:rFonts w:ascii="Calibri" w:hAnsi="Calibri"/>
          <w:sz w:val="22"/>
        </w:rPr>
      </w:pPr>
      <w:r>
        <w:fldChar w:fldCharType="begin"/>
      </w:r>
      <w:r>
        <w:instrText xml:space="preserve">HYPERLINK  \l "_Toc256000056" </w:instrText>
      </w:r>
      <w:r>
        <w:fldChar w:fldCharType="separate"/>
      </w:r>
      <w:r>
        <w:rPr>
          <w:rStyle w:val="21"/>
          <w:rFonts w:ascii="仿宋" w:hAnsi="仿宋" w:eastAsia="仿宋" w:cs="仿宋"/>
        </w:rPr>
        <w:t>二、部门决算单位基本情况</w:t>
      </w:r>
      <w:r>
        <w:tab/>
      </w:r>
      <w:r>
        <w:fldChar w:fldCharType="begin"/>
      </w:r>
      <w:r>
        <w:instrText xml:space="preserve"> PAGEREF _Toc256000056 \h </w:instrText>
      </w:r>
      <w:r>
        <w:fldChar w:fldCharType="separate"/>
      </w:r>
      <w:r>
        <w:t>3</w:t>
      </w:r>
      <w:r>
        <w:fldChar w:fldCharType="end"/>
      </w:r>
      <w:r>
        <w:fldChar w:fldCharType="end"/>
      </w:r>
    </w:p>
    <w:p>
      <w:pPr>
        <w:pStyle w:val="10"/>
        <w:tabs>
          <w:tab w:val="right" w:leader="dot" w:pos="9730"/>
        </w:tabs>
        <w:rPr>
          <w:rFonts w:ascii="Calibri" w:hAnsi="Calibri"/>
          <w:sz w:val="22"/>
        </w:rPr>
      </w:pPr>
      <w:r>
        <w:fldChar w:fldCharType="begin"/>
      </w:r>
      <w:r>
        <w:instrText xml:space="preserve">HYPERLINK  \l "_Toc256000057" </w:instrText>
      </w:r>
      <w:r>
        <w:fldChar w:fldCharType="separate"/>
      </w:r>
      <w:r>
        <w:rPr>
          <w:rStyle w:val="21"/>
          <w:rFonts w:ascii="仿宋" w:hAnsi="仿宋" w:eastAsia="仿宋" w:cs="仿宋"/>
        </w:rPr>
        <w:t>三、部门主要工作总结</w:t>
      </w:r>
      <w:r>
        <w:tab/>
      </w:r>
      <w:r>
        <w:fldChar w:fldCharType="begin"/>
      </w:r>
      <w:r>
        <w:instrText xml:space="preserve"> PAGEREF _Toc256000057 \h </w:instrText>
      </w:r>
      <w:r>
        <w:fldChar w:fldCharType="separate"/>
      </w:r>
      <w:r>
        <w:t>3</w:t>
      </w:r>
      <w:r>
        <w:fldChar w:fldCharType="end"/>
      </w:r>
      <w:r>
        <w:fldChar w:fldCharType="end"/>
      </w:r>
    </w:p>
    <w:p>
      <w:pPr>
        <w:pStyle w:val="17"/>
        <w:tabs>
          <w:tab w:val="right" w:leader="dot" w:pos="9730"/>
        </w:tabs>
        <w:rPr>
          <w:rFonts w:ascii="Calibri" w:hAnsi="Calibri"/>
          <w:sz w:val="22"/>
        </w:rPr>
      </w:pPr>
      <w:r>
        <w:fldChar w:fldCharType="begin"/>
      </w:r>
      <w:r>
        <w:instrText xml:space="preserve">HYPERLINK  \l "_Toc256000058" </w:instrText>
      </w:r>
      <w:r>
        <w:fldChar w:fldCharType="separate"/>
      </w:r>
      <w:r>
        <w:rPr>
          <w:rStyle w:val="21"/>
          <w:rFonts w:ascii="仿宋" w:hAnsi="仿宋" w:eastAsia="仿宋" w:cs="仿宋"/>
        </w:rPr>
        <w:t>第二部分</w:t>
      </w:r>
      <w:r>
        <w:rPr>
          <w:rStyle w:val="21"/>
          <w:rFonts w:ascii="黑体" w:hAnsi="黑体" w:eastAsia="黑体" w:cs="黑体"/>
        </w:rPr>
        <w:t xml:space="preserve"> </w:t>
      </w:r>
      <w:r>
        <w:rPr>
          <w:rStyle w:val="21"/>
          <w:rFonts w:ascii="仿宋" w:hAnsi="仿宋" w:eastAsia="仿宋" w:cs="仿宋"/>
        </w:rPr>
        <w:t>2025年度部门决算表</w:t>
      </w:r>
      <w:r>
        <w:tab/>
      </w:r>
      <w:r>
        <w:fldChar w:fldCharType="begin"/>
      </w:r>
      <w:r>
        <w:instrText xml:space="preserve"> PAGEREF _Toc256000058 \h </w:instrText>
      </w:r>
      <w:r>
        <w:fldChar w:fldCharType="separate"/>
      </w:r>
      <w:r>
        <w:t>9</w:t>
      </w:r>
      <w:r>
        <w:fldChar w:fldCharType="end"/>
      </w:r>
      <w:r>
        <w:fldChar w:fldCharType="end"/>
      </w:r>
    </w:p>
    <w:p>
      <w:pPr>
        <w:pStyle w:val="10"/>
        <w:tabs>
          <w:tab w:val="right" w:leader="dot" w:pos="9730"/>
        </w:tabs>
        <w:rPr>
          <w:rFonts w:ascii="Calibri" w:hAnsi="Calibri"/>
          <w:sz w:val="22"/>
        </w:rPr>
      </w:pPr>
      <w:r>
        <w:fldChar w:fldCharType="begin"/>
      </w:r>
      <w:r>
        <w:instrText xml:space="preserve">HYPERLINK  \l "_Toc256000059" </w:instrText>
      </w:r>
      <w:r>
        <w:fldChar w:fldCharType="separate"/>
      </w:r>
      <w:r>
        <w:rPr>
          <w:rStyle w:val="21"/>
          <w:rFonts w:ascii="仿宋" w:hAnsi="仿宋" w:eastAsia="仿宋" w:cs="仿宋"/>
        </w:rPr>
        <w:t>一、收入支出决算总表</w:t>
      </w:r>
      <w:r>
        <w:tab/>
      </w:r>
      <w:r>
        <w:fldChar w:fldCharType="begin"/>
      </w:r>
      <w:r>
        <w:instrText xml:space="preserve"> PAGEREF _Toc256000059 \h </w:instrText>
      </w:r>
      <w:r>
        <w:fldChar w:fldCharType="separate"/>
      </w:r>
      <w:r>
        <w:t>10</w:t>
      </w:r>
      <w:r>
        <w:fldChar w:fldCharType="end"/>
      </w:r>
      <w:r>
        <w:fldChar w:fldCharType="end"/>
      </w:r>
    </w:p>
    <w:p>
      <w:pPr>
        <w:pStyle w:val="10"/>
        <w:tabs>
          <w:tab w:val="right" w:leader="dot" w:pos="9730"/>
        </w:tabs>
        <w:rPr>
          <w:rFonts w:ascii="Calibri" w:hAnsi="Calibri"/>
          <w:sz w:val="22"/>
        </w:rPr>
      </w:pPr>
      <w:r>
        <w:fldChar w:fldCharType="begin"/>
      </w:r>
      <w:r>
        <w:instrText xml:space="preserve">HYPERLINK  \l "_Toc256000060" </w:instrText>
      </w:r>
      <w:r>
        <w:fldChar w:fldCharType="separate"/>
      </w:r>
      <w:r>
        <w:rPr>
          <w:rStyle w:val="21"/>
          <w:rFonts w:ascii="仿宋" w:hAnsi="仿宋" w:eastAsia="仿宋" w:cs="仿宋"/>
        </w:rPr>
        <w:t>二、收入决算表</w:t>
      </w:r>
      <w:r>
        <w:tab/>
      </w:r>
      <w:r>
        <w:fldChar w:fldCharType="begin"/>
      </w:r>
      <w:r>
        <w:instrText xml:space="preserve"> PAGEREF _Toc256000060 \h </w:instrText>
      </w:r>
      <w:r>
        <w:fldChar w:fldCharType="separate"/>
      </w:r>
      <w:r>
        <w:t>12</w:t>
      </w:r>
      <w:r>
        <w:fldChar w:fldCharType="end"/>
      </w:r>
      <w:r>
        <w:fldChar w:fldCharType="end"/>
      </w:r>
    </w:p>
    <w:p>
      <w:pPr>
        <w:pStyle w:val="10"/>
        <w:tabs>
          <w:tab w:val="right" w:leader="dot" w:pos="9730"/>
        </w:tabs>
        <w:rPr>
          <w:rFonts w:ascii="Calibri" w:hAnsi="Calibri"/>
          <w:sz w:val="22"/>
        </w:rPr>
      </w:pPr>
      <w:r>
        <w:fldChar w:fldCharType="begin"/>
      </w:r>
      <w:r>
        <w:instrText xml:space="preserve">HYPERLINK  \l "_Toc256000061" </w:instrText>
      </w:r>
      <w:r>
        <w:fldChar w:fldCharType="separate"/>
      </w:r>
      <w:r>
        <w:rPr>
          <w:rStyle w:val="21"/>
          <w:rFonts w:ascii="仿宋" w:hAnsi="仿宋" w:eastAsia="仿宋" w:cs="仿宋"/>
        </w:rPr>
        <w:t>三、支出决算表</w:t>
      </w:r>
      <w:r>
        <w:tab/>
      </w:r>
      <w:r>
        <w:fldChar w:fldCharType="begin"/>
      </w:r>
      <w:r>
        <w:instrText xml:space="preserve"> PAGEREF _Toc256000061 \h </w:instrText>
      </w:r>
      <w:r>
        <w:fldChar w:fldCharType="separate"/>
      </w:r>
      <w:r>
        <w:t>15</w:t>
      </w:r>
      <w:r>
        <w:fldChar w:fldCharType="end"/>
      </w:r>
      <w:r>
        <w:fldChar w:fldCharType="end"/>
      </w:r>
    </w:p>
    <w:p>
      <w:pPr>
        <w:pStyle w:val="10"/>
        <w:tabs>
          <w:tab w:val="right" w:leader="dot" w:pos="9730"/>
        </w:tabs>
        <w:rPr>
          <w:rFonts w:ascii="Calibri" w:hAnsi="Calibri"/>
          <w:sz w:val="22"/>
        </w:rPr>
      </w:pPr>
      <w:r>
        <w:fldChar w:fldCharType="begin"/>
      </w:r>
      <w:r>
        <w:instrText xml:space="preserve">HYPERLINK  \l "_Toc256000062" </w:instrText>
      </w:r>
      <w:r>
        <w:fldChar w:fldCharType="separate"/>
      </w:r>
      <w:r>
        <w:rPr>
          <w:rStyle w:val="21"/>
          <w:rFonts w:ascii="仿宋" w:hAnsi="仿宋" w:eastAsia="仿宋" w:cs="仿宋"/>
        </w:rPr>
        <w:t>四、财政拨款收入支出决算总表</w:t>
      </w:r>
      <w:r>
        <w:tab/>
      </w:r>
      <w:r>
        <w:fldChar w:fldCharType="begin"/>
      </w:r>
      <w:r>
        <w:instrText xml:space="preserve"> PAGEREF _Toc256000062 \h </w:instrText>
      </w:r>
      <w:r>
        <w:fldChar w:fldCharType="separate"/>
      </w:r>
      <w:r>
        <w:t>18</w:t>
      </w:r>
      <w:r>
        <w:fldChar w:fldCharType="end"/>
      </w:r>
      <w:r>
        <w:fldChar w:fldCharType="end"/>
      </w:r>
    </w:p>
    <w:p>
      <w:pPr>
        <w:pStyle w:val="10"/>
        <w:tabs>
          <w:tab w:val="right" w:leader="dot" w:pos="9730"/>
        </w:tabs>
        <w:rPr>
          <w:rFonts w:ascii="Calibri" w:hAnsi="Calibri"/>
          <w:sz w:val="22"/>
        </w:rPr>
      </w:pPr>
      <w:r>
        <w:fldChar w:fldCharType="begin"/>
      </w:r>
      <w:r>
        <w:instrText xml:space="preserve">HYPERLINK  \l "_Toc256000063" </w:instrText>
      </w:r>
      <w:r>
        <w:fldChar w:fldCharType="separate"/>
      </w:r>
      <w:r>
        <w:rPr>
          <w:rStyle w:val="21"/>
          <w:rFonts w:ascii="仿宋" w:hAnsi="仿宋" w:eastAsia="仿宋" w:cs="仿宋"/>
        </w:rPr>
        <w:t>五、一般公共预算财政拨款支出决算表</w:t>
      </w:r>
      <w:r>
        <w:tab/>
      </w:r>
      <w:r>
        <w:fldChar w:fldCharType="begin"/>
      </w:r>
      <w:r>
        <w:instrText xml:space="preserve"> PAGEREF _Toc256000063 \h </w:instrText>
      </w:r>
      <w:r>
        <w:fldChar w:fldCharType="separate"/>
      </w:r>
      <w:r>
        <w:t>21</w:t>
      </w:r>
      <w:r>
        <w:fldChar w:fldCharType="end"/>
      </w:r>
      <w:r>
        <w:fldChar w:fldCharType="end"/>
      </w:r>
    </w:p>
    <w:p>
      <w:pPr>
        <w:pStyle w:val="10"/>
        <w:tabs>
          <w:tab w:val="right" w:leader="dot" w:pos="9730"/>
        </w:tabs>
        <w:rPr>
          <w:rFonts w:ascii="Calibri" w:hAnsi="Calibri"/>
          <w:sz w:val="22"/>
        </w:rPr>
      </w:pPr>
      <w:r>
        <w:fldChar w:fldCharType="begin"/>
      </w:r>
      <w:r>
        <w:instrText xml:space="preserve">HYPERLINK  \l "_Toc256000064" </w:instrText>
      </w:r>
      <w:r>
        <w:fldChar w:fldCharType="separate"/>
      </w:r>
      <w:r>
        <w:rPr>
          <w:rStyle w:val="21"/>
          <w:rFonts w:ascii="仿宋" w:hAnsi="仿宋" w:eastAsia="仿宋" w:cs="仿宋"/>
        </w:rPr>
        <w:t>六、一般公共预算财政拨款基本支出决算表</w:t>
      </w:r>
      <w:r>
        <w:tab/>
      </w:r>
      <w:r>
        <w:fldChar w:fldCharType="begin"/>
      </w:r>
      <w:r>
        <w:instrText xml:space="preserve"> PAGEREF _Toc256000064 \h </w:instrText>
      </w:r>
      <w:r>
        <w:fldChar w:fldCharType="separate"/>
      </w:r>
      <w:r>
        <w:t>23</w:t>
      </w:r>
      <w:r>
        <w:fldChar w:fldCharType="end"/>
      </w:r>
      <w:r>
        <w:fldChar w:fldCharType="end"/>
      </w:r>
    </w:p>
    <w:p>
      <w:pPr>
        <w:pStyle w:val="10"/>
        <w:tabs>
          <w:tab w:val="right" w:leader="dot" w:pos="9730"/>
        </w:tabs>
        <w:rPr>
          <w:rFonts w:ascii="Calibri" w:hAnsi="Calibri"/>
          <w:sz w:val="22"/>
        </w:rPr>
      </w:pPr>
      <w:r>
        <w:fldChar w:fldCharType="begin"/>
      </w:r>
      <w:r>
        <w:instrText xml:space="preserve">HYPERLINK  \l "_Toc256000065" </w:instrText>
      </w:r>
      <w:r>
        <w:fldChar w:fldCharType="separate"/>
      </w:r>
      <w:r>
        <w:rPr>
          <w:rStyle w:val="21"/>
          <w:rFonts w:ascii="仿宋" w:hAnsi="仿宋" w:eastAsia="仿宋" w:cs="仿宋"/>
        </w:rPr>
        <w:t>七、一般公共预算财政拨款“三公”经费支出决算表</w:t>
      </w:r>
      <w:r>
        <w:tab/>
      </w:r>
      <w:r>
        <w:fldChar w:fldCharType="begin"/>
      </w:r>
      <w:r>
        <w:instrText xml:space="preserve"> PAGEREF _Toc256000065 \h </w:instrText>
      </w:r>
      <w:r>
        <w:fldChar w:fldCharType="separate"/>
      </w:r>
      <w:r>
        <w:t>26</w:t>
      </w:r>
      <w:r>
        <w:fldChar w:fldCharType="end"/>
      </w:r>
      <w:r>
        <w:fldChar w:fldCharType="end"/>
      </w:r>
    </w:p>
    <w:p>
      <w:pPr>
        <w:pStyle w:val="10"/>
        <w:tabs>
          <w:tab w:val="right" w:leader="dot" w:pos="9730"/>
        </w:tabs>
        <w:rPr>
          <w:rFonts w:ascii="Calibri" w:hAnsi="Calibri"/>
          <w:sz w:val="22"/>
        </w:rPr>
      </w:pPr>
      <w:r>
        <w:fldChar w:fldCharType="begin"/>
      </w:r>
      <w:r>
        <w:instrText xml:space="preserve">HYPERLINK  \l "_Toc256000066" </w:instrText>
      </w:r>
      <w:r>
        <w:fldChar w:fldCharType="separate"/>
      </w:r>
      <w:r>
        <w:rPr>
          <w:rStyle w:val="21"/>
          <w:rFonts w:ascii="仿宋" w:hAnsi="仿宋" w:eastAsia="仿宋" w:cs="仿宋"/>
        </w:rPr>
        <w:t>八、政府性基金预算财政拨款</w:t>
      </w:r>
      <w:bookmarkStart w:id="27" w:name="_GoBack"/>
      <w:bookmarkEnd w:id="27"/>
      <w:r>
        <w:rPr>
          <w:rStyle w:val="21"/>
          <w:rFonts w:ascii="仿宋" w:hAnsi="仿宋" w:eastAsia="仿宋" w:cs="仿宋"/>
        </w:rPr>
        <w:t>收入支出决算表</w:t>
      </w:r>
      <w:r>
        <w:tab/>
      </w:r>
      <w:r>
        <w:fldChar w:fldCharType="begin"/>
      </w:r>
      <w:r>
        <w:instrText xml:space="preserve"> PAGEREF _Toc256000066 \h </w:instrText>
      </w:r>
      <w:r>
        <w:fldChar w:fldCharType="separate"/>
      </w:r>
      <w:r>
        <w:t>27</w:t>
      </w:r>
      <w:r>
        <w:fldChar w:fldCharType="end"/>
      </w:r>
      <w:r>
        <w:fldChar w:fldCharType="end"/>
      </w:r>
    </w:p>
    <w:p>
      <w:pPr>
        <w:pStyle w:val="10"/>
        <w:tabs>
          <w:tab w:val="right" w:leader="dot" w:pos="9730"/>
        </w:tabs>
        <w:rPr>
          <w:rFonts w:ascii="Calibri" w:hAnsi="Calibri"/>
          <w:sz w:val="22"/>
        </w:rPr>
      </w:pPr>
      <w:r>
        <w:fldChar w:fldCharType="begin"/>
      </w:r>
      <w:r>
        <w:instrText xml:space="preserve">HYPERLINK  \l "_Toc256000067" </w:instrText>
      </w:r>
      <w:r>
        <w:fldChar w:fldCharType="separate"/>
      </w:r>
      <w:r>
        <w:rPr>
          <w:rStyle w:val="21"/>
          <w:rFonts w:ascii="仿宋" w:hAnsi="仿宋" w:eastAsia="仿宋" w:cs="仿宋"/>
        </w:rPr>
        <w:t>九、国有资本经营预算财政拨款支出决算表</w:t>
      </w:r>
      <w:r>
        <w:tab/>
      </w:r>
      <w:r>
        <w:fldChar w:fldCharType="begin"/>
      </w:r>
      <w:r>
        <w:instrText xml:space="preserve"> PAGEREF _Toc256000067 \h </w:instrText>
      </w:r>
      <w:r>
        <w:fldChar w:fldCharType="separate"/>
      </w:r>
      <w:r>
        <w:t>28</w:t>
      </w:r>
      <w:r>
        <w:fldChar w:fldCharType="end"/>
      </w:r>
      <w:r>
        <w:fldChar w:fldCharType="end"/>
      </w:r>
    </w:p>
    <w:p>
      <w:pPr>
        <w:pStyle w:val="17"/>
        <w:tabs>
          <w:tab w:val="right" w:leader="dot" w:pos="9730"/>
        </w:tabs>
        <w:rPr>
          <w:rFonts w:ascii="Calibri" w:hAnsi="Calibri"/>
          <w:sz w:val="22"/>
        </w:rPr>
      </w:pPr>
      <w:r>
        <w:fldChar w:fldCharType="begin"/>
      </w:r>
      <w:r>
        <w:instrText xml:space="preserve">HYPERLINK  \l "_Toc256000068" </w:instrText>
      </w:r>
      <w:r>
        <w:fldChar w:fldCharType="separate"/>
      </w:r>
      <w:r>
        <w:rPr>
          <w:rStyle w:val="21"/>
          <w:rFonts w:ascii="仿宋" w:hAnsi="仿宋" w:eastAsia="仿宋" w:cs="仿宋"/>
        </w:rPr>
        <w:t>第三部分</w:t>
      </w:r>
      <w:r>
        <w:rPr>
          <w:rStyle w:val="21"/>
          <w:rFonts w:ascii="黑体" w:hAnsi="黑体" w:eastAsia="黑体" w:cs="黑体"/>
        </w:rPr>
        <w:t xml:space="preserve"> </w:t>
      </w:r>
      <w:r>
        <w:rPr>
          <w:rStyle w:val="21"/>
          <w:rFonts w:ascii="仿宋" w:hAnsi="仿宋" w:eastAsia="仿宋" w:cs="仿宋"/>
        </w:rPr>
        <w:t>2025年度部门决算情况说明</w:t>
      </w:r>
      <w:r>
        <w:tab/>
      </w:r>
      <w:r>
        <w:fldChar w:fldCharType="begin"/>
      </w:r>
      <w:r>
        <w:instrText xml:space="preserve"> PAGEREF _Toc256000068 \h </w:instrText>
      </w:r>
      <w:r>
        <w:fldChar w:fldCharType="separate"/>
      </w:r>
      <w:r>
        <w:t>29</w:t>
      </w:r>
      <w:r>
        <w:fldChar w:fldCharType="end"/>
      </w:r>
      <w:r>
        <w:fldChar w:fldCharType="end"/>
      </w:r>
    </w:p>
    <w:p>
      <w:pPr>
        <w:pStyle w:val="10"/>
        <w:tabs>
          <w:tab w:val="right" w:leader="dot" w:pos="9730"/>
        </w:tabs>
        <w:rPr>
          <w:rFonts w:ascii="Calibri" w:hAnsi="Calibri"/>
          <w:sz w:val="22"/>
        </w:rPr>
      </w:pPr>
      <w:r>
        <w:fldChar w:fldCharType="begin"/>
      </w:r>
      <w:r>
        <w:instrText xml:space="preserve">HYPERLINK  \l "_Toc256000069" </w:instrText>
      </w:r>
      <w:r>
        <w:fldChar w:fldCharType="separate"/>
      </w:r>
      <w:r>
        <w:rPr>
          <w:rStyle w:val="21"/>
          <w:rFonts w:ascii="仿宋" w:hAnsi="仿宋" w:eastAsia="仿宋" w:cs="仿宋"/>
        </w:rPr>
        <w:t>一、收入支出决算总体情况说明</w:t>
      </w:r>
      <w:r>
        <w:tab/>
      </w:r>
      <w:r>
        <w:fldChar w:fldCharType="begin"/>
      </w:r>
      <w:r>
        <w:instrText xml:space="preserve"> PAGEREF _Toc256000069 \h </w:instrText>
      </w:r>
      <w:r>
        <w:fldChar w:fldCharType="separate"/>
      </w:r>
      <w:r>
        <w:t>30</w:t>
      </w:r>
      <w:r>
        <w:fldChar w:fldCharType="end"/>
      </w:r>
      <w:r>
        <w:fldChar w:fldCharType="end"/>
      </w:r>
    </w:p>
    <w:p>
      <w:pPr>
        <w:pStyle w:val="10"/>
        <w:tabs>
          <w:tab w:val="right" w:leader="dot" w:pos="9730"/>
        </w:tabs>
        <w:rPr>
          <w:rFonts w:ascii="Calibri" w:hAnsi="Calibri"/>
          <w:sz w:val="22"/>
        </w:rPr>
      </w:pPr>
      <w:r>
        <w:fldChar w:fldCharType="begin"/>
      </w:r>
      <w:r>
        <w:instrText xml:space="preserve">HYPERLINK  \l "_Toc256000070" </w:instrText>
      </w:r>
      <w:r>
        <w:fldChar w:fldCharType="separate"/>
      </w:r>
      <w:r>
        <w:rPr>
          <w:rStyle w:val="21"/>
          <w:rFonts w:ascii="仿宋" w:hAnsi="仿宋" w:eastAsia="仿宋" w:cs="仿宋"/>
        </w:rPr>
        <w:t>二、财政拨款收入支出决算总体情况说明</w:t>
      </w:r>
      <w:r>
        <w:tab/>
      </w:r>
      <w:r>
        <w:fldChar w:fldCharType="begin"/>
      </w:r>
      <w:r>
        <w:instrText xml:space="preserve"> PAGEREF _Toc256000070 \h </w:instrText>
      </w:r>
      <w:r>
        <w:fldChar w:fldCharType="separate"/>
      </w:r>
      <w:r>
        <w:t>31</w:t>
      </w:r>
      <w:r>
        <w:fldChar w:fldCharType="end"/>
      </w:r>
      <w:r>
        <w:fldChar w:fldCharType="end"/>
      </w:r>
    </w:p>
    <w:p>
      <w:pPr>
        <w:pStyle w:val="10"/>
        <w:tabs>
          <w:tab w:val="right" w:leader="dot" w:pos="9730"/>
        </w:tabs>
        <w:rPr>
          <w:rFonts w:ascii="Calibri" w:hAnsi="Calibri"/>
          <w:sz w:val="22"/>
        </w:rPr>
      </w:pPr>
      <w:r>
        <w:fldChar w:fldCharType="begin"/>
      </w:r>
      <w:r>
        <w:instrText xml:space="preserve">HYPERLINK  \l "_Toc256000071" </w:instrText>
      </w:r>
      <w:r>
        <w:fldChar w:fldCharType="separate"/>
      </w:r>
      <w:r>
        <w:rPr>
          <w:rStyle w:val="21"/>
          <w:rFonts w:ascii="仿宋" w:hAnsi="仿宋" w:eastAsia="仿宋" w:cs="仿宋"/>
        </w:rPr>
        <w:t>三、一般公共预算财政拨款支出决算情况说明</w:t>
      </w:r>
      <w:r>
        <w:tab/>
      </w:r>
      <w:r>
        <w:fldChar w:fldCharType="begin"/>
      </w:r>
      <w:r>
        <w:instrText xml:space="preserve"> PAGEREF _Toc256000071 \h </w:instrText>
      </w:r>
      <w:r>
        <w:fldChar w:fldCharType="separate"/>
      </w:r>
      <w:r>
        <w:t>31</w:t>
      </w:r>
      <w:r>
        <w:fldChar w:fldCharType="end"/>
      </w:r>
      <w:r>
        <w:fldChar w:fldCharType="end"/>
      </w:r>
    </w:p>
    <w:p>
      <w:pPr>
        <w:pStyle w:val="10"/>
        <w:tabs>
          <w:tab w:val="right" w:leader="dot" w:pos="9730"/>
        </w:tabs>
        <w:rPr>
          <w:rFonts w:ascii="Calibri" w:hAnsi="Calibri"/>
          <w:sz w:val="22"/>
        </w:rPr>
      </w:pPr>
      <w:r>
        <w:fldChar w:fldCharType="begin"/>
      </w:r>
      <w:r>
        <w:instrText xml:space="preserve">HYPERLINK  \l "_Toc256000072" </w:instrText>
      </w:r>
      <w:r>
        <w:fldChar w:fldCharType="separate"/>
      </w:r>
      <w:r>
        <w:rPr>
          <w:rStyle w:val="21"/>
          <w:rFonts w:ascii="仿宋" w:hAnsi="仿宋" w:eastAsia="仿宋" w:cs="仿宋"/>
        </w:rPr>
        <w:t>四、政府性基金预算财政拨款支出决算情况说明</w:t>
      </w:r>
      <w:r>
        <w:tab/>
      </w:r>
      <w:r>
        <w:fldChar w:fldCharType="begin"/>
      </w:r>
      <w:r>
        <w:instrText xml:space="preserve"> PAGEREF _Toc256000072 \h </w:instrText>
      </w:r>
      <w:r>
        <w:fldChar w:fldCharType="separate"/>
      </w:r>
      <w:r>
        <w:t>33</w:t>
      </w:r>
      <w:r>
        <w:fldChar w:fldCharType="end"/>
      </w:r>
      <w:r>
        <w:fldChar w:fldCharType="end"/>
      </w:r>
    </w:p>
    <w:p>
      <w:pPr>
        <w:pStyle w:val="10"/>
        <w:tabs>
          <w:tab w:val="right" w:leader="dot" w:pos="9730"/>
        </w:tabs>
        <w:rPr>
          <w:rFonts w:ascii="Calibri" w:hAnsi="Calibri"/>
          <w:sz w:val="22"/>
        </w:rPr>
      </w:pPr>
      <w:r>
        <w:fldChar w:fldCharType="begin"/>
      </w:r>
      <w:r>
        <w:instrText xml:space="preserve">HYPERLINK  \l "_Toc256000073" </w:instrText>
      </w:r>
      <w:r>
        <w:fldChar w:fldCharType="separate"/>
      </w:r>
      <w:r>
        <w:rPr>
          <w:rStyle w:val="21"/>
          <w:rFonts w:ascii="仿宋" w:hAnsi="仿宋" w:eastAsia="仿宋" w:cs="仿宋"/>
        </w:rPr>
        <w:t>五、国有资本经营预算财政拨款支出决算情况说明</w:t>
      </w:r>
      <w:r>
        <w:tab/>
      </w:r>
      <w:r>
        <w:fldChar w:fldCharType="begin"/>
      </w:r>
      <w:r>
        <w:instrText xml:space="preserve"> PAGEREF _Toc256000073 \h </w:instrText>
      </w:r>
      <w:r>
        <w:fldChar w:fldCharType="separate"/>
      </w:r>
      <w:r>
        <w:t>33</w:t>
      </w:r>
      <w:r>
        <w:fldChar w:fldCharType="end"/>
      </w:r>
      <w:r>
        <w:fldChar w:fldCharType="end"/>
      </w:r>
    </w:p>
    <w:p>
      <w:pPr>
        <w:pStyle w:val="10"/>
        <w:tabs>
          <w:tab w:val="right" w:leader="dot" w:pos="9730"/>
        </w:tabs>
        <w:rPr>
          <w:rFonts w:ascii="Calibri" w:hAnsi="Calibri"/>
          <w:sz w:val="22"/>
        </w:rPr>
      </w:pPr>
      <w:r>
        <w:fldChar w:fldCharType="begin"/>
      </w:r>
      <w:r>
        <w:instrText xml:space="preserve">HYPERLINK  \l "_Toc256000074" </w:instrText>
      </w:r>
      <w:r>
        <w:fldChar w:fldCharType="separate"/>
      </w:r>
      <w:r>
        <w:rPr>
          <w:rStyle w:val="21"/>
          <w:rFonts w:ascii="仿宋" w:hAnsi="仿宋" w:eastAsia="仿宋" w:cs="仿宋"/>
        </w:rPr>
        <w:t>六、一般公共预算财政拨款基本支出决算情况说明</w:t>
      </w:r>
      <w:r>
        <w:tab/>
      </w:r>
      <w:r>
        <w:fldChar w:fldCharType="begin"/>
      </w:r>
      <w:r>
        <w:instrText xml:space="preserve"> PAGEREF _Toc256000074 \h </w:instrText>
      </w:r>
      <w:r>
        <w:fldChar w:fldCharType="separate"/>
      </w:r>
      <w:r>
        <w:t>33</w:t>
      </w:r>
      <w:r>
        <w:fldChar w:fldCharType="end"/>
      </w:r>
      <w:r>
        <w:fldChar w:fldCharType="end"/>
      </w:r>
    </w:p>
    <w:p>
      <w:pPr>
        <w:pStyle w:val="10"/>
        <w:tabs>
          <w:tab w:val="right" w:leader="dot" w:pos="9730"/>
        </w:tabs>
        <w:rPr>
          <w:rFonts w:ascii="Calibri" w:hAnsi="Calibri"/>
          <w:sz w:val="22"/>
        </w:rPr>
      </w:pPr>
      <w:r>
        <w:fldChar w:fldCharType="begin"/>
      </w:r>
      <w:r>
        <w:instrText xml:space="preserve">HYPERLINK  \l "_Toc256000075" </w:instrText>
      </w:r>
      <w:r>
        <w:fldChar w:fldCharType="separate"/>
      </w:r>
      <w:r>
        <w:rPr>
          <w:rStyle w:val="21"/>
          <w:rFonts w:ascii="仿宋" w:hAnsi="仿宋" w:eastAsia="仿宋" w:cs="仿宋"/>
        </w:rPr>
        <w:t>七、一般公共预算财政拨款“三公”经费支出决算情况说明</w:t>
      </w:r>
      <w:r>
        <w:tab/>
      </w:r>
      <w:r>
        <w:fldChar w:fldCharType="begin"/>
      </w:r>
      <w:r>
        <w:instrText xml:space="preserve"> PAGEREF _Toc256000075 \h </w:instrText>
      </w:r>
      <w:r>
        <w:fldChar w:fldCharType="separate"/>
      </w:r>
      <w:r>
        <w:t>34</w:t>
      </w:r>
      <w:r>
        <w:fldChar w:fldCharType="end"/>
      </w:r>
      <w:r>
        <w:fldChar w:fldCharType="end"/>
      </w:r>
    </w:p>
    <w:p>
      <w:pPr>
        <w:pStyle w:val="10"/>
        <w:tabs>
          <w:tab w:val="right" w:leader="dot" w:pos="9730"/>
        </w:tabs>
        <w:rPr>
          <w:rFonts w:ascii="Calibri" w:hAnsi="Calibri"/>
          <w:sz w:val="22"/>
        </w:rPr>
      </w:pPr>
      <w:r>
        <w:fldChar w:fldCharType="begin"/>
      </w:r>
      <w:r>
        <w:instrText xml:space="preserve">HYPERLINK  \l "_Toc256000076" </w:instrText>
      </w:r>
      <w:r>
        <w:fldChar w:fldCharType="separate"/>
      </w:r>
      <w:r>
        <w:rPr>
          <w:rStyle w:val="21"/>
          <w:rFonts w:ascii="仿宋" w:hAnsi="仿宋" w:eastAsia="仿宋" w:cs="仿宋"/>
        </w:rPr>
        <w:t>八、预算绩效情况说明</w:t>
      </w:r>
      <w:r>
        <w:tab/>
      </w:r>
      <w:r>
        <w:fldChar w:fldCharType="begin"/>
      </w:r>
      <w:r>
        <w:instrText xml:space="preserve"> PAGEREF _Toc256000076 \h </w:instrText>
      </w:r>
      <w:r>
        <w:fldChar w:fldCharType="separate"/>
      </w:r>
      <w:r>
        <w:t>34</w:t>
      </w:r>
      <w:r>
        <w:fldChar w:fldCharType="end"/>
      </w:r>
      <w:r>
        <w:fldChar w:fldCharType="end"/>
      </w:r>
    </w:p>
    <w:p>
      <w:pPr>
        <w:pStyle w:val="10"/>
        <w:tabs>
          <w:tab w:val="right" w:leader="dot" w:pos="9730"/>
        </w:tabs>
        <w:rPr>
          <w:rFonts w:ascii="Calibri" w:hAnsi="Calibri"/>
          <w:sz w:val="22"/>
        </w:rPr>
      </w:pPr>
      <w:r>
        <w:fldChar w:fldCharType="begin"/>
      </w:r>
      <w:r>
        <w:instrText xml:space="preserve">HYPERLINK  \l "_Toc256000077" </w:instrText>
      </w:r>
      <w:r>
        <w:fldChar w:fldCharType="separate"/>
      </w:r>
      <w:r>
        <w:rPr>
          <w:rStyle w:val="21"/>
          <w:rFonts w:ascii="仿宋" w:hAnsi="仿宋" w:eastAsia="仿宋" w:cs="仿宋"/>
        </w:rPr>
        <w:t>九、其他重要事项说明</w:t>
      </w:r>
      <w:r>
        <w:tab/>
      </w:r>
      <w:r>
        <w:fldChar w:fldCharType="begin"/>
      </w:r>
      <w:r>
        <w:instrText xml:space="preserve"> PAGEREF _Toc256000077 \h </w:instrText>
      </w:r>
      <w:r>
        <w:fldChar w:fldCharType="separate"/>
      </w:r>
      <w:r>
        <w:t>34</w:t>
      </w:r>
      <w:r>
        <w:fldChar w:fldCharType="end"/>
      </w:r>
      <w:r>
        <w:fldChar w:fldCharType="end"/>
      </w:r>
    </w:p>
    <w:p>
      <w:pPr>
        <w:pStyle w:val="17"/>
        <w:tabs>
          <w:tab w:val="right" w:leader="dot" w:pos="9730"/>
        </w:tabs>
        <w:rPr>
          <w:rFonts w:ascii="Calibri" w:hAnsi="Calibri"/>
          <w:sz w:val="22"/>
        </w:rPr>
      </w:pPr>
      <w:r>
        <w:fldChar w:fldCharType="begin"/>
      </w:r>
      <w:r>
        <w:instrText xml:space="preserve">HYPERLINK  \l "_Toc256000079" </w:instrText>
      </w:r>
      <w:r>
        <w:fldChar w:fldCharType="separate"/>
      </w:r>
      <w:r>
        <w:rPr>
          <w:rStyle w:val="21"/>
          <w:rFonts w:ascii="仿宋" w:hAnsi="仿宋" w:eastAsia="仿宋" w:cs="仿宋"/>
        </w:rPr>
        <w:t>第四部分</w:t>
      </w:r>
      <w:r>
        <w:rPr>
          <w:rStyle w:val="21"/>
          <w:rFonts w:ascii="黑体" w:hAnsi="黑体" w:eastAsia="黑体" w:cs="黑体"/>
        </w:rPr>
        <w:t xml:space="preserve"> </w:t>
      </w:r>
      <w:r>
        <w:rPr>
          <w:rStyle w:val="21"/>
          <w:rFonts w:ascii="仿宋" w:hAnsi="仿宋" w:eastAsia="仿宋" w:cs="仿宋"/>
        </w:rPr>
        <w:t>名词解释</w:t>
      </w:r>
      <w:r>
        <w:tab/>
      </w:r>
      <w:r>
        <w:fldChar w:fldCharType="begin"/>
      </w:r>
      <w:r>
        <w:instrText xml:space="preserve"> PAGEREF _Toc256000079 \h </w:instrText>
      </w:r>
      <w:r>
        <w:fldChar w:fldCharType="separate"/>
      </w:r>
      <w:r>
        <w:t>36</w:t>
      </w:r>
      <w:r>
        <w:fldChar w:fldCharType="end"/>
      </w:r>
      <w:r>
        <w:fldChar w:fldCharType="end"/>
      </w:r>
    </w:p>
    <w:p>
      <w:pPr>
        <w:pStyle w:val="17"/>
        <w:tabs>
          <w:tab w:val="right" w:leader="dot" w:pos="9730"/>
        </w:tabs>
        <w:rPr>
          <w:rFonts w:ascii="Calibri" w:hAnsi="Calibri"/>
          <w:sz w:val="22"/>
        </w:rPr>
      </w:pPr>
      <w:r>
        <w:fldChar w:fldCharType="begin"/>
      </w:r>
      <w:r>
        <w:instrText xml:space="preserve">HYPERLINK  \l "_Toc256000080" </w:instrText>
      </w:r>
      <w:r>
        <w:fldChar w:fldCharType="separate"/>
      </w:r>
      <w:r>
        <w:rPr>
          <w:rStyle w:val="21"/>
          <w:rFonts w:ascii="仿宋" w:hAnsi="仿宋" w:eastAsia="仿宋" w:cs="仿宋"/>
        </w:rPr>
        <w:t>第五部分</w:t>
      </w:r>
      <w:r>
        <w:rPr>
          <w:rStyle w:val="21"/>
          <w:rFonts w:ascii="黑体" w:hAnsi="黑体" w:eastAsia="黑体" w:cs="黑体"/>
        </w:rPr>
        <w:t xml:space="preserve"> </w:t>
      </w:r>
      <w:r>
        <w:rPr>
          <w:rStyle w:val="21"/>
          <w:rFonts w:ascii="仿宋" w:hAnsi="仿宋" w:eastAsia="仿宋" w:cs="仿宋"/>
        </w:rPr>
        <w:t>附件</w:t>
      </w:r>
      <w:r>
        <w:tab/>
      </w:r>
      <w:r>
        <w:fldChar w:fldCharType="begin"/>
      </w:r>
      <w:r>
        <w:instrText xml:space="preserve"> PAGEREF _Toc256000080 \h </w:instrText>
      </w:r>
      <w:r>
        <w:fldChar w:fldCharType="separate"/>
      </w:r>
      <w:r>
        <w:t>39</w:t>
      </w:r>
      <w:r>
        <w:fldChar w:fldCharType="end"/>
      </w:r>
      <w:r>
        <w:fldChar w:fldCharType="end"/>
      </w:r>
    </w:p>
    <w:p>
      <w:pPr>
        <w:adjustRightInd w:val="0"/>
        <w:snapToGrid w:val="0"/>
        <w:rPr>
          <w:rFonts w:ascii="宋体" w:hAnsi="宋体"/>
          <w:b/>
          <w:sz w:val="32"/>
          <w:szCs w:val="32"/>
        </w:rPr>
        <w:sectPr>
          <w:footerReference r:id="rId5" w:type="default"/>
          <w:pgSz w:w="11906" w:h="16838"/>
          <w:pgMar w:top="1440" w:right="1083" w:bottom="1440" w:left="1083" w:header="0" w:footer="720" w:gutter="0"/>
          <w:pgNumType w:start="1"/>
          <w:cols w:space="720" w:num="1"/>
          <w:rtlGutter w:val="0"/>
          <w:docGrid w:type="lines" w:linePitch="317" w:charSpace="0"/>
        </w:sectPr>
      </w:pPr>
      <w:r>
        <w:rPr>
          <w:rFonts w:hint="eastAsia" w:ascii="仿宋" w:hAnsi="仿宋" w:eastAsia="仿宋" w:cs="仿宋"/>
          <w:b w:val="0"/>
          <w:bCs/>
          <w:kern w:val="2"/>
          <w:sz w:val="32"/>
          <w:szCs w:val="32"/>
          <w:lang w:val="en-US" w:eastAsia="zh-CN" w:bidi="ar-SA"/>
        </w:rPr>
        <w:fldChar w:fldCharType="end"/>
      </w:r>
    </w:p>
    <w:p>
      <w:pPr>
        <w:pStyle w:val="24"/>
        <w:widowControl/>
        <w:spacing w:before="100" w:after="100"/>
        <w:ind w:left="100" w:right="100" w:firstLine="0"/>
        <w:jc w:val="left"/>
        <w:rPr>
          <w:rFonts w:ascii="Times New Roman" w:hAnsi="Times New Roman" w:eastAsia="Times New Roman" w:cs="Times New Roman"/>
          <w:kern w:val="0"/>
          <w:sz w:val="24"/>
        </w:rPr>
      </w:pPr>
      <w:bookmarkStart w:id="0" w:name="a000"/>
    </w:p>
    <w:p>
      <w:pPr>
        <w:pStyle w:val="24"/>
        <w:widowControl/>
        <w:spacing w:before="100" w:after="100"/>
        <w:ind w:left="100" w:right="100" w:firstLine="0"/>
        <w:jc w:val="left"/>
        <w:rPr>
          <w:rFonts w:ascii="Times New Roman" w:hAnsi="Times New Roman" w:eastAsia="Times New Roman" w:cs="Times New Roman"/>
          <w:kern w:val="0"/>
          <w:sz w:val="24"/>
        </w:rPr>
      </w:pPr>
      <w:r>
        <w:rPr>
          <w:rFonts w:ascii="仿宋" w:hAnsi="仿宋" w:eastAsia="仿宋" w:cs="仿宋"/>
          <w:spacing w:val="0"/>
          <w:kern w:val="0"/>
          <w:sz w:val="32"/>
          <w:szCs w:val="32"/>
        </w:rPr>
        <w:t> </w:t>
      </w:r>
    </w:p>
    <w:p>
      <w:pPr>
        <w:pStyle w:val="24"/>
        <w:widowControl/>
        <w:spacing w:before="100" w:after="100"/>
        <w:ind w:left="100" w:right="100" w:firstLine="0"/>
        <w:jc w:val="left"/>
        <w:rPr>
          <w:rFonts w:ascii="Times New Roman" w:hAnsi="Times New Roman" w:eastAsia="Times New Roman" w:cs="Times New Roman"/>
          <w:kern w:val="0"/>
          <w:sz w:val="24"/>
        </w:rPr>
      </w:pPr>
      <w:r>
        <w:rPr>
          <w:rFonts w:ascii="仿宋" w:hAnsi="仿宋" w:eastAsia="仿宋" w:cs="仿宋"/>
          <w:spacing w:val="0"/>
          <w:kern w:val="0"/>
          <w:sz w:val="32"/>
          <w:szCs w:val="32"/>
        </w:rPr>
        <w:t> </w:t>
      </w:r>
    </w:p>
    <w:p>
      <w:pPr>
        <w:pStyle w:val="24"/>
        <w:widowControl/>
        <w:spacing w:before="100" w:after="100"/>
        <w:ind w:left="100" w:right="100" w:firstLine="0"/>
        <w:jc w:val="left"/>
        <w:rPr>
          <w:rFonts w:ascii="Times New Roman" w:hAnsi="Times New Roman" w:eastAsia="Times New Roman" w:cs="Times New Roman"/>
          <w:kern w:val="0"/>
          <w:sz w:val="24"/>
        </w:rPr>
      </w:pPr>
      <w:r>
        <w:rPr>
          <w:rFonts w:ascii="仿宋" w:hAnsi="仿宋" w:eastAsia="仿宋" w:cs="仿宋"/>
          <w:spacing w:val="0"/>
          <w:kern w:val="0"/>
          <w:sz w:val="32"/>
          <w:szCs w:val="32"/>
        </w:rPr>
        <w:t> </w:t>
      </w:r>
    </w:p>
    <w:p>
      <w:pPr>
        <w:pStyle w:val="24"/>
        <w:widowControl/>
        <w:spacing w:before="100" w:after="100"/>
        <w:ind w:left="100" w:right="100" w:firstLine="0"/>
        <w:jc w:val="left"/>
        <w:rPr>
          <w:rFonts w:ascii="Times New Roman" w:hAnsi="Times New Roman" w:eastAsia="Times New Roman" w:cs="Times New Roman"/>
          <w:kern w:val="0"/>
          <w:sz w:val="24"/>
        </w:rPr>
      </w:pPr>
    </w:p>
    <w:p>
      <w:pPr>
        <w:pStyle w:val="24"/>
        <w:widowControl/>
        <w:spacing w:before="100" w:after="100"/>
        <w:ind w:left="100" w:right="100" w:firstLine="0"/>
        <w:jc w:val="left"/>
        <w:rPr>
          <w:rFonts w:ascii="Times New Roman" w:hAnsi="Times New Roman" w:eastAsia="Times New Roman" w:cs="Times New Roman"/>
          <w:kern w:val="0"/>
          <w:sz w:val="24"/>
        </w:rPr>
      </w:pPr>
    </w:p>
    <w:p>
      <w:pPr>
        <w:pStyle w:val="24"/>
        <w:widowControl/>
        <w:spacing w:before="100" w:after="100"/>
        <w:ind w:left="100" w:right="100" w:firstLine="0"/>
        <w:jc w:val="left"/>
        <w:rPr>
          <w:rFonts w:ascii="Times New Roman" w:hAnsi="Times New Roman" w:eastAsia="Times New Roman" w:cs="Times New Roman"/>
          <w:kern w:val="0"/>
          <w:sz w:val="24"/>
        </w:rPr>
      </w:pPr>
    </w:p>
    <w:p>
      <w:pPr>
        <w:pStyle w:val="24"/>
        <w:widowControl/>
        <w:spacing w:before="100" w:after="100"/>
        <w:ind w:left="100" w:right="100" w:firstLine="0"/>
        <w:jc w:val="left"/>
        <w:rPr>
          <w:rFonts w:ascii="Times New Roman" w:hAnsi="Times New Roman" w:eastAsia="Times New Roman" w:cs="Times New Roman"/>
          <w:kern w:val="0"/>
          <w:sz w:val="24"/>
        </w:rPr>
      </w:pPr>
      <w:r>
        <w:rPr>
          <w:rFonts w:ascii="宋体" w:hAnsi="宋体" w:eastAsia="宋体" w:cs="宋体"/>
          <w:spacing w:val="0"/>
          <w:kern w:val="0"/>
          <w:sz w:val="36"/>
          <w:szCs w:val="36"/>
        </w:rPr>
        <w:t> </w:t>
      </w:r>
    </w:p>
    <w:p>
      <w:pPr>
        <w:pStyle w:val="25"/>
        <w:widowControl/>
        <w:spacing w:before="100" w:after="100"/>
        <w:ind w:left="100" w:right="100" w:firstLine="0"/>
        <w:jc w:val="center"/>
        <w:rPr>
          <w:rFonts w:ascii="Times New Roman" w:hAnsi="Times New Roman" w:eastAsia="Times New Roman" w:cs="Times New Roman"/>
          <w:kern w:val="0"/>
          <w:sz w:val="24"/>
        </w:rPr>
      </w:pPr>
      <w:r>
        <w:rPr>
          <w:rFonts w:ascii="宋体" w:hAnsi="宋体" w:eastAsia="宋体" w:cs="宋体"/>
          <w:spacing w:val="0"/>
          <w:kern w:val="0"/>
          <w:sz w:val="36"/>
          <w:szCs w:val="36"/>
        </w:rPr>
        <w:t> </w:t>
      </w:r>
    </w:p>
    <w:p>
      <w:pPr>
        <w:pStyle w:val="25"/>
        <w:widowControl/>
        <w:spacing w:before="100" w:after="100"/>
        <w:ind w:left="100" w:right="100" w:firstLine="0"/>
        <w:jc w:val="center"/>
        <w:rPr>
          <w:rFonts w:ascii="Times New Roman" w:hAnsi="Times New Roman" w:eastAsia="Times New Roman" w:cs="Times New Roman"/>
          <w:kern w:val="0"/>
          <w:sz w:val="24"/>
        </w:rPr>
      </w:pPr>
      <w:r>
        <w:rPr>
          <w:rFonts w:ascii="宋体" w:hAnsi="宋体" w:eastAsia="宋体" w:cs="宋体"/>
          <w:spacing w:val="0"/>
          <w:kern w:val="0"/>
          <w:sz w:val="36"/>
          <w:szCs w:val="36"/>
        </w:rPr>
        <w:t> </w:t>
      </w:r>
    </w:p>
    <w:p>
      <w:pPr>
        <w:pStyle w:val="3"/>
        <w:spacing w:before="100" w:after="100" w:line="240" w:lineRule="auto"/>
        <w:ind w:left="100" w:right="100" w:firstLine="0" w:firstLineChars="0"/>
        <w:jc w:val="center"/>
        <w:rPr>
          <w:rFonts w:ascii="Times New Roman" w:hAnsi="Times New Roman" w:eastAsia="Times New Roman" w:cs="Times New Roman"/>
          <w:b/>
          <w:bCs/>
          <w:kern w:val="0"/>
          <w:sz w:val="36"/>
          <w:szCs w:val="36"/>
        </w:rPr>
      </w:pPr>
      <w:bookmarkStart w:id="1" w:name="_Toc256000054"/>
      <w:r>
        <w:rPr>
          <w:rFonts w:ascii="黑体" w:hAnsi="黑体" w:eastAsia="黑体" w:cs="黑体"/>
          <w:b w:val="0"/>
          <w:bCs w:val="0"/>
          <w:spacing w:val="0"/>
          <w:sz w:val="56"/>
          <w:szCs w:val="56"/>
        </w:rPr>
        <w:t>第一部分</w:t>
      </w:r>
      <w:r>
        <w:rPr>
          <w:rFonts w:ascii="黑体" w:hAnsi="黑体" w:eastAsia="黑体" w:cs="黑体"/>
          <w:b w:val="0"/>
          <w:bCs w:val="0"/>
          <w:spacing w:val="0"/>
          <w:sz w:val="56"/>
          <w:szCs w:val="56"/>
        </w:rPr>
        <w:br/>
      </w:r>
      <w:r>
        <w:rPr>
          <w:rFonts w:ascii="黑体" w:hAnsi="黑体" w:eastAsia="黑体" w:cs="黑体"/>
          <w:b w:val="0"/>
          <w:bCs w:val="0"/>
          <w:spacing w:val="0"/>
          <w:sz w:val="56"/>
          <w:szCs w:val="56"/>
        </w:rPr>
        <w:t>部门概况</w:t>
      </w:r>
      <w:bookmarkEnd w:id="1"/>
    </w:p>
    <w:p>
      <w:pPr>
        <w:pStyle w:val="24"/>
        <w:widowControl/>
        <w:spacing w:before="100" w:after="100"/>
        <w:ind w:left="100" w:right="100" w:firstLine="0"/>
        <w:jc w:val="center"/>
        <w:rPr>
          <w:rFonts w:ascii="Times New Roman" w:hAnsi="Times New Roman" w:eastAsia="Times New Roman" w:cs="Times New Roman"/>
          <w:kern w:val="0"/>
          <w:sz w:val="24"/>
        </w:rPr>
      </w:pPr>
    </w:p>
    <w:p>
      <w:pPr>
        <w:sectPr>
          <w:footerReference r:id="rId6" w:type="default"/>
          <w:pgSz w:w="11906" w:h="16838"/>
          <w:pgMar w:top="1440" w:right="720" w:bottom="1440" w:left="720" w:header="720" w:footer="720" w:gutter="0"/>
          <w:pgNumType w:start="1"/>
          <w:cols w:space="720" w:num="1"/>
        </w:sectPr>
      </w:pPr>
    </w:p>
    <w:p>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page break</w:t>
      </w:r>
    </w:p>
    <w:p>
      <w:pPr>
        <w:widowControl/>
        <w:spacing w:before="240" w:after="240"/>
        <w:jc w:val="left"/>
        <w:rPr>
          <w:rFonts w:ascii="Times New Roman" w:hAnsi="Times New Roman" w:eastAsia="Times New Roman" w:cs="Times New Roman"/>
          <w:kern w:val="0"/>
          <w:sz w:val="24"/>
        </w:rPr>
      </w:pPr>
    </w:p>
    <w:p>
      <w:pPr>
        <w:widowControl/>
        <w:spacing w:before="240" w:after="240"/>
        <w:jc w:val="left"/>
        <w:rPr>
          <w:rFonts w:ascii="Times New Roman" w:hAnsi="Times New Roman" w:eastAsia="Times New Roman" w:cs="Times New Roman"/>
          <w:kern w:val="0"/>
          <w:sz w:val="24"/>
        </w:rPr>
      </w:pPr>
    </w:p>
    <w:p>
      <w:pPr>
        <w:pStyle w:val="5"/>
        <w:spacing w:before="100" w:after="100" w:line="560" w:lineRule="atLeast"/>
        <w:ind w:left="100" w:right="100" w:firstLine="640" w:firstLineChars="0"/>
        <w:rPr>
          <w:rFonts w:ascii="Times New Roman" w:hAnsi="Times New Roman" w:eastAsia="Times New Roman" w:cs="Times New Roman"/>
          <w:b/>
          <w:bCs/>
          <w:kern w:val="0"/>
          <w:sz w:val="28"/>
          <w:szCs w:val="28"/>
        </w:rPr>
      </w:pPr>
      <w:bookmarkStart w:id="2" w:name="_Toc256000055"/>
      <w:r>
        <w:rPr>
          <w:rFonts w:ascii="黑体" w:hAnsi="黑体" w:eastAsia="黑体" w:cs="黑体"/>
          <w:b w:val="0"/>
          <w:bCs w:val="0"/>
          <w:spacing w:val="0"/>
        </w:rPr>
        <w:t>一、部门主要职责</w:t>
      </w:r>
      <w:bookmarkEnd w:id="2"/>
    </w:p>
    <w:p>
      <w:pPr>
        <w:pStyle w:val="24"/>
        <w:widowControl/>
        <w:spacing w:before="100" w:after="100" w:line="560" w:lineRule="atLeast"/>
        <w:ind w:left="100" w:right="100" w:firstLine="640"/>
        <w:jc w:val="left"/>
        <w:rPr>
          <w:rFonts w:ascii="FangSong_GB2312" w:hAnsi="FangSong_GB2312" w:eastAsia="FangSong_GB2312" w:cs="FangSong_GB2312"/>
          <w:spacing w:val="0"/>
          <w:kern w:val="0"/>
          <w:sz w:val="32"/>
          <w:szCs w:val="32"/>
        </w:rPr>
      </w:pPr>
      <w:r>
        <w:rPr>
          <w:rFonts w:ascii="FangSong_GB2312" w:hAnsi="FangSong_GB2312" w:eastAsia="FangSong_GB2312" w:cs="FangSong_GB2312"/>
          <w:spacing w:val="0"/>
          <w:kern w:val="0"/>
          <w:sz w:val="32"/>
          <w:szCs w:val="32"/>
        </w:rPr>
        <w:t>漳平市人民政府菁城街道办事处部门的主要职责是：</w:t>
      </w:r>
    </w:p>
    <w:p>
      <w:pPr>
        <w:pStyle w:val="24"/>
        <w:widowControl/>
        <w:spacing w:before="100" w:after="100" w:line="600" w:lineRule="atLeast"/>
        <w:ind w:firstLine="640"/>
        <w:jc w:val="left"/>
        <w:rPr>
          <w:rFonts w:ascii="仿宋" w:hAnsi="仿宋" w:eastAsia="仿宋" w:cs="仿宋"/>
          <w:kern w:val="0"/>
          <w:sz w:val="32"/>
          <w:szCs w:val="32"/>
        </w:rPr>
      </w:pPr>
      <w:r>
        <w:rPr>
          <w:rFonts w:hint="eastAsia" w:ascii="仿宋" w:hAnsi="仿宋" w:eastAsia="仿宋" w:cs="仿宋"/>
          <w:kern w:val="0"/>
          <w:sz w:val="32"/>
          <w:szCs w:val="32"/>
        </w:rPr>
        <w:t>（一）</w:t>
      </w:r>
      <w:r>
        <w:rPr>
          <w:rFonts w:ascii="仿宋" w:hAnsi="仿宋" w:eastAsia="仿宋" w:cs="仿宋"/>
          <w:kern w:val="0"/>
          <w:sz w:val="32"/>
          <w:szCs w:val="32"/>
        </w:rPr>
        <w:t>加强党的建设。落实基层党建工作责任制，加强党的基层组织、干部队伍、党员队伍、党风廉政建设，推进全面从严治党，严格抓好基层党组织建设各项制度，做好基层党建工作，全面加强基层宣传思想文化工作，进一步增强优化基层的政治领导力、思想引领力、群众组织力、社会号召力。</w:t>
      </w:r>
    </w:p>
    <w:p>
      <w:pPr>
        <w:pStyle w:val="24"/>
        <w:widowControl/>
        <w:spacing w:before="100" w:after="100" w:line="600" w:lineRule="atLeast"/>
        <w:ind w:firstLine="640"/>
        <w:jc w:val="left"/>
        <w:rPr>
          <w:rFonts w:ascii="仿宋" w:hAnsi="仿宋" w:eastAsia="仿宋" w:cs="仿宋"/>
          <w:kern w:val="0"/>
          <w:sz w:val="32"/>
          <w:szCs w:val="32"/>
        </w:rPr>
      </w:pPr>
      <w:r>
        <w:rPr>
          <w:rFonts w:hint="eastAsia" w:ascii="仿宋" w:hAnsi="仿宋" w:eastAsia="仿宋" w:cs="仿宋"/>
          <w:kern w:val="0"/>
          <w:sz w:val="32"/>
          <w:szCs w:val="32"/>
        </w:rPr>
        <w:t>（二）</w:t>
      </w:r>
      <w:r>
        <w:rPr>
          <w:rFonts w:ascii="仿宋" w:hAnsi="仿宋" w:eastAsia="仿宋" w:cs="仿宋"/>
          <w:kern w:val="0"/>
          <w:sz w:val="32"/>
          <w:szCs w:val="32"/>
        </w:rPr>
        <w:t>推进经济建设。负责本行政区域经济社会发展和社区建设等规划的编制与实施，加快经济社会发展，加强营商环境建设，大力发展城市经济，改善居民生产生活环境，推动辖区健康、有序、可持续发展。</w:t>
      </w:r>
    </w:p>
    <w:p>
      <w:pPr>
        <w:pStyle w:val="24"/>
        <w:widowControl/>
        <w:spacing w:before="100" w:after="100" w:line="600" w:lineRule="atLeast"/>
        <w:ind w:firstLine="640"/>
        <w:jc w:val="left"/>
        <w:rPr>
          <w:rFonts w:ascii="仿宋" w:hAnsi="仿宋" w:eastAsia="仿宋" w:cs="仿宋"/>
          <w:kern w:val="0"/>
          <w:sz w:val="32"/>
          <w:szCs w:val="32"/>
        </w:rPr>
      </w:pPr>
      <w:r>
        <w:rPr>
          <w:rFonts w:hint="eastAsia" w:ascii="仿宋" w:hAnsi="仿宋" w:eastAsia="仿宋" w:cs="仿宋"/>
          <w:kern w:val="0"/>
          <w:sz w:val="32"/>
          <w:szCs w:val="32"/>
        </w:rPr>
        <w:t>（三）</w:t>
      </w:r>
      <w:r>
        <w:rPr>
          <w:rFonts w:ascii="仿宋" w:hAnsi="仿宋" w:eastAsia="仿宋" w:cs="仿宋"/>
          <w:kern w:val="0"/>
          <w:sz w:val="32"/>
          <w:szCs w:val="32"/>
        </w:rPr>
        <w:t>加强社会治理。推进城市基层治理体系和治理能力现代化，加强平安建设和社会治安综合治理，完善基层治安防控体系，强化信访和矛盾纠纷调解工作，反映社情民意，化解社会矛盾纠纷，维护社会和谐稳定；健全应急管理体系，做好各类突发应急处理工作，提升安全事故防控和自然灾害防治能力；加强生态社区建设，改善社区人居环境；健全新型社区管理和服务体制；推进精神文明建设，树立健康文明新风尚。</w:t>
      </w:r>
    </w:p>
    <w:p>
      <w:pPr>
        <w:pStyle w:val="24"/>
        <w:widowControl/>
        <w:spacing w:before="100" w:after="100" w:line="600" w:lineRule="atLeast"/>
        <w:ind w:firstLine="640"/>
        <w:jc w:val="left"/>
        <w:rPr>
          <w:rFonts w:ascii="仿宋" w:hAnsi="仿宋" w:eastAsia="仿宋" w:cs="仿宋"/>
          <w:kern w:val="0"/>
          <w:sz w:val="32"/>
          <w:szCs w:val="32"/>
        </w:rPr>
      </w:pPr>
      <w:r>
        <w:rPr>
          <w:rFonts w:hint="eastAsia" w:ascii="仿宋" w:hAnsi="仿宋" w:eastAsia="仿宋" w:cs="仿宋"/>
          <w:kern w:val="0"/>
          <w:sz w:val="32"/>
          <w:szCs w:val="32"/>
        </w:rPr>
        <w:t>（四）</w:t>
      </w:r>
      <w:r>
        <w:rPr>
          <w:rFonts w:ascii="仿宋" w:hAnsi="仿宋" w:eastAsia="仿宋" w:cs="仿宋"/>
          <w:kern w:val="0"/>
          <w:sz w:val="32"/>
          <w:szCs w:val="32"/>
        </w:rPr>
        <w:t>组织公共服务。推行和完善街道权责清单制度，推进综合便民服务体系建设，优化便民服务质量；组织实施与居民生活密切相关的各项公共服务，负责抓好人力资源和社会保障、民政、教育、文化、体育、卫生健康等工作，统筹基本公共服务设施的空间布局，实现基本公共服务全覆盖。</w:t>
      </w:r>
    </w:p>
    <w:p>
      <w:pPr>
        <w:pStyle w:val="24"/>
        <w:widowControl/>
        <w:spacing w:before="100" w:after="100" w:line="600" w:lineRule="atLeast"/>
        <w:ind w:firstLine="640"/>
        <w:jc w:val="left"/>
        <w:rPr>
          <w:rFonts w:ascii="仿宋" w:hAnsi="仿宋" w:eastAsia="仿宋" w:cs="仿宋"/>
          <w:kern w:val="0"/>
          <w:sz w:val="32"/>
          <w:szCs w:val="32"/>
        </w:rPr>
      </w:pPr>
      <w:r>
        <w:rPr>
          <w:rFonts w:hint="eastAsia" w:ascii="仿宋" w:hAnsi="仿宋" w:eastAsia="仿宋" w:cs="仿宋"/>
          <w:kern w:val="0"/>
          <w:sz w:val="32"/>
          <w:szCs w:val="32"/>
        </w:rPr>
        <w:t>（五）</w:t>
      </w:r>
      <w:r>
        <w:rPr>
          <w:rFonts w:ascii="仿宋" w:hAnsi="仿宋" w:eastAsia="仿宋" w:cs="仿宋"/>
          <w:kern w:val="0"/>
          <w:sz w:val="32"/>
          <w:szCs w:val="32"/>
        </w:rPr>
        <w:t>加强联动执法。建立健全联动执法机制，落实“街道吹哨、部门报到”综合执法机制，强化对辖区范围内执法力量的统一指挥和统筹协调，配合相关部门开展综合执法活动。</w:t>
      </w:r>
    </w:p>
    <w:p>
      <w:pPr>
        <w:pStyle w:val="24"/>
        <w:widowControl/>
        <w:spacing w:before="100" w:after="100" w:line="600" w:lineRule="atLeast"/>
        <w:ind w:firstLine="640"/>
        <w:jc w:val="left"/>
        <w:rPr>
          <w:rFonts w:ascii="仿宋" w:hAnsi="仿宋" w:eastAsia="仿宋" w:cs="仿宋"/>
          <w:kern w:val="0"/>
          <w:sz w:val="32"/>
          <w:szCs w:val="32"/>
        </w:rPr>
      </w:pPr>
      <w:r>
        <w:rPr>
          <w:rFonts w:hint="eastAsia" w:ascii="仿宋" w:hAnsi="仿宋" w:eastAsia="仿宋" w:cs="仿宋"/>
          <w:kern w:val="0"/>
          <w:sz w:val="32"/>
          <w:szCs w:val="32"/>
        </w:rPr>
        <w:t>（六）</w:t>
      </w:r>
      <w:r>
        <w:rPr>
          <w:rFonts w:ascii="仿宋" w:hAnsi="仿宋" w:eastAsia="仿宋" w:cs="仿宋"/>
          <w:kern w:val="0"/>
          <w:sz w:val="32"/>
          <w:szCs w:val="32"/>
        </w:rPr>
        <w:t>推进民主法治。推进基层民主法治建设，指导居民委员会工作，维护群众合法权益。健全自治、法治、德治相结合的城市社区治理体系，动员广大居民参与基层治理。</w:t>
      </w:r>
    </w:p>
    <w:p>
      <w:pPr>
        <w:pStyle w:val="24"/>
        <w:widowControl/>
        <w:spacing w:before="100" w:after="100" w:line="600" w:lineRule="atLeast"/>
        <w:ind w:firstLine="640"/>
        <w:jc w:val="left"/>
        <w:outlineLvl w:val="2"/>
        <w:rPr>
          <w:rFonts w:ascii="FangSong_GB2312" w:hAnsi="FangSong_GB2312" w:eastAsia="FangSong_GB2312" w:cs="FangSong_GB2312"/>
          <w:spacing w:val="0"/>
          <w:kern w:val="0"/>
          <w:sz w:val="32"/>
          <w:szCs w:val="32"/>
        </w:rPr>
      </w:pPr>
      <w:r>
        <w:rPr>
          <w:rFonts w:hint="eastAsia" w:ascii="仿宋" w:hAnsi="仿宋" w:eastAsia="仿宋" w:cs="仿宋"/>
          <w:kern w:val="0"/>
          <w:sz w:val="32"/>
          <w:szCs w:val="32"/>
        </w:rPr>
        <w:t>（七）</w:t>
      </w:r>
      <w:r>
        <w:rPr>
          <w:rFonts w:ascii="仿宋" w:hAnsi="仿宋" w:eastAsia="仿宋" w:cs="仿宋"/>
          <w:kern w:val="0"/>
          <w:sz w:val="32"/>
          <w:szCs w:val="32"/>
        </w:rPr>
        <w:t>完成法律法规规定和市委、市政府交办的其他事项。</w:t>
      </w:r>
    </w:p>
    <w:p>
      <w:pPr>
        <w:pStyle w:val="5"/>
        <w:spacing w:before="100" w:after="100" w:line="560" w:lineRule="atLeast"/>
        <w:ind w:left="100" w:right="100" w:firstLine="640" w:firstLineChars="0"/>
        <w:rPr>
          <w:rFonts w:ascii="Times New Roman" w:hAnsi="Times New Roman" w:eastAsia="Times New Roman" w:cs="Times New Roman"/>
          <w:b/>
          <w:bCs/>
          <w:kern w:val="0"/>
          <w:sz w:val="28"/>
          <w:szCs w:val="28"/>
        </w:rPr>
      </w:pPr>
      <w:bookmarkStart w:id="3" w:name="_Toc256000056"/>
      <w:r>
        <w:rPr>
          <w:rFonts w:ascii="黑体" w:hAnsi="黑体" w:eastAsia="黑体" w:cs="黑体"/>
          <w:b w:val="0"/>
          <w:bCs w:val="0"/>
          <w:spacing w:val="0"/>
        </w:rPr>
        <w:t>二、部门决算单位基本情况</w:t>
      </w:r>
      <w:bookmarkEnd w:id="3"/>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从决算单位构成看，漳平市人民政府菁城街道办事处部门包括</w:t>
      </w:r>
      <w:r>
        <w:rPr>
          <w:rFonts w:hint="eastAsia" w:ascii="FangSong_GB2312" w:hAnsi="FangSong_GB2312" w:eastAsia="FangSong_GB2312" w:cs="FangSong_GB2312"/>
          <w:spacing w:val="0"/>
          <w:kern w:val="0"/>
          <w:sz w:val="32"/>
          <w:szCs w:val="32"/>
          <w:lang w:val="en-US" w:eastAsia="zh-CN"/>
        </w:rPr>
        <w:t>3</w:t>
      </w:r>
      <w:r>
        <w:rPr>
          <w:rFonts w:ascii="FangSong_GB2312" w:hAnsi="FangSong_GB2312" w:eastAsia="FangSong_GB2312" w:cs="FangSong_GB2312"/>
          <w:spacing w:val="0"/>
          <w:kern w:val="0"/>
          <w:sz w:val="32"/>
          <w:szCs w:val="32"/>
        </w:rPr>
        <w:t>个机关行政处（科、股）室及1个下属单位，其中：列入2025年部门决算编制范围的单位详细情况见下表:</w:t>
      </w:r>
    </w:p>
    <w:tbl>
      <w:tblPr>
        <w:tblStyle w:val="22"/>
        <w:tblW w:w="10510" w:type="dxa"/>
        <w:tblInd w:w="13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fixed"/>
        <w:tblCellMar>
          <w:top w:w="15" w:type="dxa"/>
          <w:left w:w="15" w:type="dxa"/>
          <w:bottom w:w="15" w:type="dxa"/>
          <w:right w:w="15" w:type="dxa"/>
        </w:tblCellMar>
      </w:tblPr>
      <w:tblGrid>
        <w:gridCol w:w="1180"/>
        <w:gridCol w:w="9330"/>
      </w:tblGrid>
      <w:tr>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fixed"/>
          <w:tblCellMar>
            <w:top w:w="15" w:type="dxa"/>
            <w:left w:w="15" w:type="dxa"/>
            <w:bottom w:w="15" w:type="dxa"/>
            <w:right w:w="15" w:type="dxa"/>
          </w:tblCellMar>
        </w:tblPrEx>
        <w:trPr>
          <w:cantSplit/>
          <w:tblHeader/>
        </w:trPr>
        <w:tc>
          <w:tcPr>
            <w:tcW w:w="1180" w:type="dxa"/>
            <w:tcBorders>
              <w:top w:val="outset" w:color="808080" w:sz="6" w:space="0"/>
              <w:left w:val="outset" w:color="808080" w:sz="6" w:space="0"/>
              <w:bottom w:val="outset" w:color="808080" w:sz="6" w:space="0"/>
              <w:right w:val="outset" w:color="808080" w:sz="6" w:space="0"/>
            </w:tcBorders>
            <w:tcMar>
              <w:top w:w="15" w:type="dxa"/>
              <w:left w:w="22" w:type="dxa"/>
              <w:bottom w:w="15" w:type="dxa"/>
              <w:right w:w="22" w:type="dxa"/>
            </w:tcMar>
            <w:vAlign w:val="center"/>
          </w:tcPr>
          <w:p>
            <w:pPr>
              <w:widowControl/>
              <w:ind w:firstLine="0"/>
              <w:jc w:val="center"/>
              <w:rPr>
                <w:rFonts w:ascii="宋体" w:hAnsi="宋体" w:eastAsia="宋体" w:cs="宋体"/>
                <w:b/>
                <w:bCs/>
                <w:i w:val="0"/>
                <w:iCs w:val="0"/>
                <w:smallCaps w:val="0"/>
                <w:color w:val="000000"/>
                <w:spacing w:val="0"/>
                <w:kern w:val="0"/>
                <w:sz w:val="24"/>
              </w:rPr>
            </w:pPr>
            <w:r>
              <w:rPr>
                <w:rFonts w:ascii="宋体" w:hAnsi="宋体" w:eastAsia="宋体" w:cs="宋体"/>
                <w:b/>
                <w:bCs/>
                <w:i w:val="0"/>
                <w:iCs w:val="0"/>
                <w:smallCaps w:val="0"/>
                <w:color w:val="000000"/>
                <w:spacing w:val="0"/>
                <w:kern w:val="0"/>
                <w:sz w:val="21"/>
              </w:rPr>
              <w:t>序号</w:t>
            </w:r>
          </w:p>
        </w:tc>
        <w:tc>
          <w:tcPr>
            <w:tcW w:w="9330" w:type="dxa"/>
            <w:tcBorders>
              <w:top w:val="outset" w:color="808080" w:sz="6" w:space="0"/>
              <w:left w:val="outset" w:color="808080" w:sz="6" w:space="0"/>
              <w:bottom w:val="outset" w:color="808080" w:sz="6" w:space="0"/>
              <w:right w:val="outset" w:color="808080" w:sz="6" w:space="0"/>
            </w:tcBorders>
            <w:tcMar>
              <w:top w:w="15" w:type="dxa"/>
              <w:left w:w="22" w:type="dxa"/>
              <w:bottom w:w="15" w:type="dxa"/>
              <w:right w:w="22" w:type="dxa"/>
            </w:tcMar>
            <w:vAlign w:val="center"/>
          </w:tcPr>
          <w:p>
            <w:pPr>
              <w:widowControl/>
              <w:ind w:firstLine="0"/>
              <w:jc w:val="center"/>
              <w:rPr>
                <w:rFonts w:ascii="宋体" w:hAnsi="宋体" w:eastAsia="宋体" w:cs="宋体"/>
                <w:b/>
                <w:bCs/>
                <w:i w:val="0"/>
                <w:iCs w:val="0"/>
                <w:smallCaps w:val="0"/>
                <w:color w:val="000000"/>
                <w:spacing w:val="0"/>
                <w:kern w:val="0"/>
                <w:sz w:val="24"/>
              </w:rPr>
            </w:pPr>
            <w:r>
              <w:rPr>
                <w:rFonts w:ascii="宋体" w:hAnsi="宋体" w:eastAsia="宋体" w:cs="宋体"/>
                <w:b/>
                <w:bCs/>
                <w:i w:val="0"/>
                <w:iCs w:val="0"/>
                <w:smallCaps w:val="0"/>
                <w:color w:val="000000"/>
                <w:spacing w:val="0"/>
                <w:kern w:val="0"/>
                <w:sz w:val="21"/>
              </w:rPr>
              <w:t>单位名称</w:t>
            </w:r>
          </w:p>
        </w:tc>
      </w:tr>
      <w:tr>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fixed"/>
          <w:tblCellMar>
            <w:top w:w="15" w:type="dxa"/>
            <w:left w:w="15" w:type="dxa"/>
            <w:bottom w:w="15" w:type="dxa"/>
            <w:right w:w="15" w:type="dxa"/>
          </w:tblCellMar>
        </w:tblPrEx>
        <w:trPr>
          <w:cantSplit/>
        </w:trPr>
        <w:tc>
          <w:tcPr>
            <w:tcW w:w="1180" w:type="dxa"/>
            <w:tcBorders>
              <w:top w:val="outset" w:color="808080" w:sz="6" w:space="0"/>
              <w:left w:val="outset" w:color="808080" w:sz="6" w:space="0"/>
              <w:bottom w:val="outset" w:color="808080" w:sz="6" w:space="0"/>
              <w:right w:val="outset" w:color="808080" w:sz="6" w:space="0"/>
            </w:tcBorders>
            <w:tcMar>
              <w:top w:w="15" w:type="dxa"/>
              <w:left w:w="22" w:type="dxa"/>
              <w:bottom w:w="15" w:type="dxa"/>
              <w:right w:w="22" w:type="dxa"/>
            </w:tcMar>
            <w:vAlign w:val="center"/>
          </w:tcPr>
          <w:p>
            <w:pPr>
              <w:widowControl/>
              <w:ind w:firstLine="0"/>
              <w:jc w:val="center"/>
              <w:rPr>
                <w:rFonts w:ascii="宋体" w:hAnsi="宋体" w:eastAsia="宋体" w:cs="宋体"/>
                <w:b w:val="0"/>
                <w:bCs w:val="0"/>
                <w:i w:val="0"/>
                <w:iCs w:val="0"/>
                <w:smallCaps w:val="0"/>
                <w:color w:val="000000"/>
                <w:spacing w:val="0"/>
                <w:kern w:val="0"/>
                <w:sz w:val="24"/>
              </w:rPr>
            </w:pPr>
            <w:r>
              <w:rPr>
                <w:rFonts w:ascii="宋体" w:hAnsi="宋体" w:eastAsia="宋体" w:cs="宋体"/>
                <w:b w:val="0"/>
                <w:bCs w:val="0"/>
                <w:i w:val="0"/>
                <w:iCs w:val="0"/>
                <w:smallCaps w:val="0"/>
                <w:color w:val="000000"/>
                <w:spacing w:val="0"/>
                <w:kern w:val="0"/>
                <w:sz w:val="21"/>
              </w:rPr>
              <w:t>1</w:t>
            </w:r>
          </w:p>
        </w:tc>
        <w:tc>
          <w:tcPr>
            <w:tcW w:w="9330" w:type="dxa"/>
            <w:tcBorders>
              <w:top w:val="outset" w:color="808080" w:sz="6" w:space="0"/>
              <w:left w:val="outset" w:color="808080" w:sz="6" w:space="0"/>
              <w:bottom w:val="outset" w:color="808080" w:sz="6" w:space="0"/>
              <w:right w:val="outset" w:color="808080" w:sz="6" w:space="0"/>
            </w:tcBorders>
            <w:tcMar>
              <w:top w:w="15" w:type="dxa"/>
              <w:left w:w="22" w:type="dxa"/>
              <w:bottom w:w="15" w:type="dxa"/>
              <w:right w:w="22" w:type="dxa"/>
            </w:tcMar>
            <w:vAlign w:val="center"/>
          </w:tcPr>
          <w:p>
            <w:pPr>
              <w:widowControl/>
              <w:ind w:firstLine="0"/>
              <w:jc w:val="center"/>
              <w:rPr>
                <w:rFonts w:ascii="宋体" w:hAnsi="宋体" w:eastAsia="宋体" w:cs="宋体"/>
                <w:b w:val="0"/>
                <w:bCs w:val="0"/>
                <w:i w:val="0"/>
                <w:iCs w:val="0"/>
                <w:smallCaps w:val="0"/>
                <w:color w:val="000000"/>
                <w:spacing w:val="0"/>
                <w:kern w:val="0"/>
                <w:sz w:val="24"/>
              </w:rPr>
            </w:pPr>
            <w:r>
              <w:rPr>
                <w:rFonts w:ascii="宋体" w:hAnsi="宋体" w:eastAsia="宋体" w:cs="宋体"/>
                <w:b w:val="0"/>
                <w:bCs w:val="0"/>
                <w:i w:val="0"/>
                <w:iCs w:val="0"/>
                <w:smallCaps w:val="0"/>
                <w:color w:val="000000"/>
                <w:spacing w:val="0"/>
                <w:kern w:val="0"/>
                <w:sz w:val="21"/>
              </w:rPr>
              <w:t>漳平市人民政府菁城街道办事处（本级）</w:t>
            </w:r>
          </w:p>
        </w:tc>
      </w:tr>
      <w:tr>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fixed"/>
          <w:tblCellMar>
            <w:top w:w="15" w:type="dxa"/>
            <w:left w:w="15" w:type="dxa"/>
            <w:bottom w:w="15" w:type="dxa"/>
            <w:right w:w="15" w:type="dxa"/>
          </w:tblCellMar>
        </w:tblPrEx>
        <w:trPr>
          <w:cantSplit/>
        </w:trPr>
        <w:tc>
          <w:tcPr>
            <w:tcW w:w="1180" w:type="dxa"/>
            <w:tcBorders>
              <w:top w:val="outset" w:color="808080" w:sz="6" w:space="0"/>
              <w:left w:val="outset" w:color="808080" w:sz="6" w:space="0"/>
              <w:bottom w:val="outset" w:color="808080" w:sz="6" w:space="0"/>
              <w:right w:val="outset" w:color="808080" w:sz="6" w:space="0"/>
            </w:tcBorders>
            <w:tcMar>
              <w:top w:w="15" w:type="dxa"/>
              <w:left w:w="22" w:type="dxa"/>
              <w:bottom w:w="15" w:type="dxa"/>
              <w:right w:w="22" w:type="dxa"/>
            </w:tcMar>
            <w:vAlign w:val="center"/>
          </w:tcPr>
          <w:p>
            <w:pPr>
              <w:widowControl/>
              <w:ind w:firstLine="0"/>
              <w:jc w:val="center"/>
              <w:rPr>
                <w:rFonts w:ascii="宋体" w:hAnsi="宋体" w:eastAsia="宋体" w:cs="宋体"/>
                <w:b w:val="0"/>
                <w:bCs w:val="0"/>
                <w:i w:val="0"/>
                <w:iCs w:val="0"/>
                <w:smallCaps w:val="0"/>
                <w:color w:val="000000"/>
                <w:spacing w:val="0"/>
                <w:kern w:val="0"/>
                <w:sz w:val="24"/>
              </w:rPr>
            </w:pPr>
            <w:r>
              <w:rPr>
                <w:rFonts w:ascii="宋体" w:hAnsi="宋体" w:eastAsia="宋体" w:cs="宋体"/>
                <w:b w:val="0"/>
                <w:bCs w:val="0"/>
                <w:i w:val="0"/>
                <w:iCs w:val="0"/>
                <w:smallCaps w:val="0"/>
                <w:color w:val="000000"/>
                <w:spacing w:val="0"/>
                <w:kern w:val="0"/>
                <w:sz w:val="21"/>
              </w:rPr>
              <w:t>2</w:t>
            </w:r>
          </w:p>
        </w:tc>
        <w:tc>
          <w:tcPr>
            <w:tcW w:w="9330" w:type="dxa"/>
            <w:tcBorders>
              <w:top w:val="outset" w:color="808080" w:sz="6" w:space="0"/>
              <w:left w:val="outset" w:color="808080" w:sz="6" w:space="0"/>
              <w:bottom w:val="outset" w:color="808080" w:sz="6" w:space="0"/>
              <w:right w:val="outset" w:color="808080" w:sz="6" w:space="0"/>
            </w:tcBorders>
            <w:tcMar>
              <w:top w:w="15" w:type="dxa"/>
              <w:left w:w="22" w:type="dxa"/>
              <w:bottom w:w="15" w:type="dxa"/>
              <w:right w:w="22" w:type="dxa"/>
            </w:tcMar>
            <w:vAlign w:val="center"/>
          </w:tcPr>
          <w:p>
            <w:pPr>
              <w:widowControl/>
              <w:ind w:firstLine="0"/>
              <w:jc w:val="center"/>
              <w:rPr>
                <w:rFonts w:ascii="宋体" w:hAnsi="宋体" w:eastAsia="宋体" w:cs="宋体"/>
                <w:b w:val="0"/>
                <w:bCs w:val="0"/>
                <w:i w:val="0"/>
                <w:iCs w:val="0"/>
                <w:smallCaps w:val="0"/>
                <w:color w:val="000000"/>
                <w:spacing w:val="0"/>
                <w:kern w:val="0"/>
                <w:sz w:val="24"/>
              </w:rPr>
            </w:pPr>
            <w:r>
              <w:rPr>
                <w:rFonts w:ascii="宋体" w:hAnsi="宋体" w:eastAsia="宋体" w:cs="宋体"/>
                <w:b w:val="0"/>
                <w:bCs w:val="0"/>
                <w:i w:val="0"/>
                <w:iCs w:val="0"/>
                <w:smallCaps w:val="0"/>
                <w:color w:val="000000"/>
                <w:spacing w:val="0"/>
                <w:kern w:val="0"/>
                <w:sz w:val="21"/>
              </w:rPr>
              <w:t>漳平市人民政府菁城街道办事处（事业）</w:t>
            </w:r>
          </w:p>
        </w:tc>
      </w:tr>
    </w:tbl>
    <w:p>
      <w:pPr>
        <w:pStyle w:val="5"/>
        <w:spacing w:before="100" w:after="100" w:line="560" w:lineRule="atLeast"/>
        <w:ind w:left="100" w:right="100" w:firstLine="640" w:firstLineChars="0"/>
        <w:rPr>
          <w:rFonts w:ascii="Times New Roman" w:hAnsi="Times New Roman" w:eastAsia="Times New Roman" w:cs="Times New Roman"/>
          <w:b/>
          <w:bCs/>
          <w:kern w:val="0"/>
          <w:sz w:val="28"/>
          <w:szCs w:val="28"/>
        </w:rPr>
      </w:pPr>
      <w:bookmarkStart w:id="4" w:name="_Toc256000057"/>
      <w:r>
        <w:rPr>
          <w:rFonts w:ascii="黑体" w:hAnsi="黑体" w:eastAsia="黑体" w:cs="黑体"/>
          <w:b w:val="0"/>
          <w:bCs w:val="0"/>
          <w:spacing w:val="0"/>
        </w:rPr>
        <w:t>三、部门主要工作总结</w:t>
      </w:r>
      <w:bookmarkEnd w:id="4"/>
    </w:p>
    <w:p>
      <w:pPr>
        <w:pStyle w:val="24"/>
        <w:widowControl/>
        <w:spacing w:before="100" w:after="100" w:line="560" w:lineRule="atLeast"/>
        <w:ind w:left="100" w:right="100" w:firstLine="640"/>
        <w:jc w:val="left"/>
        <w:rPr>
          <w:rFonts w:ascii="FangSong_GB2312" w:hAnsi="FangSong_GB2312" w:eastAsia="FangSong_GB2312" w:cs="FangSong_GB2312"/>
          <w:spacing w:val="0"/>
          <w:kern w:val="0"/>
          <w:sz w:val="32"/>
          <w:szCs w:val="32"/>
        </w:rPr>
      </w:pPr>
      <w:r>
        <w:rPr>
          <w:rFonts w:ascii="FangSong_GB2312" w:hAnsi="FangSong_GB2312" w:eastAsia="FangSong_GB2312" w:cs="FangSong_GB2312"/>
          <w:spacing w:val="0"/>
          <w:kern w:val="0"/>
          <w:sz w:val="32"/>
          <w:szCs w:val="32"/>
        </w:rPr>
        <w:t>2025年，漳平市人民政府菁城街道办事处部门主要任务是：</w:t>
      </w:r>
      <w:r>
        <w:rPr>
          <w:rFonts w:hint="eastAsia" w:ascii="Times New Roman" w:hAnsi="Times New Roman" w:eastAsia="仿宋_GB2312" w:cs="仿宋_GB2312"/>
          <w:sz w:val="32"/>
          <w:szCs w:val="32"/>
          <w:lang w:val="en-US" w:eastAsia="zh-CN"/>
        </w:rPr>
        <w:t>以习近平新时代中国特色社会主义思想为指导，深入学习贯彻党的二十大和二十届三中全会精神以及习近平总书记在福建考察时的重要讲话精神，围绕“美丽菁城、共同缔造”定位，秉持“争上游、当表率”理念，聚焦党建引领、城市管理、社区建设、经济发展、基层治理等重点领域，统筹推进经济社会发展与安全稳定，全力打造“魅力菁城”。</w:t>
      </w:r>
      <w:r>
        <w:rPr>
          <w:rFonts w:ascii="FangSong_GB2312" w:hAnsi="FangSong_GB2312" w:eastAsia="FangSong_GB2312" w:cs="FangSong_GB2312"/>
          <w:spacing w:val="0"/>
          <w:kern w:val="0"/>
          <w:sz w:val="32"/>
          <w:szCs w:val="32"/>
        </w:rPr>
        <w:t>围绕上述任务，重点完成了以下工作：</w:t>
      </w:r>
    </w:p>
    <w:p>
      <w:pPr>
        <w:widowControl w:val="0"/>
        <w:wordWrap/>
        <w:adjustRightInd/>
        <w:snapToGrid/>
        <w:spacing w:line="540" w:lineRule="exact"/>
        <w:ind w:firstLine="643" w:firstLineChars="200"/>
        <w:jc w:val="both"/>
        <w:textAlignment w:val="auto"/>
        <w:rPr>
          <w:rFonts w:hint="default" w:ascii="Times New Roman" w:hAnsi="Times New Roman" w:eastAsia="仿宋_GB2312" w:cs="仿宋_GB2312"/>
          <w:sz w:val="32"/>
          <w:szCs w:val="32"/>
          <w:lang w:val="en-US" w:eastAsia="zh-CN"/>
        </w:rPr>
      </w:pPr>
      <w:r>
        <w:rPr>
          <w:rFonts w:hint="eastAsia" w:ascii="Times New Roman" w:hAnsi="Times New Roman" w:eastAsia="楷体_GB2312" w:cs="楷体_GB2312"/>
          <w:b/>
          <w:bCs/>
          <w:sz w:val="32"/>
          <w:szCs w:val="32"/>
          <w:lang w:eastAsia="zh-CN"/>
        </w:rPr>
        <w:t>（</w:t>
      </w:r>
      <w:r>
        <w:rPr>
          <w:rFonts w:hint="eastAsia" w:ascii="Times New Roman" w:hAnsi="Times New Roman" w:eastAsia="楷体_GB2312" w:cs="楷体_GB2312"/>
          <w:b/>
          <w:bCs/>
          <w:sz w:val="32"/>
          <w:szCs w:val="32"/>
          <w:lang w:val="en-US" w:eastAsia="zh-CN"/>
        </w:rPr>
        <w:t>一</w:t>
      </w:r>
      <w:r>
        <w:rPr>
          <w:rFonts w:hint="eastAsia" w:ascii="Times New Roman" w:hAnsi="Times New Roman" w:eastAsia="楷体_GB2312" w:cs="楷体_GB2312"/>
          <w:b/>
          <w:bCs/>
          <w:sz w:val="32"/>
          <w:szCs w:val="32"/>
          <w:lang w:eastAsia="zh-CN"/>
        </w:rPr>
        <w:t>）</w:t>
      </w:r>
      <w:r>
        <w:rPr>
          <w:rFonts w:hint="default" w:ascii="Times New Roman" w:hAnsi="Times New Roman" w:eastAsia="楷体_GB2312" w:cs="Times New Roman"/>
          <w:b/>
          <w:bCs/>
          <w:color w:val="auto"/>
          <w:sz w:val="32"/>
          <w:szCs w:val="32"/>
          <w:lang w:val="en-US" w:eastAsia="zh-CN"/>
        </w:rPr>
        <w:t>持续在党建引领基层治理上捷足领跑</w:t>
      </w:r>
    </w:p>
    <w:p>
      <w:pPr>
        <w:widowControl w:val="0"/>
        <w:numPr>
          <w:numId w:val="0"/>
        </w:numPr>
        <w:wordWrap/>
        <w:adjustRightInd/>
        <w:snapToGrid/>
        <w:spacing w:beforeAutospacing="0" w:afterAutospacing="0" w:line="540" w:lineRule="exact"/>
        <w:ind w:firstLine="643" w:firstLineChars="200"/>
        <w:textAlignment w:val="auto"/>
        <w:rPr>
          <w:rFonts w:hint="default" w:ascii="仿宋_GB2312" w:hAnsi="仿宋_GB2312" w:eastAsia="仿宋_GB2312" w:cs="仿宋_GB2312"/>
          <w:sz w:val="32"/>
          <w:szCs w:val="32"/>
          <w:highlight w:val="none"/>
          <w:lang w:val="en-US" w:eastAsia="zh-CN"/>
        </w:rPr>
      </w:pPr>
      <w:r>
        <w:rPr>
          <w:rFonts w:hint="eastAsia" w:ascii="Times New Roman" w:hAnsi="Times New Roman" w:eastAsia="仿宋_GB2312" w:cs="Times New Roman"/>
          <w:b/>
          <w:bCs/>
          <w:color w:val="auto"/>
          <w:sz w:val="32"/>
          <w:szCs w:val="32"/>
          <w:highlight w:val="none"/>
          <w:lang w:val="en-US" w:eastAsia="zh-CN"/>
        </w:rPr>
        <w:t>1.</w:t>
      </w:r>
      <w:r>
        <w:rPr>
          <w:rFonts w:hint="default" w:ascii="Times New Roman" w:hAnsi="Times New Roman" w:eastAsia="仿宋_GB2312" w:cs="Times New Roman"/>
          <w:b/>
          <w:bCs/>
          <w:color w:val="auto"/>
          <w:sz w:val="32"/>
          <w:szCs w:val="32"/>
          <w:highlight w:val="none"/>
          <w:lang w:val="en-US" w:eastAsia="zh-CN"/>
        </w:rPr>
        <w:t>深化品牌创建。</w:t>
      </w:r>
      <w:r>
        <w:rPr>
          <w:rFonts w:hint="default" w:ascii="仿宋_GB2312" w:hAnsi="仿宋_GB2312" w:eastAsia="仿宋_GB2312" w:cs="仿宋_GB2312"/>
          <w:sz w:val="32"/>
          <w:szCs w:val="32"/>
          <w:highlight w:val="none"/>
          <w:lang w:val="en-US" w:eastAsia="zh-CN"/>
        </w:rPr>
        <w:t>以“红石榴”党建品牌为引领，持续深化“红管家”“阳光七心”“红色火车头”“红商圈”“红帆顶郊”等子品牌建设，形成“石榴花开别样红”的党建新格局。累计开展党工委理论学习中心组学习</w:t>
      </w:r>
      <w:r>
        <w:rPr>
          <w:rFonts w:hint="eastAsia" w:ascii="仿宋_GB2312" w:hAnsi="仿宋_GB2312" w:eastAsia="仿宋_GB2312" w:cs="仿宋_GB2312"/>
          <w:sz w:val="32"/>
          <w:szCs w:val="32"/>
          <w:highlight w:val="none"/>
          <w:lang w:val="en-US" w:eastAsia="zh-CN"/>
        </w:rPr>
        <w:t>19</w:t>
      </w:r>
      <w:r>
        <w:rPr>
          <w:rFonts w:hint="default" w:ascii="仿宋_GB2312" w:hAnsi="仿宋_GB2312" w:eastAsia="仿宋_GB2312" w:cs="仿宋_GB2312"/>
          <w:sz w:val="32"/>
          <w:szCs w:val="32"/>
          <w:highlight w:val="none"/>
          <w:lang w:val="en-US" w:eastAsia="zh-CN"/>
        </w:rPr>
        <w:t>场，举办读书班1期，开展专题研讨</w:t>
      </w:r>
      <w:r>
        <w:rPr>
          <w:rFonts w:hint="eastAsia" w:ascii="仿宋_GB2312" w:hAnsi="仿宋_GB2312" w:eastAsia="仿宋_GB2312" w:cs="仿宋_GB2312"/>
          <w:sz w:val="32"/>
          <w:szCs w:val="32"/>
          <w:highlight w:val="none"/>
          <w:lang w:val="en-US" w:eastAsia="zh-CN"/>
        </w:rPr>
        <w:t>8</w:t>
      </w:r>
      <w:r>
        <w:rPr>
          <w:rFonts w:hint="default" w:ascii="仿宋_GB2312" w:hAnsi="仿宋_GB2312" w:eastAsia="仿宋_GB2312" w:cs="仿宋_GB2312"/>
          <w:sz w:val="32"/>
          <w:szCs w:val="32"/>
          <w:highlight w:val="none"/>
          <w:lang w:val="en-US" w:eastAsia="zh-CN"/>
        </w:rPr>
        <w:t>场，党员领导干部讲专题党课15场，开展警示教育20场，举办年轻干部、新提拔干部培训2期，培训29人次。围绕2个问题清单梳理存在问题10个，制定整改措施23条，销号问题10个，开展征求意见专题座谈会1次、专题调研4次，征求意见建议8条，领导班子立行立改、集中整治情况向党员群众通报1次，新出台或修订制度机制2份。结合辖区特色资源，设计宣传打卡墙绘，丰富品牌形象。实施党员回家工程，推动“党员回家”与“居民夜谈会”深度融合，创新“红石榴”“大掌柜”“老街坊”等议事平台，引导党员报到服务群众。共开展志愿服务185场，召开居民夜谈会共计63场，参与在职党员、居民群众410余人次，惠及居民2200余户，召开党建引领基层治理协调机制专题会21次，签订共建协议64份，协调推动民生问题153件，切实回应群众关切，增强群众获得感和满意度。</w:t>
      </w:r>
    </w:p>
    <w:p>
      <w:pPr>
        <w:widowControl w:val="0"/>
        <w:numPr>
          <w:numId w:val="0"/>
        </w:numPr>
        <w:wordWrap/>
        <w:adjustRightInd/>
        <w:snapToGrid/>
        <w:spacing w:beforeAutospacing="0" w:afterAutospacing="0" w:line="540" w:lineRule="exact"/>
        <w:ind w:firstLine="643" w:firstLineChars="200"/>
        <w:textAlignment w:val="auto"/>
        <w:rPr>
          <w:rFonts w:hint="eastAsia" w:ascii="仿宋_GB2312" w:hAnsi="仿宋_GB2312" w:eastAsia="仿宋_GB2312" w:cs="仿宋_GB2312"/>
          <w:color w:val="auto"/>
          <w:sz w:val="32"/>
          <w:szCs w:val="32"/>
          <w:highlight w:val="none"/>
          <w:lang w:eastAsia="zh-CN"/>
        </w:rPr>
      </w:pPr>
      <w:r>
        <w:rPr>
          <w:rFonts w:hint="eastAsia" w:ascii="Times New Roman" w:hAnsi="Times New Roman" w:eastAsia="仿宋_GB2312" w:cs="Times New Roman"/>
          <w:b/>
          <w:bCs/>
          <w:color w:val="auto"/>
          <w:sz w:val="32"/>
          <w:szCs w:val="32"/>
          <w:highlight w:val="none"/>
          <w:lang w:val="en-US" w:eastAsia="zh-CN"/>
        </w:rPr>
        <w:t>2.</w:t>
      </w:r>
      <w:r>
        <w:rPr>
          <w:rFonts w:hint="default" w:ascii="Times New Roman" w:hAnsi="Times New Roman" w:eastAsia="仿宋_GB2312" w:cs="Times New Roman"/>
          <w:b/>
          <w:bCs/>
          <w:color w:val="auto"/>
          <w:sz w:val="32"/>
          <w:szCs w:val="32"/>
          <w:highlight w:val="none"/>
          <w:lang w:val="en-US" w:eastAsia="zh-CN"/>
        </w:rPr>
        <w:t>探索“红色商圈”。</w:t>
      </w:r>
      <w:r>
        <w:rPr>
          <w:rFonts w:hint="eastAsia" w:ascii="仿宋_GB2312" w:hAnsi="仿宋_GB2312" w:eastAsia="仿宋_GB2312" w:cs="仿宋_GB2312"/>
          <w:color w:val="auto"/>
          <w:sz w:val="32"/>
          <w:szCs w:val="32"/>
          <w:highlight w:val="none"/>
          <w:lang w:eastAsia="zh-CN"/>
        </w:rPr>
        <w:t>成立华龙商圈协会，</w:t>
      </w:r>
      <w:r>
        <w:rPr>
          <w:rFonts w:hint="eastAsia" w:ascii="仿宋_GB2312" w:hAnsi="仿宋_GB2312" w:eastAsia="仿宋_GB2312" w:cs="仿宋_GB2312"/>
          <w:color w:val="auto"/>
          <w:sz w:val="32"/>
          <w:szCs w:val="32"/>
          <w:highlight w:val="none"/>
        </w:rPr>
        <w:t>整合商圈内党建、行政、企业资源</w:t>
      </w:r>
      <w:r>
        <w:rPr>
          <w:rFonts w:hint="eastAsia" w:ascii="仿宋_GB2312" w:hAnsi="仿宋_GB2312" w:eastAsia="仿宋_GB2312" w:cs="仿宋_GB2312"/>
          <w:color w:val="auto"/>
          <w:sz w:val="32"/>
          <w:szCs w:val="32"/>
          <w:highlight w:val="none"/>
          <w:lang w:eastAsia="zh-CN"/>
        </w:rPr>
        <w:t>，引导</w:t>
      </w:r>
      <w:r>
        <w:rPr>
          <w:rFonts w:hint="eastAsia" w:ascii="仿宋_GB2312" w:hAnsi="仿宋_GB2312" w:eastAsia="仿宋_GB2312" w:cs="仿宋_GB2312"/>
          <w:color w:val="auto"/>
          <w:sz w:val="32"/>
          <w:szCs w:val="32"/>
          <w:highlight w:val="none"/>
        </w:rPr>
        <w:t>党员干部主动靠前服务，组建志愿服务队5支，深入商户了解需求，协调解决经营难题。例如，帮助某餐饮店解决了油烟排放整改过程中的手续繁琐问题，助力其顺利营业</w:t>
      </w:r>
      <w:r>
        <w:rPr>
          <w:rFonts w:hint="eastAsia" w:ascii="仿宋_GB2312" w:hAnsi="仿宋_GB2312" w:eastAsia="仿宋_GB2312" w:cs="仿宋_GB2312"/>
          <w:color w:val="auto"/>
          <w:sz w:val="32"/>
          <w:szCs w:val="32"/>
          <w:highlight w:val="none"/>
          <w:lang w:eastAsia="zh-CN"/>
        </w:rPr>
        <w:t>。举办丰富多样的活动，跳蚤市场已成功举办38期，吸引2200余名“小老板”参与，不仅锻炼了孩子们的沟通能力，还为商圈增添了人气与活力；举办四季美食节，举办大型促销活动13场，艺见漳平93场，汇聚各地特色美食，吸引食客15万人次；“非遗集市”全年不间断，42个非遗展位展示漳平特色文化。</w:t>
      </w:r>
    </w:p>
    <w:p>
      <w:pPr>
        <w:widowControl w:val="0"/>
        <w:numPr>
          <w:numId w:val="0"/>
        </w:numPr>
        <w:wordWrap/>
        <w:adjustRightInd/>
        <w:snapToGrid/>
        <w:spacing w:beforeAutospacing="0" w:afterAutospacing="0" w:line="540" w:lineRule="exact"/>
        <w:ind w:firstLine="643" w:firstLineChars="200"/>
        <w:textAlignment w:val="auto"/>
        <w:rPr>
          <w:rFonts w:hint="default"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b/>
          <w:bCs/>
          <w:color w:val="auto"/>
          <w:sz w:val="32"/>
          <w:szCs w:val="32"/>
          <w:highlight w:val="none"/>
          <w:lang w:val="en-US" w:eastAsia="zh-CN"/>
        </w:rPr>
        <w:t>3.</w:t>
      </w:r>
      <w:r>
        <w:rPr>
          <w:rFonts w:hint="default" w:ascii="Times New Roman" w:hAnsi="Times New Roman" w:eastAsia="仿宋_GB2312" w:cs="Times New Roman"/>
          <w:b/>
          <w:bCs/>
          <w:color w:val="auto"/>
          <w:sz w:val="32"/>
          <w:szCs w:val="32"/>
          <w:highlight w:val="none"/>
          <w:lang w:val="en-US" w:eastAsia="zh-CN"/>
        </w:rPr>
        <w:t>创新治理机制。</w:t>
      </w:r>
      <w:r>
        <w:rPr>
          <w:rFonts w:hint="eastAsia" w:ascii="Times New Roman" w:hAnsi="Times New Roman" w:eastAsia="仿宋_GB2312" w:cs="仿宋_GB2312"/>
          <w:sz w:val="32"/>
          <w:szCs w:val="32"/>
          <w:highlight w:val="none"/>
          <w:lang w:val="en-US" w:eastAsia="zh-CN"/>
        </w:rPr>
        <w:t>关注特殊困难群体，探索挂钩帮扶、专班推进等机制，创新数智养老，菁城与移动公司开展“菁城银龄·移路同行”活动，推进“15分钟便民服务圈”和“数智养老”，为50户困难老人免费安装摄像头。针对社区老年人“做饭难、吃饭愁”问题，联合社区食堂、美团外卖，创新“惠民食堂+美团免费配送”模式，为出行不便的老人免费送餐。该案例作为龙岩市深入贯彻中央八项规定精神学习教育典型案例进行宣传。</w:t>
      </w:r>
      <w:r>
        <w:rPr>
          <w:rFonts w:hint="eastAsia" w:ascii="仿宋_GB2312" w:hAnsi="仿宋_GB2312" w:eastAsia="仿宋_GB2312" w:cs="仿宋_GB2312"/>
          <w:sz w:val="32"/>
          <w:szCs w:val="32"/>
          <w:highlight w:val="none"/>
          <w:lang w:val="en-US" w:eastAsia="zh-CN"/>
        </w:rPr>
        <w:t>街道辖区60周岁以上人员共有8299人（其中，580人享受高龄津贴，80周以上不含退休人员），低保252户455人，特困供养58人，低保边缘56户125人，残疾人员951人，对辖区内低保户、独居老人、残疾人等低收入群体进行逐一排查，及时更新完善水电气数据，截至目前，需纳入水电气检测的低收入群体共计158人次（其中低保、低保边缘7人，残疾人17人）。2023-2024年完成表下线改造28户，配备灭火器等消防设施296户。</w:t>
      </w:r>
    </w:p>
    <w:p>
      <w:pPr>
        <w:widowControl w:val="0"/>
        <w:wordWrap/>
        <w:adjustRightInd/>
        <w:snapToGrid/>
        <w:spacing w:line="540" w:lineRule="exact"/>
        <w:ind w:firstLine="643" w:firstLineChars="200"/>
        <w:jc w:val="both"/>
        <w:textAlignment w:val="auto"/>
        <w:rPr>
          <w:rFonts w:hint="default" w:ascii="Times New Roman" w:hAnsi="Times New Roman" w:eastAsia="楷体_GB2312" w:cs="楷体_GB2312"/>
          <w:b/>
          <w:bCs/>
          <w:color w:val="auto"/>
          <w:sz w:val="32"/>
          <w:szCs w:val="32"/>
          <w:highlight w:val="none"/>
          <w:lang w:val="en-US" w:eastAsia="zh-CN"/>
        </w:rPr>
      </w:pPr>
      <w:r>
        <w:rPr>
          <w:rFonts w:hint="eastAsia" w:ascii="Times New Roman" w:hAnsi="Times New Roman" w:eastAsia="楷体_GB2312" w:cs="楷体_GB2312"/>
          <w:b/>
          <w:bCs/>
          <w:color w:val="auto"/>
          <w:sz w:val="32"/>
          <w:szCs w:val="32"/>
          <w:highlight w:val="none"/>
          <w:lang w:eastAsia="zh-CN"/>
        </w:rPr>
        <w:t>（二）</w:t>
      </w:r>
      <w:r>
        <w:rPr>
          <w:rFonts w:hint="eastAsia" w:ascii="Times New Roman" w:hAnsi="Times New Roman" w:eastAsia="楷体_GB2312" w:cs="楷体_GB2312"/>
          <w:b/>
          <w:bCs/>
          <w:color w:val="auto"/>
          <w:sz w:val="32"/>
          <w:szCs w:val="32"/>
          <w:highlight w:val="none"/>
          <w:lang w:val="en-US" w:eastAsia="zh-CN"/>
        </w:rPr>
        <w:t>持续</w:t>
      </w:r>
      <w:r>
        <w:rPr>
          <w:rFonts w:hint="default" w:ascii="Times New Roman" w:hAnsi="Times New Roman" w:eastAsia="楷体_GB2312" w:cs="楷体_GB2312"/>
          <w:b/>
          <w:bCs/>
          <w:color w:val="auto"/>
          <w:sz w:val="32"/>
          <w:szCs w:val="32"/>
          <w:highlight w:val="none"/>
          <w:lang w:val="en-US" w:eastAsia="zh-CN"/>
        </w:rPr>
        <w:t>在推动经济发展上提质增效</w:t>
      </w:r>
    </w:p>
    <w:p>
      <w:pPr>
        <w:widowControl w:val="0"/>
        <w:wordWrap/>
        <w:adjustRightInd/>
        <w:snapToGrid/>
        <w:spacing w:line="600" w:lineRule="exact"/>
        <w:ind w:firstLine="643" w:firstLineChars="200"/>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1.项目策划精准发力。</w:t>
      </w:r>
      <w:r>
        <w:rPr>
          <w:rFonts w:hint="eastAsia" w:ascii="仿宋_GB2312" w:hAnsi="仿宋_GB2312" w:eastAsia="仿宋_GB2312" w:cs="仿宋_GB2312"/>
          <w:b w:val="0"/>
          <w:bCs w:val="0"/>
          <w:color w:val="auto"/>
          <w:sz w:val="32"/>
          <w:szCs w:val="32"/>
          <w:highlight w:val="none"/>
          <w:lang w:val="en-US" w:eastAsia="zh-CN"/>
        </w:rPr>
        <w:t>2025年，完成竞争性项目31个、总投资20.88亿元，省全生命周期平台项目3个、总投资6.88亿元；产业性项目策划龙岩级1个、漳平级1个，政府性项目策划3个。</w:t>
      </w:r>
      <w:r>
        <w:rPr>
          <w:rFonts w:hint="eastAsia" w:ascii="仿宋_GB2312" w:hAnsi="仿宋_GB2312" w:eastAsia="仿宋_GB2312" w:cs="仿宋_GB2312"/>
          <w:b/>
          <w:bCs/>
          <w:color w:val="auto"/>
          <w:sz w:val="32"/>
          <w:szCs w:val="32"/>
          <w:highlight w:val="none"/>
          <w:lang w:val="en-US" w:eastAsia="zh-CN"/>
        </w:rPr>
        <w:t>2.经济指标有升有降。</w:t>
      </w:r>
      <w:r>
        <w:rPr>
          <w:rFonts w:hint="eastAsia" w:ascii="仿宋_GB2312" w:hAnsi="仿宋_GB2312" w:eastAsia="仿宋_GB2312" w:cs="仿宋_GB2312"/>
          <w:b w:val="0"/>
          <w:bCs w:val="0"/>
          <w:color w:val="auto"/>
          <w:sz w:val="32"/>
          <w:szCs w:val="32"/>
          <w:highlight w:val="none"/>
          <w:lang w:val="en-US" w:eastAsia="zh-CN"/>
        </w:rPr>
        <w:t>2025年，完成财政一般公共预算总收入11289万元，其中地方级收入5791万元；规上工业产值完成137693.7万元，同比下降16.4%；24家限上商贸企业实现销售额87318.5万元、同比微降0.9%，零售额30836.4万元、同比增长1.9%；4家规上服务业企业完成营业额5331.9万元，同比下降5.6%。</w:t>
      </w:r>
      <w:r>
        <w:rPr>
          <w:rFonts w:hint="eastAsia" w:ascii="仿宋_GB2312" w:hAnsi="仿宋_GB2312" w:eastAsia="仿宋_GB2312" w:cs="仿宋_GB2312"/>
          <w:b/>
          <w:bCs/>
          <w:color w:val="auto"/>
          <w:sz w:val="32"/>
          <w:szCs w:val="32"/>
          <w:highlight w:val="none"/>
          <w:lang w:val="en-US" w:eastAsia="zh-CN"/>
        </w:rPr>
        <w:t>3.项目投资稳步推进。</w:t>
      </w:r>
      <w:r>
        <w:rPr>
          <w:rFonts w:hint="eastAsia" w:ascii="仿宋_GB2312" w:hAnsi="仿宋_GB2312" w:eastAsia="仿宋_GB2312" w:cs="仿宋_GB2312"/>
          <w:b w:val="0"/>
          <w:bCs w:val="0"/>
          <w:color w:val="auto"/>
          <w:sz w:val="32"/>
          <w:szCs w:val="32"/>
          <w:highlight w:val="none"/>
          <w:lang w:val="en-US" w:eastAsia="zh-CN"/>
        </w:rPr>
        <w:t>库内固定资产投资项目17个，剩余投资9.4亿元，1-12月完成投资7.1亿元，序时进度达92%；新增入库项目14个，总投资70336万元。推动重点项目建设提速，完成开工4个、竣工3个。</w:t>
      </w:r>
      <w:r>
        <w:rPr>
          <w:rFonts w:hint="eastAsia" w:ascii="仿宋_GB2312" w:hAnsi="仿宋_GB2312" w:eastAsia="仿宋_GB2312" w:cs="仿宋_GB2312"/>
          <w:b/>
          <w:bCs/>
          <w:color w:val="auto"/>
          <w:sz w:val="32"/>
          <w:szCs w:val="32"/>
          <w:highlight w:val="none"/>
          <w:lang w:val="en-US" w:eastAsia="zh-CN"/>
        </w:rPr>
        <w:t>4.招商引资深化拓展。</w:t>
      </w:r>
      <w:r>
        <w:rPr>
          <w:rFonts w:hint="eastAsia" w:ascii="仿宋_GB2312" w:hAnsi="仿宋_GB2312" w:eastAsia="仿宋_GB2312" w:cs="仿宋_GB2312"/>
          <w:b w:val="0"/>
          <w:bCs w:val="0"/>
          <w:color w:val="auto"/>
          <w:sz w:val="32"/>
          <w:szCs w:val="32"/>
          <w:highlight w:val="none"/>
          <w:lang w:val="en-US" w:eastAsia="zh-CN"/>
        </w:rPr>
        <w:t>累计签约项目4个、跟踪洽谈5个。下一步将紧扣“大招商招好商”部署，聚焦产业链精准招商，深化与广州秀全街道及集美区集美、侨英街道协作，搭建双向飞地合作平台。</w:t>
      </w:r>
      <w:r>
        <w:rPr>
          <w:rFonts w:hint="eastAsia" w:ascii="仿宋_GB2312" w:hAnsi="仿宋_GB2312" w:eastAsia="仿宋_GB2312" w:cs="仿宋_GB2312"/>
          <w:b/>
          <w:bCs/>
          <w:color w:val="auto"/>
          <w:sz w:val="32"/>
          <w:szCs w:val="32"/>
          <w:highlight w:val="none"/>
          <w:lang w:val="en-US" w:eastAsia="zh-CN"/>
        </w:rPr>
        <w:t>5.企业培育成效初显。</w:t>
      </w:r>
      <w:r>
        <w:rPr>
          <w:rFonts w:hint="eastAsia" w:ascii="仿宋_GB2312" w:hAnsi="仿宋_GB2312" w:eastAsia="仿宋_GB2312" w:cs="仿宋_GB2312"/>
          <w:b w:val="0"/>
          <w:bCs w:val="0"/>
          <w:color w:val="auto"/>
          <w:sz w:val="32"/>
          <w:szCs w:val="32"/>
          <w:highlight w:val="none"/>
          <w:lang w:val="en-US" w:eastAsia="zh-CN"/>
        </w:rPr>
        <w:t>成功培育规上工业企业1家（福建省优佳宠物食品有限公司）限上商贸零售业企业2家（漳平市鼎通灏商贸有限公司、漳平市昌顺新天意商贸有限公司），持续跟踪培育福建水投集团漳平水务有限公司。</w:t>
      </w:r>
    </w:p>
    <w:p>
      <w:pPr>
        <w:widowControl w:val="0"/>
        <w:wordWrap/>
        <w:adjustRightInd/>
        <w:snapToGrid/>
        <w:spacing w:line="540" w:lineRule="exact"/>
        <w:ind w:firstLine="643" w:firstLineChars="200"/>
        <w:jc w:val="both"/>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楷体_GB2312" w:cs="楷体_GB2312"/>
          <w:b/>
          <w:bCs/>
          <w:sz w:val="32"/>
          <w:szCs w:val="32"/>
          <w:lang w:val="en-US" w:eastAsia="zh-CN"/>
        </w:rPr>
        <w:t>（三）持续</w:t>
      </w:r>
      <w:r>
        <w:rPr>
          <w:rFonts w:hint="default" w:ascii="Times New Roman" w:hAnsi="Times New Roman" w:eastAsia="楷体_GB2312" w:cs="楷体_GB2312"/>
          <w:b/>
          <w:bCs/>
          <w:sz w:val="32"/>
          <w:szCs w:val="32"/>
          <w:lang w:val="en-US" w:eastAsia="zh-CN"/>
        </w:rPr>
        <w:t>在</w:t>
      </w:r>
      <w:r>
        <w:rPr>
          <w:rFonts w:hint="eastAsia" w:ascii="Times New Roman" w:hAnsi="Times New Roman" w:eastAsia="楷体_GB2312" w:cs="楷体_GB2312"/>
          <w:b/>
          <w:bCs/>
          <w:sz w:val="32"/>
          <w:szCs w:val="32"/>
          <w:lang w:val="en-US" w:eastAsia="zh-CN"/>
        </w:rPr>
        <w:t>建设宜居家园上聚优赋能</w:t>
      </w:r>
    </w:p>
    <w:p>
      <w:pPr>
        <w:widowControl w:val="0"/>
        <w:wordWrap/>
        <w:adjustRightInd/>
        <w:snapToGrid/>
        <w:spacing w:line="540" w:lineRule="exact"/>
        <w:ind w:firstLine="643" w:firstLineChars="200"/>
        <w:jc w:val="both"/>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b/>
          <w:bCs/>
          <w:color w:val="auto"/>
          <w:sz w:val="32"/>
          <w:szCs w:val="32"/>
          <w:lang w:val="en-US" w:eastAsia="zh-CN"/>
        </w:rPr>
        <w:t>1.推进城市更新项目建设。2025年菁城街道在建项目共21个，总投资17309万元，其中老旧小区改造项目6个，防洪排涝工程和燃气管道工程12个，移民项目1个，环保项目2个。</w:t>
      </w:r>
      <w:r>
        <w:rPr>
          <w:rFonts w:hint="default" w:ascii="仿宋_GB2312" w:eastAsia="仿宋_GB2312"/>
          <w:b w:val="0"/>
          <w:bCs w:val="0"/>
          <w:color w:val="auto"/>
          <w:sz w:val="32"/>
          <w:szCs w:val="32"/>
          <w:lang w:val="en-US" w:eastAsia="zh-CN"/>
        </w:rPr>
        <w:t>目前</w:t>
      </w:r>
      <w:r>
        <w:rPr>
          <w:rFonts w:hint="eastAsia" w:ascii="仿宋_GB2312" w:eastAsia="仿宋_GB2312"/>
          <w:b w:val="0"/>
          <w:bCs w:val="0"/>
          <w:color w:val="auto"/>
          <w:sz w:val="32"/>
          <w:szCs w:val="32"/>
          <w:lang w:val="en-US" w:eastAsia="zh-CN"/>
        </w:rPr>
        <w:t>均进入</w:t>
      </w:r>
      <w:r>
        <w:rPr>
          <w:rFonts w:hint="eastAsia" w:ascii="Times New Roman" w:hAnsi="Times New Roman" w:eastAsia="仿宋_GB2312" w:cs="仿宋_GB2312"/>
          <w:color w:val="auto"/>
          <w:sz w:val="32"/>
          <w:szCs w:val="32"/>
          <w:lang w:val="en-US" w:eastAsia="zh-CN"/>
        </w:rPr>
        <w:t>施工阶段</w:t>
      </w:r>
      <w:r>
        <w:rPr>
          <w:rFonts w:hint="default" w:ascii="仿宋_GB2312" w:eastAsia="仿宋_GB2312"/>
          <w:b w:val="0"/>
          <w:bCs w:val="0"/>
          <w:color w:val="auto"/>
          <w:sz w:val="32"/>
          <w:szCs w:val="32"/>
          <w:lang w:val="en-US" w:eastAsia="zh-CN"/>
        </w:rPr>
        <w:t>。</w:t>
      </w:r>
    </w:p>
    <w:p>
      <w:pPr>
        <w:widowControl w:val="0"/>
        <w:wordWrap/>
        <w:adjustRightInd/>
        <w:snapToGrid/>
        <w:spacing w:line="540" w:lineRule="exact"/>
        <w:ind w:firstLine="643"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Times New Roman" w:hAnsi="Times New Roman" w:eastAsia="仿宋_GB2312" w:cs="Times New Roman"/>
          <w:b/>
          <w:bCs/>
          <w:color w:val="auto"/>
          <w:sz w:val="32"/>
          <w:szCs w:val="32"/>
          <w:lang w:val="en-US" w:eastAsia="zh-CN"/>
        </w:rPr>
        <w:t>2.协同推动生态环保。</w:t>
      </w:r>
      <w:r>
        <w:rPr>
          <w:rFonts w:hint="eastAsia" w:ascii="仿宋_GB2312" w:hAnsi="仿宋_GB2312" w:eastAsia="仿宋_GB2312" w:cs="仿宋_GB2312"/>
          <w:kern w:val="2"/>
          <w:sz w:val="32"/>
          <w:szCs w:val="32"/>
          <w:lang w:val="en-US" w:eastAsia="zh-CN" w:bidi="ar-SA"/>
        </w:rPr>
        <w:t>制定《菁城街道生态环境污染溯源摸排行动工作方案》，推动东门溪水质提升为Ⅲ类，开展志愿活动6次，与相邻街镇开展上下游联动4次，各级河长及专管员巡河791次，解决涉河问题390次，清理垃圾杂物2.7吨，开展宣传活动38次、发放宣传材料4000余份，辖区生态环境持续改善。</w:t>
      </w:r>
    </w:p>
    <w:p>
      <w:pPr>
        <w:widowControl w:val="0"/>
        <w:wordWrap/>
        <w:adjustRightInd/>
        <w:snapToGrid/>
        <w:spacing w:line="560" w:lineRule="exact"/>
        <w:ind w:firstLine="643" w:firstLineChars="200"/>
        <w:textAlignment w:val="auto"/>
        <w:rPr>
          <w:rFonts w:hint="default" w:ascii="Times New Roman" w:hAnsi="Times New Roman" w:eastAsia="仿宋_GB2312" w:cs="Times New Roman"/>
          <w:b/>
          <w:bCs/>
          <w:color w:val="auto"/>
          <w:sz w:val="32"/>
          <w:szCs w:val="32"/>
          <w:lang w:val="en-US" w:eastAsia="zh-CN"/>
        </w:rPr>
      </w:pPr>
      <w:r>
        <w:rPr>
          <w:rFonts w:hint="eastAsia" w:ascii="Times New Roman" w:hAnsi="Times New Roman" w:eastAsia="仿宋_GB2312" w:cs="Times New Roman"/>
          <w:b/>
          <w:bCs/>
          <w:color w:val="auto"/>
          <w:sz w:val="32"/>
          <w:szCs w:val="32"/>
          <w:lang w:val="en-US" w:eastAsia="zh-CN"/>
        </w:rPr>
        <w:t>3.凝心聚力，推动创城工作提质增效。</w:t>
      </w:r>
      <w:r>
        <w:rPr>
          <w:rFonts w:hint="eastAsia" w:ascii="仿宋_GB2312" w:hAnsi="仿宋_GB2312" w:eastAsia="仿宋_GB2312" w:cs="仿宋_GB2312"/>
          <w:b/>
          <w:bCs/>
          <w:sz w:val="32"/>
          <w:szCs w:val="32"/>
        </w:rPr>
        <w:t>扛牢主体责任，构建闭环联动新格局</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sz w:val="32"/>
          <w:szCs w:val="32"/>
        </w:rPr>
        <w:t>始终把创城作为全局性、战略性工作，健全“街道—社区—网格—点位”责任体系，细化任务到岗到人。联动47家共建单位、15支志愿服务队，对36个重点监控点位实行“点位长”负责制，通过周例会、动态台账闭环推进，形成齐抓共管格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b/>
          <w:bCs/>
          <w:sz w:val="32"/>
          <w:szCs w:val="32"/>
        </w:rPr>
        <w:t>深化全民动员，凝聚共建共享新合力</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sz w:val="32"/>
          <w:szCs w:val="32"/>
        </w:rPr>
        <w:t>践行“创建为民、创建靠民、创建惠民”理念，多措并举激发群众参与热情。打造“社区文明共建日”，党员干部带头开展专项行动；线下入户宣传</w:t>
      </w:r>
      <w:r>
        <w:rPr>
          <w:rFonts w:hint="eastAsia" w:ascii="仿宋_GB2312" w:hAnsi="仿宋_GB2312" w:eastAsia="仿宋_GB2312" w:cs="仿宋_GB2312"/>
          <w:sz w:val="32"/>
          <w:szCs w:val="32"/>
          <w:lang w:val="en-US" w:eastAsia="zh-CN"/>
        </w:rPr>
        <w:t>万</w:t>
      </w:r>
      <w:r>
        <w:rPr>
          <w:rFonts w:hint="eastAsia" w:ascii="仿宋_GB2312" w:hAnsi="仿宋_GB2312" w:eastAsia="仿宋_GB2312" w:cs="仿宋_GB2312"/>
          <w:sz w:val="32"/>
          <w:szCs w:val="32"/>
        </w:rPr>
        <w:t>余户、发放资料2万余份，线上宣传视频播放量超3.8万次。推行“红黑榜”与居民公约，推动形成“人人关心、人人支持、人人参与”的创建热潮</w:t>
      </w:r>
      <w:r>
        <w:rPr>
          <w:rFonts w:hint="eastAsia" w:ascii="仿宋_GB2312" w:hAnsi="仿宋_GB2312" w:eastAsia="仿宋_GB2312" w:cs="仿宋_GB2312"/>
          <w:b/>
          <w:bCs/>
          <w:sz w:val="32"/>
          <w:szCs w:val="32"/>
        </w:rPr>
        <w:t>。坚持常态长效，筑牢文明创建新根基</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sz w:val="32"/>
          <w:szCs w:val="32"/>
        </w:rPr>
        <w:t>推行“干部+网格员”责任捆绑与“三单一日志”机制，提升治理效率；开展网格员培训，攻坚弱电管线规整等问题。持续将入户宣传与便民服务深度融合，开展“敲门送服务”活动，解决居民急难愁盼问题，以实实在在的创建成效赢得群众认可。</w:t>
      </w:r>
    </w:p>
    <w:p>
      <w:pPr>
        <w:widowControl w:val="0"/>
        <w:wordWrap/>
        <w:adjustRightInd/>
        <w:snapToGrid w:val="0"/>
        <w:spacing w:line="560" w:lineRule="exact"/>
        <w:ind w:firstLine="643" w:firstLineChars="200"/>
        <w:jc w:val="both"/>
        <w:textAlignment w:val="auto"/>
        <w:rPr>
          <w:rFonts w:hint="eastAsia" w:ascii="Times New Roman" w:hAnsi="Times New Roman" w:eastAsia="仿宋_GB2312" w:cs="Times New Roman"/>
          <w:b/>
          <w:bCs/>
          <w:color w:val="auto"/>
          <w:sz w:val="32"/>
          <w:szCs w:val="32"/>
          <w:lang w:val="en-US" w:eastAsia="zh-CN"/>
        </w:rPr>
      </w:pPr>
      <w:r>
        <w:rPr>
          <w:rFonts w:hint="eastAsia" w:ascii="Times New Roman" w:hAnsi="Times New Roman" w:eastAsia="仿宋_GB2312" w:cs="Times New Roman"/>
          <w:b/>
          <w:bCs/>
          <w:color w:val="auto"/>
          <w:sz w:val="32"/>
          <w:szCs w:val="32"/>
          <w:lang w:val="en-US" w:eastAsia="zh-CN"/>
        </w:rPr>
        <w:t>4.积极推动综治维稳。</w:t>
      </w:r>
    </w:p>
    <w:p>
      <w:pPr>
        <w:widowControl w:val="0"/>
        <w:pBdr>
          <w:right w:val="none" w:color="auto" w:sz="0" w:space="4"/>
        </w:pBdr>
        <w:wordWrap/>
        <w:adjustRightInd/>
        <w:snapToGrid/>
        <w:spacing w:line="560" w:lineRule="exact"/>
        <w:ind w:firstLine="601"/>
        <w:textAlignment w:val="auto"/>
        <w:rPr>
          <w:rFonts w:hint="eastAsia" w:ascii="仿宋_GB2312" w:hAnsi="仿宋_GB2312" w:eastAsia="仿宋_GB2312" w:cs="仿宋_GB2312"/>
          <w:kern w:val="2"/>
          <w:sz w:val="32"/>
          <w:szCs w:val="32"/>
          <w:highlight w:val="none"/>
          <w:lang w:val="en-US" w:eastAsia="zh-CN" w:bidi="ar-SA"/>
        </w:rPr>
      </w:pPr>
      <w:r>
        <w:rPr>
          <w:rFonts w:hint="eastAsia" w:ascii="Times New Roman" w:hAnsi="Times New Roman" w:eastAsia="仿宋_GB2312" w:cs="仿宋_GB2312"/>
          <w:b/>
          <w:bCs/>
          <w:sz w:val="32"/>
          <w:szCs w:val="32"/>
          <w:highlight w:val="none"/>
          <w:lang w:val="en-US" w:eastAsia="zh-CN"/>
        </w:rPr>
        <w:t>矛盾纠纷调处方面：</w:t>
      </w:r>
      <w:r>
        <w:rPr>
          <w:rFonts w:hint="eastAsia" w:ascii="Times New Roman" w:hAnsi="Times New Roman" w:eastAsia="仿宋_GB2312" w:cs="仿宋_GB2312"/>
          <w:sz w:val="32"/>
          <w:szCs w:val="32"/>
          <w:highlight w:val="none"/>
          <w:lang w:val="en-US" w:eastAsia="zh-CN"/>
        </w:rPr>
        <w:t>2025年菁城街道共处置各类矛盾纠纷1522件次，其中12345平台投诉件882件、司法及社区调处纠纷328件、多元调处系统及综治中心系统下发调处案件29件、综治中心系统登记调处100件、公安调处案件183件、受理信访46件次。“五重清单”问题化解方面，菁城街道累计列入漳平市级以上管控的重点人员13人、重点矛盾纠纷7件、重点群体1件、重点部位2处，共23件。截至目前，已化解稳控16件，正在化解中7件，总体稳定可控。列入街道级管控的15件重点事项中，14件已化解稳控，正在化解1件</w:t>
      </w:r>
      <w:r>
        <w:rPr>
          <w:rFonts w:hint="eastAsia" w:ascii="仿宋_GB2312" w:hAnsi="仿宋_GB2312" w:eastAsia="仿宋_GB2312" w:cs="仿宋_GB2312"/>
          <w:kern w:val="2"/>
          <w:sz w:val="32"/>
          <w:szCs w:val="32"/>
          <w:highlight w:val="none"/>
          <w:lang w:val="en-US" w:eastAsia="zh-CN" w:bidi="ar-SA"/>
        </w:rPr>
        <w:t>。通过健全矛盾纠纷排查化解机制，推动矛盾纠纷就地化解，确保小事不出社区、大事不出街道、矛盾不上交，切实维护辖区社会大局和谐稳定。</w:t>
      </w:r>
    </w:p>
    <w:p>
      <w:pPr>
        <w:widowControl w:val="0"/>
        <w:pBdr>
          <w:right w:val="none" w:color="auto" w:sz="0" w:space="4"/>
        </w:pBdr>
        <w:wordWrap/>
        <w:adjustRightInd/>
        <w:snapToGrid/>
        <w:spacing w:line="560" w:lineRule="exact"/>
        <w:ind w:firstLine="601"/>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Times New Roman" w:hAnsi="Times New Roman" w:eastAsia="仿宋_GB2312"/>
          <w:b/>
          <w:bCs/>
          <w:color w:val="auto"/>
          <w:sz w:val="32"/>
          <w:szCs w:val="32"/>
          <w:highlight w:val="none"/>
          <w:lang w:val="en-US" w:eastAsia="zh-CN"/>
        </w:rPr>
        <w:t>精神病患者管理救助方面：</w:t>
      </w:r>
      <w:r>
        <w:rPr>
          <w:rFonts w:hint="eastAsia" w:ascii="Times New Roman" w:hAnsi="Times New Roman" w:eastAsia="仿宋_GB2312"/>
          <w:color w:val="auto"/>
          <w:sz w:val="32"/>
          <w:szCs w:val="32"/>
          <w:highlight w:val="none"/>
          <w:lang w:val="en-US" w:eastAsia="zh-CN"/>
        </w:rPr>
        <w:t>截至2025年底，街道在册精神障碍患者291人（其中3级以上104人、0-2级187人），基本稳定37人、稳定254人。对前期摸排的31名长期不服药的严重精神障碍患者开展风险评估诊断，已完成复诊评估16人（其中11人无需服药、5人需继续服药，已服药4人），剩余15人中经动员继续服药4人，其余11人持续动员复诊或服药。对12名独居及9名重点关注人员实施实时关注，一旦发现异常，及时送医治疗。严重精神障碍患者体检率100%。</w:t>
      </w:r>
    </w:p>
    <w:p>
      <w:pPr>
        <w:pStyle w:val="24"/>
        <w:widowControl/>
        <w:spacing w:before="100" w:after="100" w:line="560" w:lineRule="atLeast"/>
        <w:ind w:left="100" w:right="100" w:firstLine="640"/>
        <w:jc w:val="left"/>
        <w:rPr>
          <w:rFonts w:ascii="FangSong_GB2312" w:hAnsi="FangSong_GB2312" w:eastAsia="FangSong_GB2312" w:cs="FangSong_GB2312"/>
          <w:spacing w:val="0"/>
          <w:kern w:val="0"/>
          <w:sz w:val="32"/>
          <w:szCs w:val="32"/>
        </w:rPr>
      </w:pPr>
      <w:r>
        <w:rPr>
          <w:rFonts w:hint="eastAsia" w:ascii="Times New Roman" w:hAnsi="Times New Roman" w:eastAsia="仿宋_GB2312" w:cs="Times New Roman"/>
          <w:b/>
          <w:bCs/>
          <w:color w:val="auto"/>
          <w:sz w:val="32"/>
          <w:szCs w:val="32"/>
          <w:highlight w:val="none"/>
          <w:u w:val="none"/>
          <w:lang w:val="en-US" w:eastAsia="zh-CN"/>
        </w:rPr>
        <w:t>涉诈攻坚起底劝返方面</w:t>
      </w:r>
      <w:r>
        <w:rPr>
          <w:rFonts w:hint="eastAsia" w:ascii="Times New Roman" w:hAnsi="Times New Roman" w:eastAsia="仿宋_GB2312" w:cs="Times New Roman"/>
          <w:b w:val="0"/>
          <w:bCs w:val="0"/>
          <w:color w:val="auto"/>
          <w:sz w:val="32"/>
          <w:szCs w:val="32"/>
          <w:highlight w:val="none"/>
          <w:u w:val="none"/>
          <w:lang w:val="en-US" w:eastAsia="zh-CN"/>
        </w:rPr>
        <w:t>：今年</w:t>
      </w:r>
      <w:r>
        <w:rPr>
          <w:rFonts w:hint="default" w:ascii="Times New Roman" w:hAnsi="Times New Roman" w:eastAsia="仿宋_GB2312" w:cs="Times New Roman"/>
          <w:b w:val="0"/>
          <w:bCs w:val="0"/>
          <w:color w:val="auto"/>
          <w:sz w:val="32"/>
          <w:szCs w:val="32"/>
          <w:highlight w:val="none"/>
          <w:u w:val="none"/>
          <w:lang w:val="en-US" w:eastAsia="zh-CN"/>
        </w:rPr>
        <w:t>以来，</w:t>
      </w:r>
      <w:r>
        <w:rPr>
          <w:rFonts w:hint="eastAsia" w:ascii="Times New Roman" w:hAnsi="Times New Roman" w:eastAsia="仿宋_GB2312" w:cs="Times New Roman"/>
          <w:b w:val="0"/>
          <w:bCs w:val="0"/>
          <w:color w:val="auto"/>
          <w:sz w:val="32"/>
          <w:szCs w:val="32"/>
          <w:highlight w:val="none"/>
          <w:u w:val="none"/>
          <w:lang w:val="en-US" w:eastAsia="zh-CN"/>
        </w:rPr>
        <w:t>菁城</w:t>
      </w:r>
      <w:r>
        <w:rPr>
          <w:rFonts w:hint="default" w:ascii="Times New Roman" w:hAnsi="Times New Roman" w:eastAsia="仿宋_GB2312" w:cs="Times New Roman"/>
          <w:b w:val="0"/>
          <w:bCs w:val="0"/>
          <w:color w:val="auto"/>
          <w:sz w:val="32"/>
          <w:szCs w:val="32"/>
          <w:highlight w:val="none"/>
          <w:u w:val="none"/>
          <w:lang w:val="en-US" w:eastAsia="zh-CN"/>
        </w:rPr>
        <w:t>街道累计新增摸排“一类”人员1375人。截至12月</w:t>
      </w:r>
      <w:r>
        <w:rPr>
          <w:rFonts w:hint="eastAsia" w:ascii="Times New Roman" w:hAnsi="Times New Roman" w:eastAsia="仿宋_GB2312" w:cs="Times New Roman"/>
          <w:b w:val="0"/>
          <w:bCs w:val="0"/>
          <w:color w:val="auto"/>
          <w:sz w:val="32"/>
          <w:szCs w:val="32"/>
          <w:highlight w:val="none"/>
          <w:u w:val="none"/>
          <w:lang w:val="en-US" w:eastAsia="zh-CN"/>
        </w:rPr>
        <w:t>31</w:t>
      </w:r>
      <w:r>
        <w:rPr>
          <w:rFonts w:hint="default" w:ascii="Times New Roman" w:hAnsi="Times New Roman" w:eastAsia="仿宋_GB2312" w:cs="Times New Roman"/>
          <w:b w:val="0"/>
          <w:bCs w:val="0"/>
          <w:color w:val="auto"/>
          <w:sz w:val="32"/>
          <w:szCs w:val="32"/>
          <w:highlight w:val="none"/>
          <w:u w:val="none"/>
          <w:lang w:val="en-US" w:eastAsia="zh-CN"/>
        </w:rPr>
        <w:t>日，全街道累计规范上报“一类”人员“一人一档”材料2212人、占全市“一类”人员13691人的16.16%。上级累计推送菁城籍滞留境外涉诈高危人员166人，已劝返核减145人，劝返率87.35%，剩余存量21人。今年以来，完成5人劝返核减。近期重点对有意愿入境或通过境外“白名单”核减的5名人员（邓建平、陈仁杰、邓合浩、许灵敏、卢衍成）持续入户开展劝逼返，尽可能减少存量，争取劝返率尽快达到90%以上。</w:t>
      </w:r>
    </w:p>
    <w:p>
      <w:pPr>
        <w:sectPr>
          <w:footerReference r:id="rId7" w:type="default"/>
          <w:pgSz w:w="11906" w:h="16838"/>
          <w:pgMar w:top="1440" w:right="720" w:bottom="1440" w:left="720" w:header="720" w:footer="720" w:gutter="0"/>
          <w:cols w:space="720" w:num="1"/>
        </w:sectPr>
      </w:pPr>
    </w:p>
    <w:p>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page break</w:t>
      </w:r>
    </w:p>
    <w:p>
      <w:pPr>
        <w:widowControl/>
        <w:spacing w:before="240" w:after="240"/>
        <w:jc w:val="left"/>
        <w:rPr>
          <w:rFonts w:ascii="Times New Roman" w:hAnsi="Times New Roman" w:eastAsia="Times New Roman" w:cs="Times New Roman"/>
          <w:kern w:val="0"/>
          <w:sz w:val="24"/>
        </w:rPr>
      </w:pPr>
    </w:p>
    <w:p>
      <w:pPr>
        <w:widowControl/>
        <w:spacing w:before="240" w:after="240"/>
        <w:jc w:val="left"/>
        <w:rPr>
          <w:rFonts w:ascii="Times New Roman" w:hAnsi="Times New Roman" w:eastAsia="Times New Roman" w:cs="Times New Roman"/>
          <w:kern w:val="0"/>
          <w:sz w:val="24"/>
        </w:rPr>
      </w:pPr>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p>
    <w:p>
      <w:pPr>
        <w:pStyle w:val="3"/>
        <w:spacing w:before="100" w:after="100" w:line="240" w:lineRule="auto"/>
        <w:ind w:left="100" w:right="100" w:firstLine="0" w:firstLineChars="0"/>
        <w:jc w:val="center"/>
        <w:rPr>
          <w:rFonts w:ascii="Times New Roman" w:hAnsi="Times New Roman" w:eastAsia="Times New Roman" w:cs="Times New Roman"/>
          <w:b/>
          <w:bCs/>
          <w:kern w:val="0"/>
          <w:sz w:val="36"/>
          <w:szCs w:val="36"/>
        </w:rPr>
      </w:pPr>
      <w:bookmarkStart w:id="5" w:name="_Toc256000058"/>
      <w:r>
        <w:rPr>
          <w:rFonts w:ascii="黑体" w:hAnsi="黑体" w:eastAsia="黑体" w:cs="黑体"/>
          <w:b w:val="0"/>
          <w:bCs w:val="0"/>
          <w:spacing w:val="0"/>
          <w:sz w:val="56"/>
          <w:szCs w:val="56"/>
        </w:rPr>
        <w:t>第二部分</w:t>
      </w:r>
      <w:r>
        <w:rPr>
          <w:rFonts w:ascii="黑体" w:hAnsi="黑体" w:eastAsia="黑体" w:cs="黑体"/>
          <w:b w:val="0"/>
          <w:bCs w:val="0"/>
          <w:spacing w:val="0"/>
          <w:sz w:val="56"/>
          <w:szCs w:val="56"/>
        </w:rPr>
        <w:br/>
      </w:r>
      <w:r>
        <w:rPr>
          <w:rFonts w:ascii="黑体" w:hAnsi="黑体" w:eastAsia="黑体" w:cs="黑体"/>
          <w:b w:val="0"/>
          <w:bCs w:val="0"/>
          <w:spacing w:val="0"/>
          <w:sz w:val="56"/>
          <w:szCs w:val="56"/>
        </w:rPr>
        <w:t>2025年度部门决算表</w:t>
      </w:r>
      <w:bookmarkEnd w:id="5"/>
    </w:p>
    <w:p>
      <w:pPr>
        <w:pStyle w:val="25"/>
        <w:widowControl/>
        <w:spacing w:before="100" w:after="100"/>
        <w:ind w:left="100" w:right="100" w:firstLine="0"/>
        <w:jc w:val="center"/>
        <w:rPr>
          <w:rFonts w:ascii="Times New Roman" w:hAnsi="Times New Roman" w:eastAsia="Times New Roman" w:cs="Times New Roman"/>
          <w:kern w:val="0"/>
          <w:sz w:val="24"/>
        </w:rPr>
      </w:pPr>
    </w:p>
    <w:p>
      <w:pPr>
        <w:sectPr>
          <w:footerReference r:id="rId8" w:type="default"/>
          <w:pgSz w:w="11906" w:h="16838"/>
          <w:pgMar w:top="1440" w:right="720" w:bottom="1440" w:left="720" w:header="720" w:footer="720" w:gutter="0"/>
          <w:cols w:space="720" w:num="1"/>
        </w:sectPr>
      </w:pPr>
    </w:p>
    <w:p>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page break</w:t>
      </w:r>
    </w:p>
    <w:p>
      <w:pPr>
        <w:widowControl/>
        <w:spacing w:before="240" w:after="240"/>
        <w:jc w:val="left"/>
        <w:rPr>
          <w:rFonts w:ascii="Times New Roman" w:hAnsi="Times New Roman" w:eastAsia="Times New Roman" w:cs="Times New Roman"/>
          <w:kern w:val="0"/>
          <w:sz w:val="24"/>
        </w:rPr>
      </w:pPr>
    </w:p>
    <w:p>
      <w:pPr>
        <w:widowControl/>
        <w:spacing w:before="240" w:after="240"/>
        <w:jc w:val="left"/>
        <w:rPr>
          <w:rFonts w:ascii="Times New Roman" w:hAnsi="Times New Roman" w:eastAsia="Times New Roman" w:cs="Times New Roman"/>
          <w:kern w:val="0"/>
          <w:sz w:val="24"/>
        </w:rPr>
      </w:pPr>
    </w:p>
    <w:p>
      <w:pPr>
        <w:pStyle w:val="5"/>
        <w:spacing w:before="100" w:after="100" w:line="240" w:lineRule="auto"/>
        <w:ind w:left="100" w:right="100" w:firstLine="640" w:firstLineChars="0"/>
        <w:rPr>
          <w:rFonts w:ascii="Times New Roman" w:hAnsi="Times New Roman" w:eastAsia="Times New Roman" w:cs="Times New Roman"/>
          <w:b/>
          <w:bCs/>
          <w:kern w:val="0"/>
          <w:sz w:val="28"/>
          <w:szCs w:val="28"/>
        </w:rPr>
      </w:pPr>
      <w:bookmarkStart w:id="6" w:name="_Toc256000059"/>
      <w:r>
        <w:rPr>
          <w:rFonts w:ascii="黑体" w:hAnsi="黑体" w:eastAsia="黑体" w:cs="黑体"/>
          <w:b w:val="0"/>
          <w:bCs w:val="0"/>
          <w:spacing w:val="0"/>
        </w:rPr>
        <w:t>一、收入支出决算总表</w:t>
      </w:r>
      <w:bookmarkEnd w:id="6"/>
    </w:p>
    <w:p>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horizontal layout</w:t>
      </w:r>
    </w:p>
    <w:tbl>
      <w:tblPr>
        <w:tblStyle w:val="22"/>
        <w:tblW w:w="15159"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789"/>
        <w:gridCol w:w="3790"/>
        <w:gridCol w:w="3790"/>
        <w:gridCol w:w="379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15159" w:type="dxa"/>
            <w:gridSpan w:val="4"/>
            <w:tcMar>
              <w:top w:w="15" w:type="dxa"/>
              <w:left w:w="108" w:type="dxa"/>
              <w:bottom w:w="15" w:type="dxa"/>
              <w:right w:w="108" w:type="dxa"/>
            </w:tcMar>
            <w:vAlign w:val="center"/>
          </w:tcPr>
          <w:p>
            <w:pPr>
              <w:widowControl/>
              <w:jc w:val="center"/>
              <w:rPr>
                <w:rFonts w:ascii="黑体" w:hAnsi="黑体" w:eastAsia="黑体" w:cs="黑体"/>
                <w:b w:val="0"/>
                <w:bCs w:val="0"/>
                <w:i w:val="0"/>
                <w:iCs w:val="0"/>
                <w:smallCaps w:val="0"/>
                <w:color w:val="000000"/>
                <w:kern w:val="0"/>
                <w:sz w:val="36"/>
                <w:szCs w:val="36"/>
              </w:rPr>
            </w:pPr>
            <w:r>
              <w:rPr>
                <w:rFonts w:ascii="黑体" w:hAnsi="黑体" w:eastAsia="黑体" w:cs="黑体"/>
                <w:b w:val="0"/>
                <w:bCs w:val="0"/>
                <w:i w:val="0"/>
                <w:iCs w:val="0"/>
                <w:smallCaps w:val="0"/>
                <w:color w:val="000000"/>
                <w:kern w:val="0"/>
                <w:sz w:val="32"/>
                <w:szCs w:val="36"/>
              </w:rPr>
              <w:t>收入支出决算总表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7579" w:type="dxa"/>
            <w:gridSpan w:val="2"/>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3790"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3790" w:type="dxa"/>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公开01表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11369" w:type="dxa"/>
            <w:gridSpan w:val="3"/>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4"/>
                <w:szCs w:val="26"/>
              </w:rPr>
              <w:t>编制单位：漳平市人民政府菁城街道办事处</w:t>
            </w:r>
          </w:p>
        </w:tc>
        <w:tc>
          <w:tcPr>
            <w:tcW w:w="3790" w:type="dxa"/>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7579" w:type="dxa"/>
            <w:gridSpan w:val="2"/>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收入</w:t>
            </w:r>
          </w:p>
        </w:tc>
        <w:tc>
          <w:tcPr>
            <w:tcW w:w="7580" w:type="dxa"/>
            <w:gridSpan w:val="2"/>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项目</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决算数</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项目(按支出功能分类)</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一、一般公共预算财政拨款收入</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1,645.48</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一、一般公共服务支出</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408.60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二、政府性基金预算财政拨款收入</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xml:space="preserve">二、外交支出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三、国有资本经营预算财政拨款收入</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三、国防支出</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四、上级补助收入</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四、公共安全支出</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五、事业收入</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五、教育支出</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六、经营收入</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六、科学技术支出</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七、附属单位上缴收入</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七、文化旅游体育与传媒支出</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14.03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八、其他收入</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八、社会保障和就业支出</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20.33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九、卫生健康支出</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十、节能环保支出</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51.20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十一、城乡社区支出</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十二、农林水支出</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1,068.88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十三、交通运输支出</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十四、资源勘探工业信息等支出</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十五、商业服务业等支出</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14.00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十六、金融支出</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十七、援助其他地区支出</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十八、自然资源海洋气象等支出</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十九、住房保障支出</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49.66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二十、粮油物资储备支出</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二十一、国有资本经营预算支出</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二十二、灾害防治及应急管理支出</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二十三、其他支出</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二十四、债务还本支出</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二十五、债务付息支出</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二十六、抗疫特别国债安排的支出</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本年收入合计</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1,645.48</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本年支出合计</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1,645.90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使用非财政拨款结余（含专用结余）</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结余分配</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xml:space="preserve">年初结转和结余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0.42</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xml:space="preserve">年末结转和结余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378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总计</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1,645.90</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总计</w:t>
            </w:r>
          </w:p>
        </w:tc>
        <w:tc>
          <w:tcPr>
            <w:tcW w:w="379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1,645.90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5159" w:type="dxa"/>
            <w:gridSpan w:val="4"/>
            <w:tcMar>
              <w:top w:w="15" w:type="dxa"/>
              <w:left w:w="108" w:type="dxa"/>
              <w:bottom w:w="15" w:type="dxa"/>
              <w:right w:w="108" w:type="dxa"/>
            </w:tcMar>
            <w:vAlign w:val="center"/>
          </w:tcPr>
          <w:p>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注：1.本表反映部门本年度的总收支和年末结转结余情况。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5159" w:type="dxa"/>
            <w:gridSpan w:val="4"/>
            <w:tcMar>
              <w:top w:w="15" w:type="dxa"/>
              <w:left w:w="108" w:type="dxa"/>
              <w:bottom w:w="15" w:type="dxa"/>
              <w:right w:w="108" w:type="dxa"/>
            </w:tcMar>
            <w:vAlign w:val="center"/>
          </w:tcPr>
          <w:p>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2.本套报表金额单位转换时可能存在尾数误差。</w:t>
            </w:r>
          </w:p>
        </w:tc>
      </w:tr>
    </w:tbl>
    <w:p>
      <w:pPr>
        <w:sectPr>
          <w:footerReference r:id="rId9" w:type="default"/>
          <w:pgSz w:w="16383" w:h="11906" w:orient="landscape"/>
          <w:pgMar w:top="1134" w:right="720" w:bottom="1134" w:left="720" w:header="720" w:footer="720" w:gutter="0"/>
          <w:cols w:space="720" w:num="1"/>
        </w:sectPr>
      </w:pPr>
    </w:p>
    <w:p>
      <w:pPr>
        <w:widowControl/>
        <w:jc w:val="left"/>
        <w:rPr>
          <w:rFonts w:ascii="Times New Roman" w:hAnsi="Times New Roman" w:eastAsia="Times New Roman" w:cs="Times New Roman"/>
          <w:kern w:val="0"/>
          <w:sz w:val="24"/>
        </w:rPr>
      </w:pPr>
      <w:r>
        <w:rPr>
          <w:rFonts w:ascii="Times New Roman" w:hAnsi="Times New Roman" w:eastAsia="Times New Roman" w:cs="Times New Roman"/>
          <w:kern w:val="0"/>
          <w:sz w:val="24"/>
        </w:rPr>
        <w:t> </w:t>
      </w:r>
    </w:p>
    <w:p>
      <w:pPr>
        <w:pStyle w:val="25"/>
        <w:widowControl/>
        <w:spacing w:before="240" w:after="240"/>
        <w:jc w:val="left"/>
        <w:rPr>
          <w:rFonts w:ascii="Times New Roman" w:hAnsi="Times New Roman" w:eastAsia="Times New Roman" w:cs="Times New Roman"/>
          <w:kern w:val="0"/>
          <w:sz w:val="24"/>
        </w:rPr>
      </w:pPr>
      <w:r>
        <w:rPr>
          <w:rFonts w:ascii="宋体" w:hAnsi="宋体" w:eastAsia="宋体" w:cs="宋体"/>
          <w:spacing w:val="0"/>
          <w:kern w:val="0"/>
          <w:sz w:val="24"/>
        </w:rPr>
        <w:t> </w:t>
      </w:r>
    </w:p>
    <w:p>
      <w:pPr>
        <w:pStyle w:val="5"/>
        <w:spacing w:before="100" w:after="100" w:line="240" w:lineRule="auto"/>
        <w:ind w:left="100" w:right="100" w:firstLine="640" w:firstLineChars="0"/>
        <w:rPr>
          <w:rFonts w:ascii="Times New Roman" w:hAnsi="Times New Roman" w:eastAsia="Times New Roman" w:cs="Times New Roman"/>
          <w:b/>
          <w:bCs/>
          <w:kern w:val="0"/>
          <w:sz w:val="28"/>
          <w:szCs w:val="28"/>
        </w:rPr>
      </w:pPr>
      <w:bookmarkStart w:id="7" w:name="_Toc256000060"/>
      <w:r>
        <w:rPr>
          <w:rFonts w:ascii="黑体" w:hAnsi="黑体" w:eastAsia="黑体" w:cs="黑体"/>
          <w:b w:val="0"/>
          <w:bCs w:val="0"/>
          <w:spacing w:val="0"/>
        </w:rPr>
        <w:t>二、收入决算表</w:t>
      </w:r>
      <w:bookmarkEnd w:id="7"/>
    </w:p>
    <w:p>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horizontal layout gk02</w:t>
      </w:r>
    </w:p>
    <w:tbl>
      <w:tblPr>
        <w:tblStyle w:val="22"/>
        <w:tblW w:w="15159"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79"/>
        <w:gridCol w:w="578"/>
        <w:gridCol w:w="578"/>
        <w:gridCol w:w="1678"/>
        <w:gridCol w:w="1678"/>
        <w:gridCol w:w="1678"/>
        <w:gridCol w:w="1678"/>
        <w:gridCol w:w="1678"/>
        <w:gridCol w:w="1678"/>
        <w:gridCol w:w="1678"/>
        <w:gridCol w:w="167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15159" w:type="dxa"/>
            <w:gridSpan w:val="11"/>
            <w:tcMar>
              <w:top w:w="15" w:type="dxa"/>
              <w:left w:w="108" w:type="dxa"/>
              <w:bottom w:w="15" w:type="dxa"/>
              <w:right w:w="108" w:type="dxa"/>
            </w:tcMar>
            <w:vAlign w:val="center"/>
          </w:tcPr>
          <w:p>
            <w:pPr>
              <w:widowControl/>
              <w:jc w:val="center"/>
              <w:rPr>
                <w:rFonts w:ascii="黑体" w:hAnsi="黑体" w:eastAsia="黑体" w:cs="黑体"/>
                <w:b w:val="0"/>
                <w:bCs w:val="0"/>
                <w:i w:val="0"/>
                <w:iCs w:val="0"/>
                <w:smallCaps w:val="0"/>
                <w:color w:val="000000"/>
                <w:kern w:val="0"/>
                <w:sz w:val="36"/>
                <w:szCs w:val="36"/>
              </w:rPr>
            </w:pPr>
            <w:r>
              <w:rPr>
                <w:rFonts w:ascii="黑体" w:hAnsi="黑体" w:eastAsia="黑体" w:cs="黑体"/>
                <w:b w:val="0"/>
                <w:bCs w:val="0"/>
                <w:i w:val="0"/>
                <w:iCs w:val="0"/>
                <w:smallCaps w:val="0"/>
                <w:color w:val="000000"/>
                <w:kern w:val="0"/>
                <w:sz w:val="32"/>
                <w:szCs w:val="36"/>
              </w:rPr>
              <w:t>收入决算表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1157" w:type="dxa"/>
            <w:gridSpan w:val="2"/>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578"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678"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678"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678"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678"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678"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678"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678"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678" w:type="dxa"/>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公开02表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8447" w:type="dxa"/>
            <w:gridSpan w:val="7"/>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4"/>
                <w:szCs w:val="26"/>
              </w:rPr>
              <w:t>编制单位：漳平市人民政府菁城街道办事处</w:t>
            </w:r>
          </w:p>
        </w:tc>
        <w:tc>
          <w:tcPr>
            <w:tcW w:w="1678"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678"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678"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678" w:type="dxa"/>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3413" w:type="dxa"/>
            <w:gridSpan w:val="4"/>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项目</w:t>
            </w:r>
          </w:p>
        </w:tc>
        <w:tc>
          <w:tcPr>
            <w:tcW w:w="1678" w:type="dxa"/>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本年收入合计</w:t>
            </w:r>
          </w:p>
        </w:tc>
        <w:tc>
          <w:tcPr>
            <w:tcW w:w="1678" w:type="dxa"/>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xml:space="preserve">财政拨款收入 </w:t>
            </w:r>
          </w:p>
        </w:tc>
        <w:tc>
          <w:tcPr>
            <w:tcW w:w="1678" w:type="dxa"/>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上级补助收入</w:t>
            </w:r>
          </w:p>
        </w:tc>
        <w:tc>
          <w:tcPr>
            <w:tcW w:w="1678" w:type="dxa"/>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事业收入</w:t>
            </w:r>
          </w:p>
        </w:tc>
        <w:tc>
          <w:tcPr>
            <w:tcW w:w="1678" w:type="dxa"/>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经营收入</w:t>
            </w:r>
          </w:p>
        </w:tc>
        <w:tc>
          <w:tcPr>
            <w:tcW w:w="1678" w:type="dxa"/>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附属单位上缴收入</w:t>
            </w:r>
          </w:p>
        </w:tc>
        <w:tc>
          <w:tcPr>
            <w:tcW w:w="1678" w:type="dxa"/>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其他收入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1735" w:type="dxa"/>
            <w:gridSpan w:val="3"/>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支出功能分类科目编码</w:t>
            </w:r>
          </w:p>
        </w:tc>
        <w:tc>
          <w:tcPr>
            <w:tcW w:w="1678" w:type="dxa"/>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科目名称</w:t>
            </w:r>
          </w:p>
        </w:tc>
        <w:tc>
          <w:tcPr>
            <w:tcW w:w="1678"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678"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678"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678"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678"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678"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678"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1735" w:type="dxa"/>
            <w:gridSpan w:val="3"/>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678"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678"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678"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678"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678"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678"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678"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678"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57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类</w:t>
            </w:r>
          </w:p>
        </w:tc>
        <w:tc>
          <w:tcPr>
            <w:tcW w:w="5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款</w:t>
            </w:r>
          </w:p>
        </w:tc>
        <w:tc>
          <w:tcPr>
            <w:tcW w:w="5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合计</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1,645.48</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1,645.48</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201</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一般公共服务支出</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408.18</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408.18</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20103</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政府办公厅（室）及相关机构事务</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408.18</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408.18</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2010301</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行政运行</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408.18</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408.18</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207</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文化旅游体育与传媒支出</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14.03</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14.03</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20701</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文化和旅游</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1.63</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1.63</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2070109</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群众文化</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1.63</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1.63</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20702</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文物</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12.40</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12.40</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2070204</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文物保护</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12.40</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12.40</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208</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社会保障和就业支出</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20.33</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20.33</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20805</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行政事业单位养老支出</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20.33</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20.33</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2080506</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机关事业单位职业年金缴费支出</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20.33</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20.33</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210</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卫生健康支出</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4.20</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4.20</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21004</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公共卫生</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4.20</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4.20</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2100408</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基本公共卫生服务</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4.20</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4.20</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211</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节能环保支出</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51.20</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51.20</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21103</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污染防治</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51.20</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51.20</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2110302</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水体</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51.20</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51.20</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农林水支出</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1,068.88</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1,068.88</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21301</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农业农村</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462.95</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462.95</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2130104</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事业运行</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462.73</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462.73</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2130199</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其他农业农村支出</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0.22</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0.22</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21302</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林业和草原</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17.02</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17.02</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2130209</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森林生态效益补偿</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10.52</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10.52</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2130299</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其他林业和草原支出</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6.50</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6.50</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21305</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巩固脱贫攻坚成果衔接乡村振兴</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2.22</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2.22</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2130599</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其他巩固脱贫攻坚成果衔接乡村振兴支出</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2.22</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2.22</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21307</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农村综合改革</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586.70</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586.70</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2130705</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对村民委员会和村党支部的补助</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586.70</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586.70</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216</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商业服务业等支出</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14.00</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14.00</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21602</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商业流通事务</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14.00</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14.00</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2160299</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其他商业流通事务支出</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14.00</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14.00</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221</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住房保障支出</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49.66</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49.66</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22102</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住房改革支出</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49.66</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49.66</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2210201</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住房公积金</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49.66</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49.66</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229</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其他支出</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15.00</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15.00</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22999</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其他支出</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15.00</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15.00</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3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2299999</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其他支出</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15.00</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15.00</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78"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5159" w:type="dxa"/>
            <w:gridSpan w:val="11"/>
            <w:tcMar>
              <w:top w:w="15" w:type="dxa"/>
              <w:left w:w="108" w:type="dxa"/>
              <w:bottom w:w="15" w:type="dxa"/>
              <w:right w:w="108" w:type="dxa"/>
            </w:tcMar>
            <w:vAlign w:val="center"/>
          </w:tcPr>
          <w:p>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注：本表反映部门本年度取得的各项收入情况。</w:t>
            </w:r>
          </w:p>
        </w:tc>
      </w:tr>
    </w:tbl>
    <w:p>
      <w:pPr>
        <w:sectPr>
          <w:footerReference r:id="rId10" w:type="default"/>
          <w:pgSz w:w="16383" w:h="11906" w:orient="landscape"/>
          <w:pgMar w:top="1134" w:right="720" w:bottom="1134" w:left="720" w:header="720" w:footer="720" w:gutter="0"/>
          <w:cols w:space="720" w:num="1"/>
        </w:sectPr>
      </w:pPr>
    </w:p>
    <w:p>
      <w:pPr>
        <w:widowControl/>
        <w:jc w:val="left"/>
        <w:rPr>
          <w:rFonts w:ascii="Times New Roman" w:hAnsi="Times New Roman" w:eastAsia="Times New Roman" w:cs="Times New Roman"/>
          <w:kern w:val="0"/>
          <w:sz w:val="24"/>
        </w:rPr>
      </w:pPr>
      <w:r>
        <w:rPr>
          <w:rFonts w:ascii="Times New Roman" w:hAnsi="Times New Roman" w:eastAsia="Times New Roman" w:cs="Times New Roman"/>
          <w:kern w:val="0"/>
          <w:sz w:val="24"/>
        </w:rPr>
        <w:t> </w:t>
      </w:r>
    </w:p>
    <w:p>
      <w:pPr>
        <w:pStyle w:val="25"/>
        <w:widowControl/>
        <w:spacing w:before="240" w:after="100"/>
        <w:ind w:left="100" w:right="100" w:firstLine="0"/>
        <w:jc w:val="left"/>
        <w:rPr>
          <w:rFonts w:ascii="Times New Roman" w:hAnsi="Times New Roman" w:eastAsia="Times New Roman" w:cs="Times New Roman"/>
          <w:kern w:val="0"/>
          <w:sz w:val="24"/>
        </w:rPr>
      </w:pPr>
    </w:p>
    <w:p>
      <w:pPr>
        <w:pStyle w:val="5"/>
        <w:spacing w:before="100" w:after="100" w:line="240" w:lineRule="auto"/>
        <w:ind w:left="100" w:right="100" w:firstLine="640" w:firstLineChars="0"/>
        <w:rPr>
          <w:rFonts w:ascii="Times New Roman" w:hAnsi="Times New Roman" w:eastAsia="Times New Roman" w:cs="Times New Roman"/>
          <w:b/>
          <w:bCs/>
          <w:kern w:val="0"/>
          <w:sz w:val="28"/>
          <w:szCs w:val="28"/>
        </w:rPr>
      </w:pPr>
      <w:bookmarkStart w:id="8" w:name="_Toc256000061"/>
      <w:r>
        <w:rPr>
          <w:rFonts w:ascii="黑体" w:hAnsi="黑体" w:eastAsia="黑体" w:cs="黑体"/>
          <w:b w:val="0"/>
          <w:bCs w:val="0"/>
          <w:spacing w:val="0"/>
        </w:rPr>
        <w:t>三、支出决算表</w:t>
      </w:r>
      <w:bookmarkEnd w:id="8"/>
    </w:p>
    <w:p>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horizontal layout gk03</w:t>
      </w:r>
    </w:p>
    <w:tbl>
      <w:tblPr>
        <w:tblStyle w:val="22"/>
        <w:tblW w:w="15159"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29"/>
        <w:gridCol w:w="629"/>
        <w:gridCol w:w="629"/>
        <w:gridCol w:w="1896"/>
        <w:gridCol w:w="1896"/>
        <w:gridCol w:w="1896"/>
        <w:gridCol w:w="1896"/>
        <w:gridCol w:w="1896"/>
        <w:gridCol w:w="1896"/>
        <w:gridCol w:w="189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15159" w:type="dxa"/>
            <w:gridSpan w:val="10"/>
            <w:tcMar>
              <w:top w:w="15" w:type="dxa"/>
              <w:left w:w="108" w:type="dxa"/>
              <w:bottom w:w="15" w:type="dxa"/>
              <w:right w:w="108" w:type="dxa"/>
            </w:tcMar>
            <w:vAlign w:val="center"/>
          </w:tcPr>
          <w:p>
            <w:pPr>
              <w:widowControl/>
              <w:jc w:val="center"/>
              <w:rPr>
                <w:rFonts w:ascii="黑体" w:hAnsi="黑体" w:eastAsia="黑体" w:cs="黑体"/>
                <w:b w:val="0"/>
                <w:bCs w:val="0"/>
                <w:i w:val="0"/>
                <w:iCs w:val="0"/>
                <w:smallCaps w:val="0"/>
                <w:color w:val="000000"/>
                <w:kern w:val="0"/>
                <w:sz w:val="36"/>
                <w:szCs w:val="36"/>
              </w:rPr>
            </w:pPr>
            <w:r>
              <w:rPr>
                <w:rFonts w:ascii="黑体" w:hAnsi="黑体" w:eastAsia="黑体" w:cs="黑体"/>
                <w:b w:val="0"/>
                <w:bCs w:val="0"/>
                <w:i w:val="0"/>
                <w:iCs w:val="0"/>
                <w:smallCaps w:val="0"/>
                <w:color w:val="000000"/>
                <w:kern w:val="0"/>
                <w:sz w:val="32"/>
                <w:szCs w:val="36"/>
              </w:rPr>
              <w:t>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3783" w:type="dxa"/>
            <w:gridSpan w:val="4"/>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896"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896"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896"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896"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3792" w:type="dxa"/>
            <w:gridSpan w:val="2"/>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公开03表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9471" w:type="dxa"/>
            <w:gridSpan w:val="7"/>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4"/>
                <w:szCs w:val="26"/>
              </w:rPr>
              <w:t>编制单位：漳平市人民政府菁城街道办事处</w:t>
            </w:r>
          </w:p>
        </w:tc>
        <w:tc>
          <w:tcPr>
            <w:tcW w:w="1896"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3792" w:type="dxa"/>
            <w:gridSpan w:val="2"/>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3783" w:type="dxa"/>
            <w:gridSpan w:val="4"/>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项目</w:t>
            </w:r>
          </w:p>
        </w:tc>
        <w:tc>
          <w:tcPr>
            <w:tcW w:w="1896" w:type="dxa"/>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本年支出合计</w:t>
            </w:r>
          </w:p>
        </w:tc>
        <w:tc>
          <w:tcPr>
            <w:tcW w:w="1896" w:type="dxa"/>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基本支出</w:t>
            </w:r>
          </w:p>
        </w:tc>
        <w:tc>
          <w:tcPr>
            <w:tcW w:w="1896" w:type="dxa"/>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项目支出</w:t>
            </w:r>
          </w:p>
        </w:tc>
        <w:tc>
          <w:tcPr>
            <w:tcW w:w="1896" w:type="dxa"/>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上缴上级支出</w:t>
            </w:r>
          </w:p>
        </w:tc>
        <w:tc>
          <w:tcPr>
            <w:tcW w:w="1896" w:type="dxa"/>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经营支出</w:t>
            </w:r>
          </w:p>
        </w:tc>
        <w:tc>
          <w:tcPr>
            <w:tcW w:w="1896" w:type="dxa"/>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对附属单位补助支出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1887" w:type="dxa"/>
            <w:gridSpan w:val="3"/>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支出功能分类科目编码</w:t>
            </w:r>
          </w:p>
        </w:tc>
        <w:tc>
          <w:tcPr>
            <w:tcW w:w="1896" w:type="dxa"/>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科目名称</w:t>
            </w:r>
          </w:p>
        </w:tc>
        <w:tc>
          <w:tcPr>
            <w:tcW w:w="1896"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896"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896"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896"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896"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896"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1887" w:type="dxa"/>
            <w:gridSpan w:val="3"/>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896"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896"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896"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896"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896"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896"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896"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62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类</w:t>
            </w:r>
          </w:p>
        </w:tc>
        <w:tc>
          <w:tcPr>
            <w:tcW w:w="62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款</w:t>
            </w:r>
          </w:p>
        </w:tc>
        <w:tc>
          <w:tcPr>
            <w:tcW w:w="629"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合计</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1,645.90</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1,528.23</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117.66</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201</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一般公共服务支出</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408.60</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408.60</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20103</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政府办公厅（室）及相关机构事务</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408.60</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408.60</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2010301</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行政运行</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408.60</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408.60</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207</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文化旅游体育与传媒支出</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14.03</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14.03</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20701</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文化和旅游</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1.63</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1.63</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2070109</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群众文化</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1.63</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1.63</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20702</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文物</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12.40</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12.40</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2070204</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文物保护</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12.40</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12.40</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208</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社会保障和就业支出</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20.33</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20.33</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20805</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行政事业单位养老支出</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20.33</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20.33</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2080506</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机关事业单位职业年金缴费支出</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20.33</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20.33</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210</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卫生健康支出</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4.20</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4.20</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21004</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公共卫生</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4.20</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4.20</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2100408</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基本公共卫生服务</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4.20</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4.20</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211</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节能环保支出</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51.20</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51.20</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21103</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污染防治</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51.20</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51.20</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2110302</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水体</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51.20</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51.20</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农林水支出</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1,068.88</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1,049.64</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19.24</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21301</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农业农村</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462.95</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462.95</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2130104</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事业运行</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462.73</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462.73</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2130199</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其他农业农村支出</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0.22</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0.22</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21302</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林业和草原</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17.02</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17.02</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2130209</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森林生态效益补偿</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10.52</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10.52</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2130299</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其他林业和草原支出</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6.50</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6.50</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21305</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巩固脱贫攻坚成果衔接乡村振兴</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2.22</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2.22</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2130599</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其他巩固脱贫攻坚成果衔接乡村振兴支出</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2.22</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2.22</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21307</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农村综合改革</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586.70</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586.70</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2130705</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对村民委员会和村党支部的补助</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586.70</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586.70</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216</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商业服务业等支出</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14.00</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14.00</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21602</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商业流通事务</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14.00</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14.00</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2160299</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其他商业流通事务支出</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14.00</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14.00</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221</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住房保障支出</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49.66</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49.66</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22102</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住房改革支出</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49.66</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49.66</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2210201</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住房公积金</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49.66</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49.66</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229</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其他支出</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15.00</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15.00</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22999</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其他支出</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15.00</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15.00</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887"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2299999</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其他支出</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15.00</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15.00</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5159" w:type="dxa"/>
            <w:gridSpan w:val="10"/>
            <w:tcMar>
              <w:top w:w="15" w:type="dxa"/>
              <w:left w:w="108" w:type="dxa"/>
              <w:bottom w:w="15" w:type="dxa"/>
              <w:right w:w="108" w:type="dxa"/>
            </w:tcMar>
            <w:vAlign w:val="center"/>
          </w:tcPr>
          <w:p>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注：本表反映部门本年度各项支出情况。</w:t>
            </w:r>
          </w:p>
        </w:tc>
      </w:tr>
    </w:tbl>
    <w:p>
      <w:pPr>
        <w:sectPr>
          <w:footerReference r:id="rId11" w:type="default"/>
          <w:pgSz w:w="16383" w:h="11906" w:orient="landscape"/>
          <w:pgMar w:top="1134" w:right="720" w:bottom="1134" w:left="720" w:header="720" w:footer="720" w:gutter="0"/>
          <w:cols w:space="720" w:num="1"/>
        </w:sectPr>
      </w:pPr>
    </w:p>
    <w:p>
      <w:pPr>
        <w:widowControl/>
        <w:jc w:val="left"/>
        <w:rPr>
          <w:rFonts w:ascii="Times New Roman" w:hAnsi="Times New Roman" w:eastAsia="Times New Roman" w:cs="Times New Roman"/>
          <w:kern w:val="0"/>
          <w:sz w:val="24"/>
        </w:rPr>
      </w:pPr>
      <w:r>
        <w:rPr>
          <w:rFonts w:ascii="Times New Roman" w:hAnsi="Times New Roman" w:eastAsia="Times New Roman" w:cs="Times New Roman"/>
          <w:kern w:val="0"/>
          <w:sz w:val="24"/>
        </w:rPr>
        <w:t> </w:t>
      </w:r>
    </w:p>
    <w:p>
      <w:pPr>
        <w:pStyle w:val="25"/>
        <w:widowControl/>
        <w:spacing w:before="240" w:after="100"/>
        <w:ind w:left="100" w:right="100" w:firstLine="0"/>
        <w:jc w:val="left"/>
        <w:rPr>
          <w:rFonts w:ascii="Times New Roman" w:hAnsi="Times New Roman" w:eastAsia="Times New Roman" w:cs="Times New Roman"/>
          <w:kern w:val="0"/>
          <w:sz w:val="24"/>
        </w:rPr>
      </w:pPr>
      <w:r>
        <w:rPr>
          <w:rFonts w:ascii="宋体" w:hAnsi="宋体" w:eastAsia="宋体" w:cs="宋体"/>
          <w:spacing w:val="0"/>
          <w:kern w:val="0"/>
          <w:sz w:val="24"/>
        </w:rPr>
        <w:t> </w:t>
      </w:r>
    </w:p>
    <w:p>
      <w:pPr>
        <w:pStyle w:val="5"/>
        <w:spacing w:before="100" w:after="100" w:line="240" w:lineRule="auto"/>
        <w:ind w:left="100" w:right="100" w:firstLine="640" w:firstLineChars="0"/>
        <w:rPr>
          <w:rFonts w:ascii="Times New Roman" w:hAnsi="Times New Roman" w:eastAsia="Times New Roman" w:cs="Times New Roman"/>
          <w:b/>
          <w:bCs/>
          <w:kern w:val="0"/>
          <w:sz w:val="28"/>
          <w:szCs w:val="28"/>
        </w:rPr>
      </w:pPr>
      <w:bookmarkStart w:id="9" w:name="_Toc256000062"/>
      <w:r>
        <w:rPr>
          <w:rFonts w:ascii="黑体" w:hAnsi="黑体" w:eastAsia="黑体" w:cs="黑体"/>
          <w:b w:val="0"/>
          <w:bCs w:val="0"/>
          <w:spacing w:val="0"/>
        </w:rPr>
        <w:t>四、财政拨款收入支出决算总表</w:t>
      </w:r>
      <w:bookmarkEnd w:id="9"/>
    </w:p>
    <w:p>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horizontal layout</w:t>
      </w:r>
    </w:p>
    <w:tbl>
      <w:tblPr>
        <w:tblStyle w:val="22"/>
        <w:tblW w:w="15159"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165"/>
        <w:gridCol w:w="2165"/>
        <w:gridCol w:w="2165"/>
        <w:gridCol w:w="2166"/>
        <w:gridCol w:w="2166"/>
        <w:gridCol w:w="2166"/>
        <w:gridCol w:w="216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15159" w:type="dxa"/>
            <w:gridSpan w:val="7"/>
            <w:tcMar>
              <w:top w:w="15" w:type="dxa"/>
              <w:left w:w="108" w:type="dxa"/>
              <w:bottom w:w="15" w:type="dxa"/>
              <w:right w:w="108" w:type="dxa"/>
            </w:tcMar>
            <w:vAlign w:val="center"/>
          </w:tcPr>
          <w:p>
            <w:pPr>
              <w:widowControl/>
              <w:jc w:val="center"/>
              <w:rPr>
                <w:rFonts w:ascii="黑体" w:hAnsi="黑体" w:eastAsia="黑体" w:cs="黑体"/>
                <w:b w:val="0"/>
                <w:bCs w:val="0"/>
                <w:i w:val="0"/>
                <w:iCs w:val="0"/>
                <w:smallCaps w:val="0"/>
                <w:color w:val="000000"/>
                <w:kern w:val="0"/>
                <w:sz w:val="36"/>
                <w:szCs w:val="36"/>
              </w:rPr>
            </w:pPr>
            <w:r>
              <w:rPr>
                <w:rFonts w:ascii="黑体" w:hAnsi="黑体" w:eastAsia="黑体" w:cs="黑体"/>
                <w:b w:val="0"/>
                <w:bCs w:val="0"/>
                <w:i w:val="0"/>
                <w:iCs w:val="0"/>
                <w:smallCaps w:val="0"/>
                <w:color w:val="000000"/>
                <w:kern w:val="0"/>
                <w:sz w:val="32"/>
                <w:szCs w:val="36"/>
              </w:rPr>
              <w:t>财政拨款收入支出决算总表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8661" w:type="dxa"/>
            <w:gridSpan w:val="4"/>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6"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4332" w:type="dxa"/>
            <w:gridSpan w:val="2"/>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公开04表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8661" w:type="dxa"/>
            <w:gridSpan w:val="4"/>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4"/>
                <w:szCs w:val="26"/>
              </w:rPr>
              <w:t>编制单位：漳平市人民政府菁城街道办事处</w:t>
            </w:r>
          </w:p>
        </w:tc>
        <w:tc>
          <w:tcPr>
            <w:tcW w:w="2166"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4332" w:type="dxa"/>
            <w:gridSpan w:val="2"/>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4330" w:type="dxa"/>
            <w:gridSpan w:val="2"/>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收入</w:t>
            </w:r>
          </w:p>
        </w:tc>
        <w:tc>
          <w:tcPr>
            <w:tcW w:w="10829" w:type="dxa"/>
            <w:gridSpan w:val="5"/>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xml:space="preserve">项目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金额</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项目（按功能分类）</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合计</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一般公共预算财政拨款</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政府性基金预算财政拨款</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国有资本经营预算财政拨款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xml:space="preserve">一、一般公共预算财政拨款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1,645.48</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一、一般公共服务支出</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408.60</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408.60</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二、政府性基金预算财政拨款</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二、外交支出</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三、国有资本经营预算财政拨款</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三、国防支出</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四、公共安全支出</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五、教育支出</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六、科学技术支出</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七、文化旅游体育与传媒支出</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14.03</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14.03</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八、社会保障和就业支出</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20.33</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20.33</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九、卫生健康支出</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4.20</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4.20</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十、节能环保支出</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51.20</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51.20</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十一、城乡社区支出</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十二、农林水支出</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1,068.88</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1,068.88</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十三、交通运输支出</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十四、资源勘探工业信息等支出</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十五、商业服务业等支出</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14.00</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14.00</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十六、金融支出</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十七、援助其他地区支出</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十八、自然资源海洋气象等支出</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十九、住房保障支出</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49.66</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49.66</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二十、粮油物资储备支出</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二十一、国有资本经营预算支出</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二十二、灾害防治及应急管理支出</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二十三、其他支出</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15.00</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15.00</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二十四、债务还本支出</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二十五、债务付息支出</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二十六、抗疫特别国债安排的支出</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本年收入合计</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1,645.48</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本年支出合计</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1,645.90</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1,645.90</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xml:space="preserve">年初财政拨款结转和结余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0.42</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xml:space="preserve">年末财政拨款结转和结余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一、一般公共预算财政拨款</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0.42</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二、政府性基金预算财政拨款</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三、国有资本经营预算财政拨款</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xml:space="preserve">总计 </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1,645.90</w:t>
            </w:r>
          </w:p>
        </w:tc>
        <w:tc>
          <w:tcPr>
            <w:tcW w:w="216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xml:space="preserve">总计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1,645.90</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1,645.90</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5159" w:type="dxa"/>
            <w:gridSpan w:val="7"/>
            <w:tcMar>
              <w:top w:w="15" w:type="dxa"/>
              <w:left w:w="108" w:type="dxa"/>
              <w:bottom w:w="15" w:type="dxa"/>
              <w:right w:w="108" w:type="dxa"/>
            </w:tcMar>
            <w:vAlign w:val="center"/>
          </w:tcPr>
          <w:p>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注：1.本表反映部门本年度一般公共预算财政拨款、政府性基金预算财政拨款和国有资本经营预算财政拨款的总收支和结转结余情况。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5159" w:type="dxa"/>
            <w:gridSpan w:val="7"/>
            <w:tcMar>
              <w:top w:w="15" w:type="dxa"/>
              <w:left w:w="108" w:type="dxa"/>
              <w:bottom w:w="15" w:type="dxa"/>
              <w:right w:w="108" w:type="dxa"/>
            </w:tcMar>
            <w:vAlign w:val="center"/>
          </w:tcPr>
          <w:p>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p>
        </w:tc>
      </w:tr>
    </w:tbl>
    <w:p>
      <w:pPr>
        <w:sectPr>
          <w:footerReference r:id="rId12" w:type="default"/>
          <w:pgSz w:w="16383" w:h="11906" w:orient="landscape"/>
          <w:pgMar w:top="1134" w:right="720" w:bottom="1134" w:left="720" w:header="720" w:footer="720" w:gutter="0"/>
          <w:cols w:space="720" w:num="1"/>
        </w:sectPr>
      </w:pPr>
    </w:p>
    <w:p>
      <w:pPr>
        <w:rPr>
          <w:rFonts w:ascii="Times New Roman" w:hAnsi="Times New Roman" w:eastAsia="Times New Roman" w:cs="Times New Roman"/>
          <w:vanish/>
          <w:kern w:val="0"/>
          <w:sz w:val="24"/>
        </w:rPr>
      </w:pPr>
      <w:r>
        <w:rPr>
          <w:rFonts w:ascii="Times New Roman" w:hAnsi="Times New Roman" w:eastAsia="Times New Roman" w:cs="Times New Roman"/>
          <w:kern w:val="0"/>
          <w:sz w:val="24"/>
        </w:rPr>
        <w:t> </w:t>
      </w:r>
    </w:p>
    <w:p>
      <w:pPr>
        <w:pStyle w:val="25"/>
        <w:widowControl/>
        <w:spacing w:before="240" w:after="100"/>
        <w:ind w:left="100" w:right="100" w:firstLine="0"/>
        <w:jc w:val="left"/>
        <w:rPr>
          <w:rFonts w:ascii="Times New Roman" w:hAnsi="Times New Roman" w:eastAsia="Times New Roman" w:cs="Times New Roman"/>
          <w:kern w:val="0"/>
          <w:sz w:val="24"/>
        </w:rPr>
      </w:pPr>
      <w:r>
        <w:rPr>
          <w:rFonts w:ascii="宋体" w:hAnsi="宋体" w:eastAsia="宋体" w:cs="宋体"/>
          <w:spacing w:val="0"/>
          <w:kern w:val="0"/>
          <w:sz w:val="24"/>
        </w:rPr>
        <w:t> </w:t>
      </w:r>
    </w:p>
    <w:p>
      <w:pPr>
        <w:pStyle w:val="5"/>
        <w:spacing w:before="100" w:after="100" w:line="240" w:lineRule="auto"/>
        <w:ind w:left="100" w:right="100" w:firstLine="640" w:firstLineChars="0"/>
        <w:rPr>
          <w:rFonts w:ascii="Times New Roman" w:hAnsi="Times New Roman" w:eastAsia="Times New Roman" w:cs="Times New Roman"/>
          <w:b/>
          <w:bCs/>
          <w:kern w:val="0"/>
          <w:sz w:val="28"/>
          <w:szCs w:val="28"/>
        </w:rPr>
      </w:pPr>
      <w:bookmarkStart w:id="10" w:name="_Toc256000063"/>
      <w:r>
        <w:rPr>
          <w:rFonts w:ascii="黑体" w:hAnsi="黑体" w:eastAsia="黑体" w:cs="黑体"/>
          <w:b w:val="0"/>
          <w:bCs w:val="0"/>
          <w:spacing w:val="0"/>
        </w:rPr>
        <w:t>五、一般公共预算财政拨款支出决算表</w:t>
      </w:r>
      <w:bookmarkEnd w:id="10"/>
    </w:p>
    <w:p>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horizontal layout gk05</w:t>
      </w:r>
    </w:p>
    <w:tbl>
      <w:tblPr>
        <w:tblStyle w:val="22"/>
        <w:tblW w:w="15159"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40"/>
        <w:gridCol w:w="3354"/>
        <w:gridCol w:w="3355"/>
        <w:gridCol w:w="3355"/>
        <w:gridCol w:w="33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15159" w:type="dxa"/>
            <w:gridSpan w:val="5"/>
            <w:tcMar>
              <w:top w:w="15" w:type="dxa"/>
              <w:left w:w="108" w:type="dxa"/>
              <w:bottom w:w="15" w:type="dxa"/>
              <w:right w:w="108" w:type="dxa"/>
            </w:tcMar>
            <w:vAlign w:val="center"/>
          </w:tcPr>
          <w:p>
            <w:pPr>
              <w:widowControl/>
              <w:jc w:val="center"/>
              <w:rPr>
                <w:rFonts w:ascii="黑体" w:hAnsi="黑体" w:eastAsia="黑体" w:cs="黑体"/>
                <w:b w:val="0"/>
                <w:bCs w:val="0"/>
                <w:i w:val="0"/>
                <w:iCs w:val="0"/>
                <w:smallCaps w:val="0"/>
                <w:color w:val="000000"/>
                <w:kern w:val="0"/>
                <w:sz w:val="36"/>
                <w:szCs w:val="36"/>
              </w:rPr>
            </w:pPr>
            <w:r>
              <w:rPr>
                <w:rFonts w:ascii="黑体" w:hAnsi="黑体" w:eastAsia="黑体" w:cs="黑体"/>
                <w:b w:val="0"/>
                <w:bCs w:val="0"/>
                <w:i w:val="0"/>
                <w:iCs w:val="0"/>
                <w:smallCaps w:val="0"/>
                <w:color w:val="000000"/>
                <w:kern w:val="0"/>
                <w:sz w:val="32"/>
                <w:szCs w:val="36"/>
              </w:rPr>
              <w:t>一般公共预算财政拨款支出决算表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5094" w:type="dxa"/>
            <w:gridSpan w:val="2"/>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3355"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6710" w:type="dxa"/>
            <w:gridSpan w:val="2"/>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公开05表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8449" w:type="dxa"/>
            <w:gridSpan w:val="3"/>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4"/>
                <w:szCs w:val="26"/>
              </w:rPr>
              <w:t>编制单位：漳平市人民政府菁城街道办事处</w:t>
            </w:r>
          </w:p>
        </w:tc>
        <w:tc>
          <w:tcPr>
            <w:tcW w:w="6710" w:type="dxa"/>
            <w:gridSpan w:val="2"/>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5094" w:type="dxa"/>
            <w:gridSpan w:val="2"/>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项目</w:t>
            </w:r>
          </w:p>
        </w:tc>
        <w:tc>
          <w:tcPr>
            <w:tcW w:w="10065"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1740" w:type="dxa"/>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功能分类科目编码</w:t>
            </w:r>
          </w:p>
        </w:tc>
        <w:tc>
          <w:tcPr>
            <w:tcW w:w="3354" w:type="dxa"/>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科目名称</w:t>
            </w:r>
          </w:p>
        </w:tc>
        <w:tc>
          <w:tcPr>
            <w:tcW w:w="3355" w:type="dxa"/>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小计</w:t>
            </w:r>
          </w:p>
        </w:tc>
        <w:tc>
          <w:tcPr>
            <w:tcW w:w="3355" w:type="dxa"/>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基本支出</w:t>
            </w:r>
          </w:p>
        </w:tc>
        <w:tc>
          <w:tcPr>
            <w:tcW w:w="3355" w:type="dxa"/>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1740"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3354"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3355"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3355"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3355"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5094" w:type="dxa"/>
            <w:gridSpan w:val="2"/>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合计</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1,645.90</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1,528.23</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117.66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4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201</w:t>
            </w:r>
          </w:p>
        </w:tc>
        <w:tc>
          <w:tcPr>
            <w:tcW w:w="335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一般公共服务支出</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408.60</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408.60</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4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20103</w:t>
            </w:r>
          </w:p>
        </w:tc>
        <w:tc>
          <w:tcPr>
            <w:tcW w:w="335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政府办公厅（室）及相关机构事务</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408.60</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408.60</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4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2010301</w:t>
            </w:r>
          </w:p>
        </w:tc>
        <w:tc>
          <w:tcPr>
            <w:tcW w:w="335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行政运行</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408.60</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408.60</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4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207</w:t>
            </w:r>
          </w:p>
        </w:tc>
        <w:tc>
          <w:tcPr>
            <w:tcW w:w="335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文化旅游体育与传媒支出</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14.03</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14.03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4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20701</w:t>
            </w:r>
          </w:p>
        </w:tc>
        <w:tc>
          <w:tcPr>
            <w:tcW w:w="335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文化和旅游</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1.63</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1.63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4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2070109</w:t>
            </w:r>
          </w:p>
        </w:tc>
        <w:tc>
          <w:tcPr>
            <w:tcW w:w="335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群众文化</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1.63</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1.63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4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20702</w:t>
            </w:r>
          </w:p>
        </w:tc>
        <w:tc>
          <w:tcPr>
            <w:tcW w:w="335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文物</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12.40</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12.40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4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2070204</w:t>
            </w:r>
          </w:p>
        </w:tc>
        <w:tc>
          <w:tcPr>
            <w:tcW w:w="335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文物保护</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12.40</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12.40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4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208</w:t>
            </w:r>
          </w:p>
        </w:tc>
        <w:tc>
          <w:tcPr>
            <w:tcW w:w="335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社会保障和就业支出</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20.33</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20.33</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4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20805</w:t>
            </w:r>
          </w:p>
        </w:tc>
        <w:tc>
          <w:tcPr>
            <w:tcW w:w="335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行政事业单位养老支出</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20.33</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20.33</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4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2080506</w:t>
            </w:r>
          </w:p>
        </w:tc>
        <w:tc>
          <w:tcPr>
            <w:tcW w:w="335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机关事业单位职业年金缴费支出</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20.33</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20.33</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4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210</w:t>
            </w:r>
          </w:p>
        </w:tc>
        <w:tc>
          <w:tcPr>
            <w:tcW w:w="335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卫生健康支出</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4.20</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4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21004</w:t>
            </w:r>
          </w:p>
        </w:tc>
        <w:tc>
          <w:tcPr>
            <w:tcW w:w="335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公共卫生</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4.20</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4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2100408</w:t>
            </w:r>
          </w:p>
        </w:tc>
        <w:tc>
          <w:tcPr>
            <w:tcW w:w="335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基本公共卫生服务</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4.20</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4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211</w:t>
            </w:r>
          </w:p>
        </w:tc>
        <w:tc>
          <w:tcPr>
            <w:tcW w:w="335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节能环保支出</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51.20</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51.20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4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21103</w:t>
            </w:r>
          </w:p>
        </w:tc>
        <w:tc>
          <w:tcPr>
            <w:tcW w:w="335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污染防治</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51.20</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51.20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4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2110302</w:t>
            </w:r>
          </w:p>
        </w:tc>
        <w:tc>
          <w:tcPr>
            <w:tcW w:w="335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水体</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51.20</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51.20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4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w:t>
            </w:r>
          </w:p>
        </w:tc>
        <w:tc>
          <w:tcPr>
            <w:tcW w:w="335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农林水支出</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1,068.88</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1,049.64</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19.24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4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21301</w:t>
            </w:r>
          </w:p>
        </w:tc>
        <w:tc>
          <w:tcPr>
            <w:tcW w:w="335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农业农村</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462.95</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462.95</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4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2130104</w:t>
            </w:r>
          </w:p>
        </w:tc>
        <w:tc>
          <w:tcPr>
            <w:tcW w:w="335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事业运行</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462.73</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462.73</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4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2130199</w:t>
            </w:r>
          </w:p>
        </w:tc>
        <w:tc>
          <w:tcPr>
            <w:tcW w:w="335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其他农业农村支出</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0.22</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0.22</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4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21302</w:t>
            </w:r>
          </w:p>
        </w:tc>
        <w:tc>
          <w:tcPr>
            <w:tcW w:w="335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林业和草原</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17.02</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17.02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4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2130209</w:t>
            </w:r>
          </w:p>
        </w:tc>
        <w:tc>
          <w:tcPr>
            <w:tcW w:w="335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森林生态效益补偿</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10.52</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10.52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4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2130299</w:t>
            </w:r>
          </w:p>
        </w:tc>
        <w:tc>
          <w:tcPr>
            <w:tcW w:w="335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其他林业和草原支出</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6.50</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6.50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4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21305</w:t>
            </w:r>
          </w:p>
        </w:tc>
        <w:tc>
          <w:tcPr>
            <w:tcW w:w="335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巩固脱贫攻坚成果衔接乡村振兴</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2.22</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4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2130599</w:t>
            </w:r>
          </w:p>
        </w:tc>
        <w:tc>
          <w:tcPr>
            <w:tcW w:w="335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其他巩固脱贫攻坚成果衔接乡村振兴支出</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2.22</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4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21307</w:t>
            </w:r>
          </w:p>
        </w:tc>
        <w:tc>
          <w:tcPr>
            <w:tcW w:w="335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农村综合改革</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586.70</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586.70</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4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2130705</w:t>
            </w:r>
          </w:p>
        </w:tc>
        <w:tc>
          <w:tcPr>
            <w:tcW w:w="335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对村民委员会和村党支部的补助</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586.70</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586.70</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4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216</w:t>
            </w:r>
          </w:p>
        </w:tc>
        <w:tc>
          <w:tcPr>
            <w:tcW w:w="335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商业服务业等支出</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14.00</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14.00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4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21602</w:t>
            </w:r>
          </w:p>
        </w:tc>
        <w:tc>
          <w:tcPr>
            <w:tcW w:w="335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商业流通事务</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14.00</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14.00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4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2160299</w:t>
            </w:r>
          </w:p>
        </w:tc>
        <w:tc>
          <w:tcPr>
            <w:tcW w:w="335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其他商业流通事务支出</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14.00</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14.00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4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221</w:t>
            </w:r>
          </w:p>
        </w:tc>
        <w:tc>
          <w:tcPr>
            <w:tcW w:w="335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住房保障支出</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49.66</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49.66</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4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22102</w:t>
            </w:r>
          </w:p>
        </w:tc>
        <w:tc>
          <w:tcPr>
            <w:tcW w:w="335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住房改革支出</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49.66</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49.66</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4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2210201</w:t>
            </w:r>
          </w:p>
        </w:tc>
        <w:tc>
          <w:tcPr>
            <w:tcW w:w="335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住房公积金</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49.66</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49.66</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4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229</w:t>
            </w:r>
          </w:p>
        </w:tc>
        <w:tc>
          <w:tcPr>
            <w:tcW w:w="335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其他支出</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15.00</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4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22999</w:t>
            </w:r>
          </w:p>
        </w:tc>
        <w:tc>
          <w:tcPr>
            <w:tcW w:w="335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其他支出</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15.00</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740"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2299999</w:t>
            </w:r>
          </w:p>
        </w:tc>
        <w:tc>
          <w:tcPr>
            <w:tcW w:w="335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其他支出</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15.00</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35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5159" w:type="dxa"/>
            <w:gridSpan w:val="5"/>
            <w:tcMar>
              <w:top w:w="15" w:type="dxa"/>
              <w:left w:w="108" w:type="dxa"/>
              <w:bottom w:w="15" w:type="dxa"/>
              <w:right w:w="108" w:type="dxa"/>
            </w:tcMar>
            <w:vAlign w:val="center"/>
          </w:tcPr>
          <w:p>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注：1.本表反映部门本年度一般公共预算财政拨款支出情况。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5159" w:type="dxa"/>
            <w:gridSpan w:val="5"/>
            <w:tcMar>
              <w:top w:w="15" w:type="dxa"/>
              <w:left w:w="108" w:type="dxa"/>
              <w:bottom w:w="15" w:type="dxa"/>
              <w:right w:w="108" w:type="dxa"/>
            </w:tcMar>
            <w:vAlign w:val="center"/>
          </w:tcPr>
          <w:p>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p>
        </w:tc>
      </w:tr>
    </w:tbl>
    <w:p>
      <w:pPr>
        <w:sectPr>
          <w:footerReference r:id="rId13" w:type="default"/>
          <w:pgSz w:w="16383" w:h="11906" w:orient="landscape"/>
          <w:pgMar w:top="1134" w:right="720" w:bottom="1134" w:left="720" w:header="720" w:footer="720" w:gutter="0"/>
          <w:cols w:space="720" w:num="1"/>
        </w:sectPr>
      </w:pPr>
    </w:p>
    <w:p>
      <w:pPr>
        <w:rPr>
          <w:rFonts w:ascii="Times New Roman" w:hAnsi="Times New Roman" w:eastAsia="Times New Roman" w:cs="Times New Roman"/>
          <w:vanish/>
          <w:kern w:val="0"/>
          <w:sz w:val="24"/>
        </w:rPr>
      </w:pPr>
      <w:r>
        <w:rPr>
          <w:rFonts w:ascii="Times New Roman" w:hAnsi="Times New Roman" w:eastAsia="Times New Roman" w:cs="Times New Roman"/>
          <w:kern w:val="0"/>
          <w:sz w:val="24"/>
        </w:rPr>
        <w:t> </w:t>
      </w:r>
    </w:p>
    <w:p>
      <w:pPr>
        <w:pStyle w:val="25"/>
        <w:widowControl/>
        <w:spacing w:before="240" w:after="100"/>
        <w:ind w:left="100" w:right="100" w:firstLine="0"/>
        <w:jc w:val="left"/>
        <w:rPr>
          <w:rFonts w:ascii="Times New Roman" w:hAnsi="Times New Roman" w:eastAsia="Times New Roman" w:cs="Times New Roman"/>
          <w:kern w:val="0"/>
          <w:sz w:val="24"/>
        </w:rPr>
      </w:pPr>
      <w:r>
        <w:rPr>
          <w:rFonts w:ascii="宋体" w:hAnsi="宋体" w:eastAsia="宋体" w:cs="宋体"/>
          <w:spacing w:val="0"/>
          <w:kern w:val="0"/>
          <w:sz w:val="24"/>
        </w:rPr>
        <w:t> </w:t>
      </w:r>
    </w:p>
    <w:p>
      <w:pPr>
        <w:pStyle w:val="5"/>
        <w:spacing w:before="100" w:after="100" w:line="240" w:lineRule="auto"/>
        <w:ind w:left="100" w:right="100" w:firstLine="640" w:firstLineChars="0"/>
        <w:rPr>
          <w:rFonts w:ascii="Times New Roman" w:hAnsi="Times New Roman" w:eastAsia="Times New Roman" w:cs="Times New Roman"/>
          <w:b/>
          <w:bCs/>
          <w:kern w:val="0"/>
          <w:sz w:val="28"/>
          <w:szCs w:val="28"/>
        </w:rPr>
      </w:pPr>
      <w:bookmarkStart w:id="11" w:name="_Toc256000064"/>
      <w:r>
        <w:rPr>
          <w:rFonts w:ascii="黑体" w:hAnsi="黑体" w:eastAsia="黑体" w:cs="黑体"/>
          <w:b w:val="0"/>
          <w:bCs w:val="0"/>
          <w:spacing w:val="0"/>
        </w:rPr>
        <w:t>六、一般公共预算财政拨款基本支出决算表</w:t>
      </w:r>
      <w:bookmarkEnd w:id="11"/>
    </w:p>
    <w:p>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horizontal layout</w:t>
      </w:r>
    </w:p>
    <w:tbl>
      <w:tblPr>
        <w:tblStyle w:val="22"/>
        <w:tblW w:w="15159"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685"/>
        <w:gridCol w:w="1685"/>
        <w:gridCol w:w="1685"/>
        <w:gridCol w:w="1684"/>
        <w:gridCol w:w="1684"/>
        <w:gridCol w:w="1684"/>
        <w:gridCol w:w="1684"/>
        <w:gridCol w:w="1684"/>
        <w:gridCol w:w="168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15159" w:type="dxa"/>
            <w:gridSpan w:val="9"/>
            <w:tcMar>
              <w:top w:w="15" w:type="dxa"/>
              <w:left w:w="108" w:type="dxa"/>
              <w:bottom w:w="15" w:type="dxa"/>
              <w:right w:w="108" w:type="dxa"/>
            </w:tcMar>
            <w:vAlign w:val="center"/>
          </w:tcPr>
          <w:p>
            <w:pPr>
              <w:widowControl/>
              <w:jc w:val="center"/>
              <w:rPr>
                <w:rFonts w:ascii="黑体" w:hAnsi="黑体" w:eastAsia="黑体" w:cs="黑体"/>
                <w:b w:val="0"/>
                <w:bCs w:val="0"/>
                <w:i w:val="0"/>
                <w:iCs w:val="0"/>
                <w:smallCaps w:val="0"/>
                <w:color w:val="000000"/>
                <w:kern w:val="0"/>
                <w:sz w:val="36"/>
                <w:szCs w:val="36"/>
              </w:rPr>
            </w:pPr>
            <w:r>
              <w:rPr>
                <w:rFonts w:ascii="黑体" w:hAnsi="黑体" w:eastAsia="黑体" w:cs="黑体"/>
                <w:b w:val="0"/>
                <w:bCs w:val="0"/>
                <w:i w:val="0"/>
                <w:iCs w:val="0"/>
                <w:smallCaps w:val="0"/>
                <w:color w:val="000000"/>
                <w:kern w:val="0"/>
                <w:sz w:val="32"/>
                <w:szCs w:val="36"/>
              </w:rPr>
              <w:t>一般公共预算财政拨款基本支出决算表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6739" w:type="dxa"/>
            <w:gridSpan w:val="4"/>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684"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684"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684"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3368" w:type="dxa"/>
            <w:gridSpan w:val="2"/>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公开06表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10107" w:type="dxa"/>
            <w:gridSpan w:val="6"/>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4"/>
                <w:szCs w:val="26"/>
              </w:rPr>
              <w:t>编制单位：漳平市人民政府菁城街道办事处</w:t>
            </w:r>
          </w:p>
        </w:tc>
        <w:tc>
          <w:tcPr>
            <w:tcW w:w="1684"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3368" w:type="dxa"/>
            <w:gridSpan w:val="2"/>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1685" w:type="dxa"/>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经济分类科目编码</w:t>
            </w:r>
          </w:p>
        </w:tc>
        <w:tc>
          <w:tcPr>
            <w:tcW w:w="1685" w:type="dxa"/>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科目名称</w:t>
            </w:r>
          </w:p>
        </w:tc>
        <w:tc>
          <w:tcPr>
            <w:tcW w:w="1685" w:type="dxa"/>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金额</w:t>
            </w:r>
          </w:p>
        </w:tc>
        <w:tc>
          <w:tcPr>
            <w:tcW w:w="1684" w:type="dxa"/>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经济分类科目编码</w:t>
            </w:r>
          </w:p>
        </w:tc>
        <w:tc>
          <w:tcPr>
            <w:tcW w:w="1684" w:type="dxa"/>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科目名称</w:t>
            </w:r>
          </w:p>
        </w:tc>
        <w:tc>
          <w:tcPr>
            <w:tcW w:w="1684" w:type="dxa"/>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金额</w:t>
            </w:r>
          </w:p>
        </w:tc>
        <w:tc>
          <w:tcPr>
            <w:tcW w:w="1684" w:type="dxa"/>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经济分类科目编码</w:t>
            </w:r>
          </w:p>
        </w:tc>
        <w:tc>
          <w:tcPr>
            <w:tcW w:w="1684" w:type="dxa"/>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科目名称</w:t>
            </w:r>
          </w:p>
        </w:tc>
        <w:tc>
          <w:tcPr>
            <w:tcW w:w="1684" w:type="dxa"/>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金额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1685"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685"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685"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684"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684"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684"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684"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684"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684"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工资福利支出</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848.02</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商品和服务支出</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35.26</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资本性支出</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30101</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基本工资</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297.55</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30201</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办公费</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7.82</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31001</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房屋建筑物购建</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30102</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津贴补贴</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122.70</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30202</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印刷费</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31002</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办公设备购置</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30103</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奖金</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179.76</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30204</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手续费</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31003</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专用设备购置</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30106</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伙食补助费</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30205</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水费</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31005</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基础设施建设</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30107</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绩效工资</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30.14</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30206</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电费</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31006</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大型修缮</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30108</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机关事业单位基本养老保险缴费</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90.81</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30207</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邮电费</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31007</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信息网络及软件购置更新</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30109</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职业年金缴费</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20.33</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30208</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取暖费</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31008</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物资储备</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30110</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职工基本医疗保险缴费</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40.47</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30209</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物业管理费</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31009</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土地补偿</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30111</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公务员医疗补助缴费</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30211</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差旅费</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31010</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安置补助</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30112</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其他社会保障缴费</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0.69</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30212</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因公出国（境）费用</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31011</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地上附着物和青苗补偿</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30113</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住房公积金</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49.66</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30213</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维修（护）费</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31012</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拆迁补偿</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30114</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医疗费</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30214</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租赁费</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31013</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公务用车购置</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30199</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其他工资福利支出</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15.92</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30215</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会议费</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31019</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其他交通工具购置</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303</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对个人和家庭的补助</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644.95</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30216</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培训费</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31021</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文物和陈列品购置</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30301</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离休费</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30217</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公务接待费</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2.00</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31022</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无形资产购置</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30302</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退休费</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30218</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专用材料费</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31099</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其他资本性支出</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30303</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退职（役）费</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30224</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被装购置费</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312</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对企业补助</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30304</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抚恤金</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30225</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专用燃料费</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31201</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资本金注入</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30305</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生活补助</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10.26</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30226</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劳务费</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31203</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政府投资基金股权投资</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30306</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救济费</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30227</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委托业务费</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31204</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费用补贴</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30307</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医疗费补助</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30228</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工会经费</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31205</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利息补贴</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30308</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助学金</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30229</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福利费</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1.10</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31206</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其他资本性补助</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30309</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奖励金</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30231</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公务用车运行维护费</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6.00</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31299</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其他对企业补助</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30310</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个人农业生产补贴</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9"/>
                <w:szCs w:val="29"/>
              </w:rPr>
            </w:pPr>
            <w:r>
              <w:rPr>
                <w:rFonts w:ascii="宋体" w:hAnsi="宋体" w:eastAsia="宋体" w:cs="宋体"/>
                <w:b w:val="0"/>
                <w:bCs w:val="0"/>
                <w:i w:val="0"/>
                <w:iCs w:val="0"/>
                <w:smallCaps w:val="0"/>
                <w:color w:val="000000"/>
                <w:kern w:val="0"/>
                <w:sz w:val="21"/>
                <w:szCs w:val="29"/>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30239</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其他交通费用</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9"/>
                <w:szCs w:val="29"/>
              </w:rPr>
            </w:pPr>
            <w:r>
              <w:rPr>
                <w:rFonts w:ascii="宋体" w:hAnsi="宋体" w:eastAsia="宋体" w:cs="宋体"/>
                <w:b w:val="0"/>
                <w:bCs w:val="0"/>
                <w:i w:val="0"/>
                <w:iCs w:val="0"/>
                <w:smallCaps w:val="0"/>
                <w:color w:val="000000"/>
                <w:kern w:val="0"/>
                <w:sz w:val="21"/>
                <w:szCs w:val="29"/>
              </w:rPr>
              <w:t>18.35</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399</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其他支出</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9"/>
                <w:szCs w:val="29"/>
              </w:rPr>
            </w:pPr>
            <w:r>
              <w:rPr>
                <w:rFonts w:ascii="宋体" w:hAnsi="宋体" w:eastAsia="宋体" w:cs="宋体"/>
                <w:b w:val="0"/>
                <w:bCs w:val="0"/>
                <w:i w:val="0"/>
                <w:iCs w:val="0"/>
                <w:smallCaps w:val="0"/>
                <w:color w:val="000000"/>
                <w:kern w:val="0"/>
                <w:sz w:val="21"/>
                <w:szCs w:val="29"/>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30311</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代缴社会保险费</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30240</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税金及附加费用</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39907</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国家赔偿费用支出</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30399</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其他对个人和家庭的补助</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634.69</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30299</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其他商品和服务支出</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39908</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对民间非营利组织和群众性自治组织补贴</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307</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债务利息及费用支出</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39909</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经常性赠与</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30701</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国内债务付息</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39910</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资本性赠与</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30702</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国外债务付息</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39999</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其他支出</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30703</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国内债务发行费用</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30704</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国外债务发行费用</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3370" w:type="dxa"/>
            <w:gridSpan w:val="2"/>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xml:space="preserve">人员经费合计 </w:t>
            </w:r>
          </w:p>
        </w:tc>
        <w:tc>
          <w:tcPr>
            <w:tcW w:w="1685"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1,492.97</w:t>
            </w:r>
          </w:p>
        </w:tc>
        <w:tc>
          <w:tcPr>
            <w:tcW w:w="8420" w:type="dxa"/>
            <w:gridSpan w:val="5"/>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公用经费合计</w:t>
            </w:r>
          </w:p>
        </w:tc>
        <w:tc>
          <w:tcPr>
            <w:tcW w:w="1684"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35.26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5159" w:type="dxa"/>
            <w:gridSpan w:val="9"/>
            <w:tcMar>
              <w:top w:w="15" w:type="dxa"/>
              <w:left w:w="108" w:type="dxa"/>
              <w:bottom w:w="15" w:type="dxa"/>
              <w:right w:w="108" w:type="dxa"/>
            </w:tcMar>
            <w:vAlign w:val="center"/>
          </w:tcPr>
          <w:p>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注：1.本表反映部门本年度一般公共预算财政拨款基本支出明细情况。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5159" w:type="dxa"/>
            <w:gridSpan w:val="9"/>
            <w:tcMar>
              <w:top w:w="15" w:type="dxa"/>
              <w:left w:w="108" w:type="dxa"/>
              <w:bottom w:w="15" w:type="dxa"/>
              <w:right w:w="108" w:type="dxa"/>
            </w:tcMar>
            <w:vAlign w:val="center"/>
          </w:tcPr>
          <w:p>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p>
        </w:tc>
      </w:tr>
    </w:tbl>
    <w:p>
      <w:pPr>
        <w:sectPr>
          <w:footerReference r:id="rId14" w:type="default"/>
          <w:pgSz w:w="16383" w:h="11906" w:orient="landscape"/>
          <w:pgMar w:top="1134" w:right="720" w:bottom="1134" w:left="720" w:header="720" w:footer="720" w:gutter="0"/>
          <w:cols w:space="720" w:num="1"/>
        </w:sectPr>
      </w:pPr>
    </w:p>
    <w:p>
      <w:pPr>
        <w:rPr>
          <w:rFonts w:ascii="Times New Roman" w:hAnsi="Times New Roman" w:eastAsia="Times New Roman" w:cs="Times New Roman"/>
          <w:vanish/>
          <w:kern w:val="0"/>
          <w:sz w:val="24"/>
        </w:rPr>
      </w:pPr>
      <w:r>
        <w:rPr>
          <w:rFonts w:ascii="Times New Roman" w:hAnsi="Times New Roman" w:eastAsia="Times New Roman" w:cs="Times New Roman"/>
          <w:kern w:val="0"/>
          <w:sz w:val="24"/>
        </w:rPr>
        <w:t> </w:t>
      </w:r>
    </w:p>
    <w:p>
      <w:pPr>
        <w:pStyle w:val="25"/>
        <w:widowControl/>
        <w:spacing w:before="240" w:after="100"/>
        <w:ind w:left="100" w:right="100" w:firstLine="0"/>
        <w:jc w:val="left"/>
        <w:rPr>
          <w:rFonts w:ascii="Times New Roman" w:hAnsi="Times New Roman" w:eastAsia="Times New Roman" w:cs="Times New Roman"/>
          <w:kern w:val="0"/>
          <w:sz w:val="24"/>
        </w:rPr>
      </w:pPr>
      <w:r>
        <w:rPr>
          <w:rFonts w:ascii="宋体" w:hAnsi="宋体" w:eastAsia="宋体" w:cs="宋体"/>
          <w:spacing w:val="0"/>
          <w:kern w:val="0"/>
          <w:sz w:val="24"/>
        </w:rPr>
        <w:t> </w:t>
      </w:r>
    </w:p>
    <w:p>
      <w:pPr>
        <w:pStyle w:val="5"/>
        <w:spacing w:before="100" w:after="100" w:line="240" w:lineRule="auto"/>
        <w:ind w:left="100" w:right="100" w:firstLine="640" w:firstLineChars="0"/>
        <w:rPr>
          <w:rFonts w:ascii="Times New Roman" w:hAnsi="Times New Roman" w:eastAsia="Times New Roman" w:cs="Times New Roman"/>
          <w:b/>
          <w:bCs/>
          <w:kern w:val="0"/>
          <w:sz w:val="28"/>
          <w:szCs w:val="28"/>
        </w:rPr>
      </w:pPr>
      <w:bookmarkStart w:id="12" w:name="_Toc256000065"/>
      <w:r>
        <w:rPr>
          <w:rFonts w:ascii="黑体" w:hAnsi="黑体" w:eastAsia="黑体" w:cs="黑体"/>
          <w:b w:val="0"/>
          <w:bCs w:val="0"/>
          <w:spacing w:val="0"/>
        </w:rPr>
        <w:t>七、一般公共预算财政拨款“三公”经费支出决算表</w:t>
      </w:r>
      <w:bookmarkEnd w:id="12"/>
    </w:p>
    <w:p>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horizontal layout</w:t>
      </w:r>
    </w:p>
    <w:tbl>
      <w:tblPr>
        <w:tblStyle w:val="22"/>
        <w:tblW w:w="15159"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053"/>
        <w:gridCol w:w="5053"/>
        <w:gridCol w:w="505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15159" w:type="dxa"/>
            <w:gridSpan w:val="3"/>
            <w:tcMar>
              <w:top w:w="15" w:type="dxa"/>
              <w:left w:w="108" w:type="dxa"/>
              <w:bottom w:w="15" w:type="dxa"/>
              <w:right w:w="108" w:type="dxa"/>
            </w:tcMar>
            <w:vAlign w:val="center"/>
          </w:tcPr>
          <w:p>
            <w:pPr>
              <w:widowControl/>
              <w:jc w:val="center"/>
              <w:rPr>
                <w:rFonts w:ascii="黑体" w:hAnsi="黑体" w:eastAsia="黑体" w:cs="黑体"/>
                <w:b w:val="0"/>
                <w:bCs w:val="0"/>
                <w:i w:val="0"/>
                <w:iCs w:val="0"/>
                <w:smallCaps w:val="0"/>
                <w:color w:val="000000"/>
                <w:kern w:val="0"/>
                <w:sz w:val="36"/>
                <w:szCs w:val="36"/>
              </w:rPr>
            </w:pPr>
            <w:r>
              <w:rPr>
                <w:rFonts w:ascii="黑体" w:hAnsi="黑体" w:eastAsia="黑体" w:cs="黑体"/>
                <w:b w:val="0"/>
                <w:bCs w:val="0"/>
                <w:i w:val="0"/>
                <w:iCs w:val="0"/>
                <w:smallCaps w:val="0"/>
                <w:color w:val="000000"/>
                <w:kern w:val="0"/>
                <w:sz w:val="32"/>
                <w:szCs w:val="36"/>
              </w:rPr>
              <w:t>一般公共预算财政拨款“三公”经费支出决算表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10106" w:type="dxa"/>
            <w:gridSpan w:val="2"/>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5053" w:type="dxa"/>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公开07表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10106" w:type="dxa"/>
            <w:gridSpan w:val="2"/>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4"/>
                <w:szCs w:val="26"/>
              </w:rPr>
              <w:t>编制单位：漳平市人民政府菁城街道办事处</w:t>
            </w:r>
          </w:p>
        </w:tc>
        <w:tc>
          <w:tcPr>
            <w:tcW w:w="5053" w:type="dxa"/>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5053"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项目</w:t>
            </w:r>
          </w:p>
        </w:tc>
        <w:tc>
          <w:tcPr>
            <w:tcW w:w="5053"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行次</w:t>
            </w:r>
          </w:p>
        </w:tc>
        <w:tc>
          <w:tcPr>
            <w:tcW w:w="5053"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5053"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合计</w:t>
            </w:r>
          </w:p>
        </w:tc>
        <w:tc>
          <w:tcPr>
            <w:tcW w:w="5053"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w:t>
            </w:r>
          </w:p>
        </w:tc>
        <w:tc>
          <w:tcPr>
            <w:tcW w:w="5053"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8.00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5053"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 因公出国（境）费用</w:t>
            </w:r>
          </w:p>
        </w:tc>
        <w:tc>
          <w:tcPr>
            <w:tcW w:w="5053"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w:t>
            </w:r>
          </w:p>
        </w:tc>
        <w:tc>
          <w:tcPr>
            <w:tcW w:w="5053"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5053"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 公务用车购置及运行维护费</w:t>
            </w:r>
          </w:p>
        </w:tc>
        <w:tc>
          <w:tcPr>
            <w:tcW w:w="5053"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w:t>
            </w:r>
          </w:p>
        </w:tc>
        <w:tc>
          <w:tcPr>
            <w:tcW w:w="5053"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6.00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5053"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其中：（1）公务用车购置费</w:t>
            </w:r>
          </w:p>
        </w:tc>
        <w:tc>
          <w:tcPr>
            <w:tcW w:w="5053"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w:t>
            </w:r>
          </w:p>
        </w:tc>
        <w:tc>
          <w:tcPr>
            <w:tcW w:w="5053"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5053"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（2）公务用车运行维护费</w:t>
            </w:r>
          </w:p>
        </w:tc>
        <w:tc>
          <w:tcPr>
            <w:tcW w:w="5053"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5</w:t>
            </w:r>
          </w:p>
        </w:tc>
        <w:tc>
          <w:tcPr>
            <w:tcW w:w="5053"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6.00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5053"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 公务接待费</w:t>
            </w:r>
          </w:p>
        </w:tc>
        <w:tc>
          <w:tcPr>
            <w:tcW w:w="5053"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6</w:t>
            </w:r>
          </w:p>
        </w:tc>
        <w:tc>
          <w:tcPr>
            <w:tcW w:w="5053"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5159" w:type="dxa"/>
            <w:gridSpan w:val="3"/>
            <w:tcMar>
              <w:top w:w="15" w:type="dxa"/>
              <w:left w:w="108" w:type="dxa"/>
              <w:bottom w:w="15" w:type="dxa"/>
              <w:right w:w="108" w:type="dxa"/>
            </w:tcMar>
            <w:vAlign w:val="center"/>
          </w:tcPr>
          <w:p>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注：1.本表反映部门本年度“三公”经费支出决算情况，包括当年一般公共预算财政拨款和以前年度结转资金安排的实际支出。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5159" w:type="dxa"/>
            <w:gridSpan w:val="3"/>
            <w:tcMar>
              <w:top w:w="15" w:type="dxa"/>
              <w:left w:w="108" w:type="dxa"/>
              <w:bottom w:w="15" w:type="dxa"/>
              <w:right w:w="108" w:type="dxa"/>
            </w:tcMar>
            <w:vAlign w:val="center"/>
          </w:tcPr>
          <w:p>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5159" w:type="dxa"/>
            <w:gridSpan w:val="3"/>
            <w:tcMar>
              <w:top w:w="15" w:type="dxa"/>
              <w:left w:w="108" w:type="dxa"/>
              <w:bottom w:w="15" w:type="dxa"/>
              <w:right w:w="108" w:type="dxa"/>
            </w:tcMar>
            <w:vAlign w:val="center"/>
          </w:tcPr>
          <w:p>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p>
        </w:tc>
      </w:tr>
    </w:tbl>
    <w:p>
      <w:pPr>
        <w:sectPr>
          <w:footerReference r:id="rId15" w:type="default"/>
          <w:pgSz w:w="16383" w:h="11906" w:orient="landscape"/>
          <w:pgMar w:top="1134" w:right="720" w:bottom="1134" w:left="720" w:header="720" w:footer="720" w:gutter="0"/>
          <w:cols w:space="720" w:num="1"/>
        </w:sectPr>
      </w:pPr>
    </w:p>
    <w:p>
      <w:pPr>
        <w:rPr>
          <w:rFonts w:ascii="Times New Roman" w:hAnsi="Times New Roman" w:eastAsia="Times New Roman" w:cs="Times New Roman"/>
          <w:vanish/>
          <w:kern w:val="0"/>
          <w:sz w:val="24"/>
        </w:rPr>
      </w:pPr>
      <w:r>
        <w:rPr>
          <w:rFonts w:ascii="Times New Roman" w:hAnsi="Times New Roman" w:eastAsia="Times New Roman" w:cs="Times New Roman"/>
          <w:kern w:val="0"/>
          <w:sz w:val="24"/>
        </w:rPr>
        <w:t> </w:t>
      </w:r>
    </w:p>
    <w:p>
      <w:pPr>
        <w:pStyle w:val="24"/>
        <w:widowControl/>
        <w:spacing w:before="240" w:after="100"/>
        <w:ind w:left="100" w:right="100" w:firstLine="0"/>
        <w:jc w:val="left"/>
        <w:rPr>
          <w:rFonts w:ascii="Times New Roman" w:hAnsi="Times New Roman" w:eastAsia="Times New Roman" w:cs="Times New Roman"/>
          <w:kern w:val="0"/>
          <w:sz w:val="24"/>
        </w:rPr>
      </w:pPr>
      <w:r>
        <w:rPr>
          <w:rFonts w:ascii="宋体" w:hAnsi="宋体" w:eastAsia="宋体" w:cs="宋体"/>
          <w:kern w:val="0"/>
          <w:sz w:val="24"/>
        </w:rPr>
        <w:t> </w:t>
      </w:r>
    </w:p>
    <w:p>
      <w:pPr>
        <w:pStyle w:val="5"/>
        <w:spacing w:before="100" w:after="100" w:line="240" w:lineRule="auto"/>
        <w:ind w:left="100" w:right="100" w:firstLine="640" w:firstLineChars="0"/>
        <w:rPr>
          <w:rFonts w:ascii="Times New Roman" w:hAnsi="Times New Roman" w:eastAsia="Times New Roman" w:cs="Times New Roman"/>
          <w:b/>
          <w:bCs/>
          <w:kern w:val="0"/>
          <w:sz w:val="28"/>
          <w:szCs w:val="28"/>
        </w:rPr>
      </w:pPr>
      <w:bookmarkStart w:id="13" w:name="_Toc256000066"/>
      <w:r>
        <w:rPr>
          <w:rFonts w:ascii="黑体" w:hAnsi="黑体" w:eastAsia="黑体" w:cs="黑体"/>
          <w:b w:val="0"/>
          <w:bCs w:val="0"/>
          <w:spacing w:val="0"/>
        </w:rPr>
        <w:t>八、政府性基金预算财政拨款收入支出决算表</w:t>
      </w:r>
      <w:bookmarkEnd w:id="13"/>
    </w:p>
    <w:p>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horizontal layout gk08</w:t>
      </w:r>
    </w:p>
    <w:tbl>
      <w:tblPr>
        <w:tblStyle w:val="22"/>
        <w:tblW w:w="15159"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29"/>
        <w:gridCol w:w="629"/>
        <w:gridCol w:w="629"/>
        <w:gridCol w:w="1896"/>
        <w:gridCol w:w="1896"/>
        <w:gridCol w:w="1896"/>
        <w:gridCol w:w="1896"/>
        <w:gridCol w:w="1896"/>
        <w:gridCol w:w="1896"/>
        <w:gridCol w:w="189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15159" w:type="dxa"/>
            <w:gridSpan w:val="10"/>
            <w:tcMar>
              <w:top w:w="15" w:type="dxa"/>
              <w:left w:w="108" w:type="dxa"/>
              <w:bottom w:w="15" w:type="dxa"/>
              <w:right w:w="108" w:type="dxa"/>
            </w:tcMar>
            <w:vAlign w:val="center"/>
          </w:tcPr>
          <w:p>
            <w:pPr>
              <w:widowControl/>
              <w:jc w:val="center"/>
              <w:rPr>
                <w:rFonts w:ascii="黑体" w:hAnsi="黑体" w:eastAsia="黑体" w:cs="黑体"/>
                <w:b w:val="0"/>
                <w:bCs w:val="0"/>
                <w:i w:val="0"/>
                <w:iCs w:val="0"/>
                <w:smallCaps w:val="0"/>
                <w:color w:val="000000"/>
                <w:kern w:val="0"/>
                <w:sz w:val="36"/>
                <w:szCs w:val="36"/>
              </w:rPr>
            </w:pPr>
            <w:r>
              <w:rPr>
                <w:rFonts w:ascii="黑体" w:hAnsi="黑体" w:eastAsia="黑体" w:cs="黑体"/>
                <w:b w:val="0"/>
                <w:bCs w:val="0"/>
                <w:i w:val="0"/>
                <w:iCs w:val="0"/>
                <w:smallCaps w:val="0"/>
                <w:color w:val="000000"/>
                <w:kern w:val="0"/>
                <w:sz w:val="32"/>
                <w:szCs w:val="36"/>
              </w:rPr>
              <w:t>政府性基金预算财政拨款收入支出决算表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1258" w:type="dxa"/>
            <w:gridSpan w:val="2"/>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629"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896"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896"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896"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896"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896"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896"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896" w:type="dxa"/>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公开08表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9471" w:type="dxa"/>
            <w:gridSpan w:val="7"/>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4"/>
                <w:szCs w:val="26"/>
              </w:rPr>
              <w:t>编制单位：漳平市人民政府菁城街道办事处</w:t>
            </w:r>
          </w:p>
        </w:tc>
        <w:tc>
          <w:tcPr>
            <w:tcW w:w="1896"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896"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1896" w:type="dxa"/>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3783" w:type="dxa"/>
            <w:gridSpan w:val="4"/>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项目</w:t>
            </w:r>
          </w:p>
        </w:tc>
        <w:tc>
          <w:tcPr>
            <w:tcW w:w="1896" w:type="dxa"/>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xml:space="preserve">年初结转和结余 </w:t>
            </w:r>
          </w:p>
        </w:tc>
        <w:tc>
          <w:tcPr>
            <w:tcW w:w="1896" w:type="dxa"/>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本年收入</w:t>
            </w:r>
          </w:p>
        </w:tc>
        <w:tc>
          <w:tcPr>
            <w:tcW w:w="5688"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本年支出</w:t>
            </w:r>
          </w:p>
        </w:tc>
        <w:tc>
          <w:tcPr>
            <w:tcW w:w="1896" w:type="dxa"/>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年末结转和结余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1887" w:type="dxa"/>
            <w:gridSpan w:val="3"/>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支出功能分类科目编码</w:t>
            </w:r>
          </w:p>
        </w:tc>
        <w:tc>
          <w:tcPr>
            <w:tcW w:w="1896" w:type="dxa"/>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科目名称</w:t>
            </w:r>
          </w:p>
        </w:tc>
        <w:tc>
          <w:tcPr>
            <w:tcW w:w="1896"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896"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896" w:type="dxa"/>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小计</w:t>
            </w:r>
          </w:p>
        </w:tc>
        <w:tc>
          <w:tcPr>
            <w:tcW w:w="1896" w:type="dxa"/>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xml:space="preserve">基本支出 </w:t>
            </w:r>
          </w:p>
        </w:tc>
        <w:tc>
          <w:tcPr>
            <w:tcW w:w="1896" w:type="dxa"/>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项目支出</w:t>
            </w:r>
          </w:p>
        </w:tc>
        <w:tc>
          <w:tcPr>
            <w:tcW w:w="1896"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1887" w:type="dxa"/>
            <w:gridSpan w:val="3"/>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896"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896"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896"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896"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896"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896"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896"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629" w:type="dxa"/>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类</w:t>
            </w:r>
          </w:p>
        </w:tc>
        <w:tc>
          <w:tcPr>
            <w:tcW w:w="629" w:type="dxa"/>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款</w:t>
            </w:r>
          </w:p>
        </w:tc>
        <w:tc>
          <w:tcPr>
            <w:tcW w:w="629" w:type="dxa"/>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栏次</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5</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629"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629"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629"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合计</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1896"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5159" w:type="dxa"/>
            <w:gridSpan w:val="10"/>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本部门2025年度没有使用政府性基金预算财政拨款安排的收支 </w:t>
            </w:r>
          </w:p>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5159" w:type="dxa"/>
            <w:gridSpan w:val="10"/>
            <w:tcMar>
              <w:top w:w="15" w:type="dxa"/>
              <w:left w:w="108" w:type="dxa"/>
              <w:bottom w:w="15" w:type="dxa"/>
              <w:right w:w="108" w:type="dxa"/>
            </w:tcMar>
            <w:vAlign w:val="center"/>
          </w:tcPr>
          <w:p>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5159" w:type="dxa"/>
            <w:gridSpan w:val="10"/>
            <w:tcMar>
              <w:top w:w="15" w:type="dxa"/>
              <w:left w:w="108" w:type="dxa"/>
              <w:bottom w:w="15" w:type="dxa"/>
              <w:right w:w="108" w:type="dxa"/>
            </w:tcMar>
            <w:vAlign w:val="center"/>
          </w:tcPr>
          <w:p>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注：本部门2025年度没有使用政府性基金预算财政拨款安排的收支。</w:t>
            </w:r>
          </w:p>
        </w:tc>
      </w:tr>
    </w:tbl>
    <w:p>
      <w:pPr>
        <w:sectPr>
          <w:footerReference r:id="rId16" w:type="default"/>
          <w:pgSz w:w="16383" w:h="11906" w:orient="landscape"/>
          <w:pgMar w:top="1134" w:right="720" w:bottom="1134" w:left="720" w:header="720" w:footer="720" w:gutter="0"/>
          <w:cols w:space="720" w:num="1"/>
        </w:sectPr>
      </w:pPr>
    </w:p>
    <w:p>
      <w:pPr>
        <w:widowControl/>
        <w:jc w:val="left"/>
        <w:rPr>
          <w:rFonts w:ascii="Times New Roman" w:hAnsi="Times New Roman" w:eastAsia="Times New Roman" w:cs="Times New Roman"/>
          <w:kern w:val="0"/>
          <w:sz w:val="24"/>
        </w:rPr>
      </w:pPr>
      <w:r>
        <w:rPr>
          <w:rFonts w:ascii="Times New Roman" w:hAnsi="Times New Roman" w:eastAsia="Times New Roman" w:cs="Times New Roman"/>
          <w:kern w:val="0"/>
          <w:sz w:val="24"/>
        </w:rPr>
        <w:t> </w:t>
      </w:r>
    </w:p>
    <w:p>
      <w:pPr>
        <w:pStyle w:val="24"/>
        <w:widowControl/>
        <w:spacing w:before="240" w:after="240"/>
        <w:jc w:val="left"/>
        <w:rPr>
          <w:rFonts w:ascii="Times New Roman" w:hAnsi="Times New Roman" w:eastAsia="Times New Roman" w:cs="Times New Roman"/>
          <w:kern w:val="0"/>
          <w:sz w:val="24"/>
        </w:rPr>
      </w:pPr>
      <w:r>
        <w:rPr>
          <w:rFonts w:ascii="宋体" w:hAnsi="宋体" w:eastAsia="宋体" w:cs="宋体"/>
          <w:spacing w:val="0"/>
          <w:kern w:val="0"/>
          <w:sz w:val="24"/>
        </w:rPr>
        <w:t> </w:t>
      </w:r>
      <w:r>
        <w:rPr>
          <w:rFonts w:ascii="宋体" w:hAnsi="宋体" w:eastAsia="宋体" w:cs="宋体"/>
          <w:kern w:val="0"/>
          <w:sz w:val="24"/>
        </w:rPr>
        <w:t>  </w:t>
      </w:r>
    </w:p>
    <w:p>
      <w:pPr>
        <w:pStyle w:val="5"/>
        <w:spacing w:before="100" w:after="100" w:line="240" w:lineRule="auto"/>
        <w:ind w:left="100" w:right="100" w:firstLine="640" w:firstLineChars="0"/>
        <w:rPr>
          <w:rFonts w:ascii="Times New Roman" w:hAnsi="Times New Roman" w:eastAsia="Times New Roman" w:cs="Times New Roman"/>
          <w:b/>
          <w:bCs/>
          <w:kern w:val="0"/>
          <w:sz w:val="28"/>
          <w:szCs w:val="28"/>
        </w:rPr>
      </w:pPr>
      <w:bookmarkStart w:id="14" w:name="_Toc256000067"/>
      <w:r>
        <w:rPr>
          <w:rFonts w:ascii="黑体" w:hAnsi="黑体" w:eastAsia="黑体" w:cs="黑体"/>
          <w:b w:val="0"/>
          <w:bCs w:val="0"/>
          <w:spacing w:val="0"/>
        </w:rPr>
        <w:t>九、国有资本经营预算财政拨款支出决算表</w:t>
      </w:r>
      <w:bookmarkEnd w:id="14"/>
    </w:p>
    <w:p>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horizontal layout gk09</w:t>
      </w:r>
    </w:p>
    <w:tbl>
      <w:tblPr>
        <w:tblStyle w:val="22"/>
        <w:tblW w:w="15159"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031"/>
        <w:gridCol w:w="3032"/>
        <w:gridCol w:w="3032"/>
        <w:gridCol w:w="3032"/>
        <w:gridCol w:w="303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15159" w:type="dxa"/>
            <w:gridSpan w:val="5"/>
            <w:tcMar>
              <w:top w:w="15" w:type="dxa"/>
              <w:left w:w="108" w:type="dxa"/>
              <w:bottom w:w="15" w:type="dxa"/>
              <w:right w:w="108" w:type="dxa"/>
            </w:tcMar>
            <w:vAlign w:val="center"/>
          </w:tcPr>
          <w:p>
            <w:pPr>
              <w:widowControl/>
              <w:jc w:val="center"/>
              <w:rPr>
                <w:rFonts w:ascii="黑体" w:hAnsi="黑体" w:eastAsia="黑体" w:cs="黑体"/>
                <w:b w:val="0"/>
                <w:bCs w:val="0"/>
                <w:i w:val="0"/>
                <w:iCs w:val="0"/>
                <w:smallCaps w:val="0"/>
                <w:color w:val="000000"/>
                <w:kern w:val="0"/>
                <w:sz w:val="36"/>
                <w:szCs w:val="36"/>
              </w:rPr>
            </w:pPr>
            <w:r>
              <w:rPr>
                <w:rFonts w:ascii="黑体" w:hAnsi="黑体" w:eastAsia="黑体" w:cs="黑体"/>
                <w:b w:val="0"/>
                <w:bCs w:val="0"/>
                <w:i w:val="0"/>
                <w:iCs w:val="0"/>
                <w:smallCaps w:val="0"/>
                <w:color w:val="000000"/>
                <w:kern w:val="0"/>
                <w:sz w:val="32"/>
                <w:szCs w:val="36"/>
              </w:rPr>
              <w:t>国有资本经营预算财政拨款支出决算表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6063" w:type="dxa"/>
            <w:gridSpan w:val="2"/>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3032"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3032" w:type="dxa"/>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3032" w:type="dxa"/>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公开09表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12127" w:type="dxa"/>
            <w:gridSpan w:val="4"/>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4"/>
                <w:szCs w:val="26"/>
              </w:rPr>
              <w:t>编制单位：漳平市人民政府菁城街道办事处</w:t>
            </w:r>
          </w:p>
        </w:tc>
        <w:tc>
          <w:tcPr>
            <w:tcW w:w="3032" w:type="dxa"/>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6063" w:type="dxa"/>
            <w:gridSpan w:val="2"/>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 目</w:t>
            </w:r>
          </w:p>
        </w:tc>
        <w:tc>
          <w:tcPr>
            <w:tcW w:w="9096" w:type="dxa"/>
            <w:gridSpan w:val="3"/>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3031" w:type="dxa"/>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功能分类科目编码</w:t>
            </w:r>
          </w:p>
        </w:tc>
        <w:tc>
          <w:tcPr>
            <w:tcW w:w="3032" w:type="dxa"/>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科目名称</w:t>
            </w:r>
          </w:p>
        </w:tc>
        <w:tc>
          <w:tcPr>
            <w:tcW w:w="3032" w:type="dxa"/>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合计</w:t>
            </w:r>
          </w:p>
        </w:tc>
        <w:tc>
          <w:tcPr>
            <w:tcW w:w="3032" w:type="dxa"/>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基本支出</w:t>
            </w:r>
          </w:p>
        </w:tc>
        <w:tc>
          <w:tcPr>
            <w:tcW w:w="3032" w:type="dxa"/>
            <w:vMerge w:val="restart"/>
            <w:tcBorders>
              <w:top w:val="single" w:color="000000" w:sz="6" w:space="0"/>
              <w:left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3031"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3032"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3032"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3032"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3032"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3031"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3032"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3032"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3032"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3032"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6063" w:type="dxa"/>
            <w:gridSpan w:val="2"/>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栏次</w:t>
            </w:r>
          </w:p>
        </w:tc>
        <w:tc>
          <w:tcPr>
            <w:tcW w:w="3032"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w:t>
            </w:r>
          </w:p>
        </w:tc>
        <w:tc>
          <w:tcPr>
            <w:tcW w:w="3032"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w:t>
            </w:r>
          </w:p>
        </w:tc>
        <w:tc>
          <w:tcPr>
            <w:tcW w:w="3032"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blHeader/>
        </w:trPr>
        <w:tc>
          <w:tcPr>
            <w:tcW w:w="6063" w:type="dxa"/>
            <w:gridSpan w:val="2"/>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合计</w:t>
            </w:r>
          </w:p>
        </w:tc>
        <w:tc>
          <w:tcPr>
            <w:tcW w:w="3032"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032"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3032" w:type="dxa"/>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5159" w:type="dxa"/>
            <w:gridSpan w:val="5"/>
            <w:tcBorders>
              <w:top w:val="single" w:color="000000" w:sz="6" w:space="0"/>
              <w:left w:val="single" w:color="000000" w:sz="6" w:space="0"/>
              <w:bottom w:val="single" w:color="000000" w:sz="6" w:space="0"/>
              <w:right w:val="single" w:color="000000" w:sz="6" w:space="0"/>
            </w:tcBorders>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本部门2025年度没有使用国有资本经营预算财政拨款安排的支出</w:t>
            </w:r>
          </w:p>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5159" w:type="dxa"/>
            <w:gridSpan w:val="5"/>
            <w:tcMar>
              <w:top w:w="15" w:type="dxa"/>
              <w:left w:w="108" w:type="dxa"/>
              <w:bottom w:w="15" w:type="dxa"/>
              <w:right w:w="108" w:type="dxa"/>
            </w:tcMar>
            <w:vAlign w:val="center"/>
          </w:tcPr>
          <w:p>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Pr>
        <w:tc>
          <w:tcPr>
            <w:tcW w:w="15159" w:type="dxa"/>
            <w:gridSpan w:val="5"/>
            <w:tcMar>
              <w:top w:w="15" w:type="dxa"/>
              <w:left w:w="108" w:type="dxa"/>
              <w:bottom w:w="15" w:type="dxa"/>
              <w:right w:w="108" w:type="dxa"/>
            </w:tcMar>
            <w:vAlign w:val="center"/>
          </w:tcPr>
          <w:p>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注：本部门2025年度没有使用国有资本经营预算财政拨款安排的支出。</w:t>
            </w:r>
          </w:p>
        </w:tc>
      </w:tr>
    </w:tbl>
    <w:p>
      <w:pPr>
        <w:sectPr>
          <w:footerReference r:id="rId17" w:type="default"/>
          <w:pgSz w:w="16383" w:h="11906" w:orient="landscape"/>
          <w:pgMar w:top="1134" w:right="720" w:bottom="1134" w:left="720" w:header="720" w:footer="720" w:gutter="0"/>
          <w:cols w:space="720" w:num="1"/>
        </w:sectPr>
      </w:pPr>
    </w:p>
    <w:p>
      <w:pPr>
        <w:widowControl/>
        <w:jc w:val="left"/>
        <w:rPr>
          <w:rFonts w:ascii="Times New Roman" w:hAnsi="Times New Roman" w:eastAsia="Times New Roman" w:cs="Times New Roman"/>
          <w:kern w:val="0"/>
          <w:sz w:val="24"/>
        </w:rPr>
      </w:pPr>
      <w:r>
        <w:rPr>
          <w:rFonts w:ascii="Times New Roman" w:hAnsi="Times New Roman" w:eastAsia="Times New Roman" w:cs="Times New Roman"/>
          <w:kern w:val="0"/>
          <w:sz w:val="24"/>
        </w:rPr>
        <w:t> </w:t>
      </w:r>
    </w:p>
    <w:p>
      <w:pPr>
        <w:pStyle w:val="24"/>
        <w:widowControl/>
        <w:spacing w:before="240" w:after="100" w:line="560" w:lineRule="atLeast"/>
        <w:ind w:left="100" w:right="100" w:firstLine="0"/>
        <w:jc w:val="center"/>
        <w:rPr>
          <w:rFonts w:ascii="Times New Roman" w:hAnsi="Times New Roman" w:eastAsia="Times New Roman" w:cs="Times New Roman"/>
          <w:kern w:val="0"/>
          <w:sz w:val="24"/>
        </w:rPr>
      </w:pPr>
      <w:r>
        <w:rPr>
          <w:rFonts w:ascii="宋体" w:hAnsi="宋体" w:eastAsia="宋体" w:cs="宋体"/>
          <w:spacing w:val="0"/>
          <w:kern w:val="0"/>
          <w:sz w:val="36"/>
          <w:szCs w:val="36"/>
        </w:rPr>
        <w:t> </w:t>
      </w:r>
    </w:p>
    <w:p>
      <w:pPr>
        <w:pStyle w:val="24"/>
        <w:widowControl/>
        <w:spacing w:before="100" w:after="100" w:line="560" w:lineRule="atLeast"/>
        <w:ind w:left="100" w:right="100" w:firstLine="0"/>
        <w:jc w:val="center"/>
        <w:rPr>
          <w:rFonts w:ascii="Times New Roman" w:hAnsi="Times New Roman" w:eastAsia="Times New Roman" w:cs="Times New Roman"/>
          <w:kern w:val="0"/>
          <w:sz w:val="24"/>
        </w:rPr>
      </w:pPr>
    </w:p>
    <w:p>
      <w:pPr>
        <w:pStyle w:val="24"/>
        <w:widowControl/>
        <w:spacing w:before="100" w:after="100" w:line="560" w:lineRule="atLeast"/>
        <w:ind w:left="100" w:right="100" w:firstLine="0"/>
        <w:rPr>
          <w:rFonts w:ascii="Times New Roman" w:hAnsi="Times New Roman" w:eastAsia="Times New Roman" w:cs="Times New Roman"/>
          <w:kern w:val="0"/>
          <w:sz w:val="24"/>
        </w:rPr>
      </w:pPr>
      <w:r>
        <w:rPr>
          <w:rFonts w:ascii="宋体" w:hAnsi="宋体" w:eastAsia="宋体" w:cs="宋体"/>
          <w:spacing w:val="0"/>
          <w:kern w:val="0"/>
          <w:sz w:val="36"/>
          <w:szCs w:val="36"/>
        </w:rPr>
        <w:t> </w:t>
      </w:r>
    </w:p>
    <w:p>
      <w:pPr>
        <w:pStyle w:val="24"/>
        <w:widowControl/>
        <w:spacing w:before="100" w:after="100" w:line="560" w:lineRule="atLeast"/>
        <w:ind w:left="100" w:right="100" w:firstLine="0"/>
        <w:jc w:val="center"/>
        <w:rPr>
          <w:rFonts w:ascii="Times New Roman" w:hAnsi="Times New Roman" w:eastAsia="Times New Roman" w:cs="Times New Roman"/>
          <w:kern w:val="0"/>
          <w:sz w:val="24"/>
        </w:rPr>
      </w:pPr>
      <w:r>
        <w:rPr>
          <w:rFonts w:ascii="宋体" w:hAnsi="宋体" w:eastAsia="宋体" w:cs="宋体"/>
          <w:spacing w:val="0"/>
          <w:kern w:val="0"/>
          <w:sz w:val="36"/>
          <w:szCs w:val="36"/>
        </w:rPr>
        <w:t> </w:t>
      </w:r>
    </w:p>
    <w:p>
      <w:pPr>
        <w:pStyle w:val="24"/>
        <w:widowControl/>
        <w:spacing w:before="100" w:after="100"/>
        <w:ind w:left="100" w:right="100" w:firstLine="0"/>
        <w:jc w:val="left"/>
        <w:rPr>
          <w:rFonts w:ascii="Times New Roman" w:hAnsi="Times New Roman" w:eastAsia="Times New Roman" w:cs="Times New Roman"/>
          <w:kern w:val="0"/>
          <w:sz w:val="24"/>
        </w:rPr>
      </w:pPr>
      <w:r>
        <w:rPr>
          <w:rFonts w:ascii="Calibri" w:hAnsi="Calibri" w:eastAsia="Calibri" w:cs="Calibri"/>
          <w:spacing w:val="0"/>
          <w:kern w:val="0"/>
          <w:szCs w:val="21"/>
        </w:rPr>
        <w:t> </w:t>
      </w:r>
      <w:r>
        <w:rPr>
          <w:rFonts w:ascii="宋体" w:hAnsi="宋体" w:eastAsia="宋体" w:cs="宋体"/>
          <w:spacing w:val="0"/>
          <w:kern w:val="0"/>
          <w:sz w:val="36"/>
          <w:szCs w:val="36"/>
        </w:rPr>
        <w:t> </w:t>
      </w:r>
    </w:p>
    <w:p>
      <w:pPr>
        <w:pStyle w:val="25"/>
        <w:widowControl/>
        <w:spacing w:before="100" w:after="100"/>
        <w:ind w:left="100" w:right="100" w:firstLine="0"/>
        <w:jc w:val="center"/>
        <w:rPr>
          <w:rFonts w:ascii="Times New Roman" w:hAnsi="Times New Roman" w:eastAsia="Times New Roman" w:cs="Times New Roman"/>
          <w:kern w:val="0"/>
          <w:sz w:val="24"/>
        </w:rPr>
      </w:pPr>
      <w:r>
        <w:rPr>
          <w:rFonts w:ascii="宋体" w:hAnsi="宋体" w:eastAsia="宋体" w:cs="宋体"/>
          <w:spacing w:val="0"/>
          <w:kern w:val="0"/>
          <w:sz w:val="36"/>
          <w:szCs w:val="36"/>
        </w:rPr>
        <w:t>    </w:t>
      </w:r>
    </w:p>
    <w:p>
      <w:pPr>
        <w:pStyle w:val="25"/>
        <w:widowControl/>
        <w:spacing w:before="100" w:after="100"/>
        <w:ind w:left="100" w:right="100" w:firstLine="0"/>
        <w:jc w:val="center"/>
        <w:rPr>
          <w:rFonts w:ascii="Times New Roman" w:hAnsi="Times New Roman" w:eastAsia="Times New Roman" w:cs="Times New Roman"/>
          <w:kern w:val="0"/>
          <w:sz w:val="24"/>
        </w:rPr>
      </w:pPr>
      <w:r>
        <w:rPr>
          <w:rFonts w:ascii="宋体" w:hAnsi="宋体" w:eastAsia="宋体" w:cs="宋体"/>
          <w:spacing w:val="0"/>
          <w:kern w:val="0"/>
          <w:sz w:val="36"/>
          <w:szCs w:val="36"/>
        </w:rPr>
        <w:t> </w:t>
      </w:r>
    </w:p>
    <w:p>
      <w:pPr>
        <w:pStyle w:val="25"/>
        <w:widowControl/>
        <w:spacing w:before="100" w:after="100"/>
        <w:ind w:left="100" w:right="100" w:firstLine="0"/>
        <w:jc w:val="center"/>
        <w:rPr>
          <w:rFonts w:ascii="Times New Roman" w:hAnsi="Times New Roman" w:eastAsia="Times New Roman" w:cs="Times New Roman"/>
          <w:kern w:val="0"/>
          <w:sz w:val="24"/>
        </w:rPr>
      </w:pPr>
      <w:r>
        <w:rPr>
          <w:rFonts w:ascii="宋体" w:hAnsi="宋体" w:eastAsia="宋体" w:cs="宋体"/>
          <w:spacing w:val="0"/>
          <w:kern w:val="0"/>
          <w:sz w:val="36"/>
          <w:szCs w:val="36"/>
        </w:rPr>
        <w:t>  </w:t>
      </w:r>
    </w:p>
    <w:p>
      <w:pPr>
        <w:pStyle w:val="25"/>
        <w:widowControl/>
        <w:spacing w:before="100" w:after="100"/>
        <w:ind w:left="100" w:right="100" w:firstLine="0"/>
        <w:jc w:val="center"/>
        <w:rPr>
          <w:rFonts w:ascii="Times New Roman" w:hAnsi="Times New Roman" w:eastAsia="Times New Roman" w:cs="Times New Roman"/>
          <w:kern w:val="0"/>
          <w:sz w:val="24"/>
        </w:rPr>
      </w:pPr>
      <w:r>
        <w:rPr>
          <w:rFonts w:ascii="宋体" w:hAnsi="宋体" w:eastAsia="宋体" w:cs="宋体"/>
          <w:spacing w:val="0"/>
          <w:kern w:val="0"/>
          <w:sz w:val="36"/>
          <w:szCs w:val="36"/>
        </w:rPr>
        <w:t>  </w:t>
      </w:r>
    </w:p>
    <w:p>
      <w:pPr>
        <w:pStyle w:val="3"/>
        <w:spacing w:before="100" w:after="100" w:line="240" w:lineRule="auto"/>
        <w:ind w:left="100" w:right="100" w:firstLine="0" w:firstLineChars="0"/>
        <w:jc w:val="center"/>
        <w:rPr>
          <w:rFonts w:ascii="Times New Roman" w:hAnsi="Times New Roman" w:eastAsia="Times New Roman" w:cs="Times New Roman"/>
          <w:b/>
          <w:bCs/>
          <w:kern w:val="0"/>
          <w:sz w:val="36"/>
          <w:szCs w:val="36"/>
        </w:rPr>
      </w:pPr>
      <w:bookmarkStart w:id="15" w:name="_Toc256000068"/>
      <w:r>
        <w:rPr>
          <w:rFonts w:ascii="黑体" w:hAnsi="黑体" w:eastAsia="黑体" w:cs="黑体"/>
          <w:b w:val="0"/>
          <w:bCs w:val="0"/>
          <w:spacing w:val="0"/>
          <w:sz w:val="56"/>
          <w:szCs w:val="56"/>
        </w:rPr>
        <w:t>第三部分</w:t>
      </w:r>
      <w:r>
        <w:rPr>
          <w:rFonts w:ascii="黑体" w:hAnsi="黑体" w:eastAsia="黑体" w:cs="黑体"/>
          <w:b w:val="0"/>
          <w:bCs w:val="0"/>
          <w:spacing w:val="0"/>
          <w:sz w:val="56"/>
          <w:szCs w:val="56"/>
        </w:rPr>
        <w:br/>
      </w:r>
      <w:r>
        <w:rPr>
          <w:rFonts w:ascii="黑体" w:hAnsi="黑体" w:eastAsia="黑体" w:cs="黑体"/>
          <w:b w:val="0"/>
          <w:bCs w:val="0"/>
          <w:spacing w:val="0"/>
          <w:sz w:val="56"/>
          <w:szCs w:val="56"/>
        </w:rPr>
        <w:t>2025年度部门决算情况说明</w:t>
      </w:r>
      <w:bookmarkEnd w:id="15"/>
    </w:p>
    <w:p>
      <w:pPr>
        <w:widowControl/>
        <w:spacing w:before="240" w:after="240"/>
        <w:jc w:val="left"/>
        <w:rPr>
          <w:rFonts w:ascii="Times New Roman" w:hAnsi="Times New Roman" w:eastAsia="Times New Roman" w:cs="Times New Roman"/>
          <w:kern w:val="0"/>
          <w:sz w:val="24"/>
        </w:rPr>
      </w:pPr>
    </w:p>
    <w:p>
      <w:pPr>
        <w:sectPr>
          <w:footerReference r:id="rId18" w:type="default"/>
          <w:pgSz w:w="11906" w:h="16838"/>
          <w:pgMar w:top="1440" w:right="720" w:bottom="1440" w:left="720" w:header="720" w:footer="720" w:gutter="0"/>
          <w:cols w:space="720" w:num="1"/>
        </w:sectPr>
      </w:pPr>
    </w:p>
    <w:p>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page break</w:t>
      </w:r>
    </w:p>
    <w:p>
      <w:pPr>
        <w:widowControl/>
        <w:spacing w:before="240" w:after="240"/>
        <w:jc w:val="left"/>
        <w:rPr>
          <w:rFonts w:ascii="Times New Roman" w:hAnsi="Times New Roman" w:eastAsia="Times New Roman" w:cs="Times New Roman"/>
          <w:kern w:val="0"/>
          <w:sz w:val="24"/>
        </w:rPr>
      </w:pPr>
    </w:p>
    <w:p>
      <w:pPr>
        <w:pStyle w:val="5"/>
        <w:spacing w:before="100" w:after="100" w:line="240" w:lineRule="auto"/>
        <w:ind w:left="100" w:right="100" w:firstLine="640" w:firstLineChars="0"/>
        <w:rPr>
          <w:rFonts w:ascii="Times New Roman" w:hAnsi="Times New Roman" w:eastAsia="Times New Roman" w:cs="Times New Roman"/>
          <w:b/>
          <w:bCs/>
          <w:kern w:val="0"/>
          <w:sz w:val="28"/>
          <w:szCs w:val="28"/>
        </w:rPr>
      </w:pPr>
      <w:bookmarkStart w:id="16" w:name="_Toc256000069"/>
      <w:r>
        <w:rPr>
          <w:rFonts w:ascii="黑体" w:hAnsi="黑体" w:eastAsia="黑体" w:cs="黑体"/>
          <w:b w:val="0"/>
          <w:bCs w:val="0"/>
          <w:spacing w:val="0"/>
        </w:rPr>
        <w:t>一、收入支出决算总体情况说明</w:t>
      </w:r>
      <w:bookmarkEnd w:id="16"/>
      <w:r>
        <w:rPr>
          <w:rFonts w:ascii="黑体" w:hAnsi="黑体" w:eastAsia="黑体" w:cs="黑体"/>
          <w:b w:val="0"/>
          <w:bCs w:val="0"/>
          <w:spacing w:val="0"/>
        </w:rPr>
        <w:t> </w:t>
      </w:r>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r>
        <w:rPr>
          <w:rFonts w:ascii="楷体_GB2312" w:hAnsi="楷体_GB2312" w:eastAsia="楷体_GB2312" w:cs="楷体_GB2312"/>
          <w:b/>
          <w:bCs/>
          <w:spacing w:val="0"/>
          <w:kern w:val="0"/>
          <w:sz w:val="32"/>
          <w:szCs w:val="32"/>
        </w:rPr>
        <w:t>（一）收入支出决算总体情况说明</w:t>
      </w:r>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2025年度本部门收入总计1645.90万元，支出总计1645.90万元，与上年决算数相比，各增加112.54万元，增长7.34%。主要是</w:t>
      </w:r>
      <w:r>
        <w:rPr>
          <w:rFonts w:hint="eastAsia" w:ascii="FangSong_GB2312" w:hAnsi="FangSong_GB2312" w:eastAsia="FangSong_GB2312" w:cs="FangSong_GB2312"/>
          <w:spacing w:val="0"/>
          <w:kern w:val="0"/>
          <w:sz w:val="32"/>
          <w:szCs w:val="32"/>
          <w:lang w:eastAsia="zh-CN"/>
        </w:rPr>
        <w:t>基础工资调整及补发上一年度第四季度绩效。</w:t>
      </w:r>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r>
        <w:rPr>
          <w:rFonts w:ascii="楷体_GB2312" w:hAnsi="楷体_GB2312" w:eastAsia="楷体_GB2312" w:cs="楷体_GB2312"/>
          <w:b/>
          <w:bCs/>
          <w:spacing w:val="0"/>
          <w:kern w:val="0"/>
          <w:sz w:val="32"/>
          <w:szCs w:val="32"/>
        </w:rPr>
        <w:t>（二）收入决算情况说明</w:t>
      </w:r>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2025年度收入1645.48万元，比上年决算数增加112.12万元，增长7.31%，具体情况如下：</w:t>
      </w:r>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1.一般公共预算财政拨款收入1645.48万元。</w:t>
      </w:r>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2.政府性基金预算财政拨款收入0万元。</w:t>
      </w:r>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3.国有资本经营预算财政拨款收入0万元。</w:t>
      </w:r>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4.上级补助收入0万元。</w:t>
      </w:r>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5.事业收入0万元。</w:t>
      </w:r>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6.经营收入0万元。</w:t>
      </w:r>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7.附属单位上缴收入0万元。</w:t>
      </w:r>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8.其他收入0万元。</w:t>
      </w:r>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r>
        <w:rPr>
          <w:rFonts w:ascii="楷体_GB2312" w:hAnsi="楷体_GB2312" w:eastAsia="楷体_GB2312" w:cs="楷体_GB2312"/>
          <w:b/>
          <w:bCs/>
          <w:spacing w:val="0"/>
          <w:kern w:val="0"/>
          <w:sz w:val="32"/>
          <w:szCs w:val="32"/>
        </w:rPr>
        <w:t>（三）支出决算情况说明</w:t>
      </w:r>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2025年度支出1645.90万元，比上年决算数增加112.54万元，增长7.34%，具体情况如下：</w:t>
      </w:r>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1.基本支出1528.23万元。其中，人员支出1492.97万元，公用支出35.26万元。</w:t>
      </w:r>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2.项目支出117.66万元。</w:t>
      </w:r>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3.上缴上级支出0万元。</w:t>
      </w:r>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4.经营支出0万元。</w:t>
      </w:r>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5.对附属单位补助支出0万元。</w:t>
      </w:r>
    </w:p>
    <w:p>
      <w:pPr>
        <w:pStyle w:val="5"/>
        <w:spacing w:before="100" w:after="100" w:line="240" w:lineRule="auto"/>
        <w:ind w:left="100" w:right="100" w:firstLine="640" w:firstLineChars="0"/>
        <w:rPr>
          <w:rFonts w:ascii="Times New Roman" w:hAnsi="Times New Roman" w:eastAsia="Times New Roman" w:cs="Times New Roman"/>
          <w:b/>
          <w:bCs/>
          <w:kern w:val="0"/>
          <w:sz w:val="28"/>
          <w:szCs w:val="28"/>
        </w:rPr>
      </w:pPr>
      <w:bookmarkStart w:id="17" w:name="_Toc256000070"/>
      <w:r>
        <w:rPr>
          <w:rFonts w:ascii="黑体" w:hAnsi="黑体" w:eastAsia="黑体" w:cs="黑体"/>
          <w:b w:val="0"/>
          <w:bCs w:val="0"/>
          <w:spacing w:val="0"/>
        </w:rPr>
        <w:t>二、财政拨款收入支出决算总体情况说明</w:t>
      </w:r>
      <w:bookmarkEnd w:id="17"/>
      <w:r>
        <w:rPr>
          <w:rFonts w:ascii="黑体" w:hAnsi="黑体" w:eastAsia="黑体" w:cs="黑体"/>
          <w:b w:val="0"/>
          <w:bCs w:val="0"/>
          <w:spacing w:val="0"/>
        </w:rPr>
        <w:t> </w:t>
      </w:r>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2025年度财政拨款收入总计1645.90万元，支出总计 1645.90万元，与上年决算数相比，各增加123.87万元，增长8.14%，主要是</w:t>
      </w:r>
      <w:r>
        <w:rPr>
          <w:rFonts w:hint="eastAsia" w:ascii="FangSong_GB2312" w:hAnsi="FangSong_GB2312" w:eastAsia="FangSong_GB2312" w:cs="FangSong_GB2312"/>
          <w:spacing w:val="0"/>
          <w:kern w:val="0"/>
          <w:sz w:val="32"/>
          <w:szCs w:val="32"/>
          <w:lang w:eastAsia="zh-CN"/>
        </w:rPr>
        <w:t>基础工资调整及补发上一年度第四季度绩效。</w:t>
      </w:r>
    </w:p>
    <w:p>
      <w:pPr>
        <w:pStyle w:val="5"/>
        <w:spacing w:before="100" w:after="100" w:line="560" w:lineRule="atLeast"/>
        <w:ind w:left="100" w:right="100" w:firstLine="640" w:firstLineChars="0"/>
        <w:rPr>
          <w:rFonts w:ascii="Times New Roman" w:hAnsi="Times New Roman" w:eastAsia="Times New Roman" w:cs="Times New Roman"/>
          <w:b/>
          <w:bCs/>
          <w:kern w:val="0"/>
          <w:sz w:val="28"/>
          <w:szCs w:val="28"/>
        </w:rPr>
      </w:pPr>
      <w:bookmarkStart w:id="18" w:name="_Toc256000071"/>
      <w:r>
        <w:rPr>
          <w:rFonts w:ascii="黑体" w:hAnsi="黑体" w:eastAsia="黑体" w:cs="黑体"/>
          <w:b w:val="0"/>
          <w:bCs w:val="0"/>
          <w:spacing w:val="0"/>
        </w:rPr>
        <w:t>三、一般公共预算财政拨款支出决算情况说明</w:t>
      </w:r>
      <w:bookmarkEnd w:id="18"/>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2025年度一般公共预算财政拨款支出1645.90万元，比上年决算数增加123.87万元，增长8.14%，具体情况如下(按项级科目分类统计)：</w:t>
      </w:r>
    </w:p>
    <w:p>
      <w:pPr>
        <w:pStyle w:val="24"/>
        <w:widowControl/>
        <w:spacing w:before="100" w:after="100" w:line="560" w:lineRule="atLeast"/>
        <w:ind w:left="100" w:right="100" w:firstLine="0"/>
        <w:jc w:val="left"/>
        <w:rPr>
          <w:rFonts w:hint="eastAsia" w:ascii="FangSong_GB2312" w:hAnsi="FangSong_GB2312" w:eastAsia="FangSong_GB2312" w:cs="FangSong_GB2312"/>
          <w:spacing w:val="0"/>
          <w:kern w:val="0"/>
          <w:sz w:val="32"/>
          <w:szCs w:val="32"/>
          <w:lang w:eastAsia="zh-CN"/>
        </w:rPr>
      </w:pPr>
      <w:r>
        <w:rPr>
          <w:rFonts w:ascii="FangSong_GB2312" w:hAnsi="FangSong_GB2312" w:eastAsia="FangSong_GB2312" w:cs="FangSong_GB2312"/>
          <w:spacing w:val="0"/>
          <w:kern w:val="0"/>
          <w:sz w:val="32"/>
          <w:szCs w:val="32"/>
        </w:rPr>
        <w:t>  （一）2010301 行政运行 408.60万元，较上年决算数增加93.48万元，增长29.66%。</w:t>
      </w:r>
      <w:r>
        <w:rPr>
          <w:rFonts w:hint="eastAsia" w:ascii="FangSong_GB2312" w:hAnsi="FangSong_GB2312" w:eastAsia="FangSong_GB2312" w:cs="FangSong_GB2312"/>
          <w:spacing w:val="0"/>
          <w:kern w:val="0"/>
          <w:sz w:val="32"/>
          <w:szCs w:val="32"/>
          <w:lang w:eastAsia="zh-CN"/>
        </w:rPr>
        <w:t>主</w:t>
      </w:r>
      <w:r>
        <w:rPr>
          <w:rFonts w:hint="eastAsia" w:ascii="FangSong_GB2312" w:hAnsi="FangSong_GB2312" w:eastAsia="FangSong_GB2312" w:cs="FangSong_GB2312"/>
          <w:spacing w:val="0"/>
          <w:kern w:val="0"/>
          <w:sz w:val="32"/>
          <w:szCs w:val="32"/>
        </w:rPr>
        <w:t>要原因是</w:t>
      </w:r>
      <w:r>
        <w:rPr>
          <w:rFonts w:hint="eastAsia" w:ascii="FangSong_GB2312" w:hAnsi="FangSong_GB2312" w:eastAsia="FangSong_GB2312" w:cs="FangSong_GB2312"/>
          <w:spacing w:val="0"/>
          <w:kern w:val="0"/>
          <w:sz w:val="32"/>
          <w:szCs w:val="32"/>
          <w:lang w:eastAsia="zh-CN"/>
        </w:rPr>
        <w:t>调整基本工资及办公费用增加。</w:t>
      </w:r>
    </w:p>
    <w:p>
      <w:pPr>
        <w:pStyle w:val="24"/>
        <w:widowControl/>
        <w:spacing w:before="100" w:after="100" w:line="560" w:lineRule="atLeast"/>
        <w:ind w:left="100" w:right="100" w:firstLine="0"/>
        <w:jc w:val="left"/>
        <w:rPr>
          <w:rFonts w:hint="eastAsia" w:ascii="FangSong_GB2312" w:hAnsi="FangSong_GB2312" w:eastAsia="FangSong_GB2312" w:cs="FangSong_GB2312"/>
          <w:spacing w:val="0"/>
          <w:kern w:val="0"/>
          <w:sz w:val="32"/>
          <w:szCs w:val="32"/>
        </w:rPr>
      </w:pPr>
      <w:r>
        <w:rPr>
          <w:rFonts w:ascii="FangSong_GB2312" w:hAnsi="FangSong_GB2312" w:eastAsia="FangSong_GB2312" w:cs="FangSong_GB2312"/>
          <w:spacing w:val="0"/>
          <w:kern w:val="0"/>
          <w:sz w:val="32"/>
          <w:szCs w:val="32"/>
        </w:rPr>
        <w:t>  （二）2070109 群众文化 1.63万元，较上年决算数减少1.37万元，下降45.62%。</w:t>
      </w:r>
      <w:r>
        <w:rPr>
          <w:rFonts w:hint="eastAsia" w:ascii="FangSong_GB2312" w:hAnsi="FangSong_GB2312" w:eastAsia="FangSong_GB2312" w:cs="FangSong_GB2312"/>
          <w:spacing w:val="0"/>
          <w:kern w:val="0"/>
          <w:sz w:val="32"/>
          <w:szCs w:val="32"/>
          <w:lang w:eastAsia="zh-CN"/>
        </w:rPr>
        <w:t>主</w:t>
      </w:r>
      <w:r>
        <w:rPr>
          <w:rFonts w:hint="eastAsia" w:ascii="FangSong_GB2312" w:hAnsi="FangSong_GB2312" w:eastAsia="FangSong_GB2312" w:cs="FangSong_GB2312"/>
          <w:spacing w:val="0"/>
          <w:kern w:val="0"/>
          <w:sz w:val="32"/>
          <w:szCs w:val="32"/>
        </w:rPr>
        <w:t>要原因是</w:t>
      </w:r>
      <w:r>
        <w:rPr>
          <w:rFonts w:ascii="FangSong_GB2312" w:hAnsi="FangSong_GB2312" w:eastAsia="FangSong_GB2312" w:cs="FangSong_GB2312"/>
          <w:spacing w:val="0"/>
          <w:kern w:val="0"/>
          <w:sz w:val="32"/>
          <w:szCs w:val="32"/>
          <w:lang w:val="en-US" w:eastAsia="zh-CN"/>
        </w:rPr>
        <w:t>中央支持地方公共文化服务体系建设补助资金</w:t>
      </w:r>
      <w:r>
        <w:rPr>
          <w:rFonts w:hint="eastAsia" w:ascii="FangSong_GB2312" w:hAnsi="FangSong_GB2312" w:eastAsia="FangSong_GB2312" w:cs="FangSong_GB2312"/>
          <w:spacing w:val="0"/>
          <w:kern w:val="0"/>
          <w:sz w:val="32"/>
          <w:szCs w:val="32"/>
          <w:lang w:val="en-US" w:eastAsia="zh-CN"/>
        </w:rPr>
        <w:t>支出。</w:t>
      </w:r>
      <w:r>
        <w:rPr>
          <w:rFonts w:ascii="FangSong_GB2312" w:hAnsi="FangSong_GB2312" w:eastAsia="FangSong_GB2312" w:cs="FangSong_GB2312"/>
          <w:spacing w:val="0"/>
          <w:kern w:val="0"/>
          <w:sz w:val="32"/>
          <w:szCs w:val="32"/>
        </w:rPr>
        <w:br/>
      </w:r>
      <w:r>
        <w:rPr>
          <w:rFonts w:ascii="FangSong_GB2312" w:hAnsi="FangSong_GB2312" w:eastAsia="FangSong_GB2312" w:cs="FangSong_GB2312"/>
          <w:spacing w:val="0"/>
          <w:kern w:val="0"/>
          <w:sz w:val="32"/>
          <w:szCs w:val="32"/>
        </w:rPr>
        <w:t>  （三）2070204 文物</w:t>
      </w:r>
      <w:r>
        <w:rPr>
          <w:rFonts w:hint="eastAsia" w:ascii="FangSong_GB2312" w:hAnsi="FangSong_GB2312" w:eastAsia="FangSong_GB2312" w:cs="FangSong_GB2312"/>
          <w:spacing w:val="0"/>
          <w:kern w:val="0"/>
          <w:sz w:val="32"/>
          <w:szCs w:val="32"/>
          <w:lang w:eastAsia="zh-CN"/>
        </w:rPr>
        <w:t>保护 12.40万元，较上年决算数增加3.83万元，增长44.74%。主要原因是</w:t>
      </w:r>
      <w:r>
        <w:rPr>
          <w:rFonts w:hint="eastAsia" w:ascii="FangSong_GB2312" w:hAnsi="FangSong_GB2312" w:eastAsia="FangSong_GB2312" w:cs="FangSong_GB2312"/>
          <w:spacing w:val="0"/>
          <w:kern w:val="0"/>
          <w:sz w:val="32"/>
          <w:szCs w:val="32"/>
          <w:lang w:val="en-US" w:eastAsia="zh-CN"/>
        </w:rPr>
        <w:t>2025年全省文物建筑大排查大整治补助项目（电气线路改造及消防设施提升）支出。</w:t>
      </w:r>
      <w:r>
        <w:rPr>
          <w:rFonts w:hint="eastAsia" w:ascii="FangSong_GB2312" w:hAnsi="FangSong_GB2312" w:eastAsia="FangSong_GB2312" w:cs="FangSong_GB2312"/>
          <w:spacing w:val="0"/>
          <w:kern w:val="0"/>
          <w:sz w:val="32"/>
          <w:szCs w:val="32"/>
          <w:lang w:eastAsia="zh-CN"/>
        </w:rPr>
        <w:br/>
      </w:r>
      <w:r>
        <w:rPr>
          <w:rFonts w:hint="eastAsia" w:ascii="FangSong_GB2312" w:hAnsi="FangSong_GB2312" w:eastAsia="FangSong_GB2312" w:cs="FangSong_GB2312"/>
          <w:spacing w:val="0"/>
          <w:kern w:val="0"/>
          <w:sz w:val="32"/>
          <w:szCs w:val="32"/>
          <w:lang w:eastAsia="zh-CN"/>
        </w:rPr>
        <w:t>  （四）2080506 机关事业单位</w:t>
      </w:r>
      <w:r>
        <w:rPr>
          <w:rFonts w:ascii="FangSong_GB2312" w:hAnsi="FangSong_GB2312" w:eastAsia="FangSong_GB2312" w:cs="FangSong_GB2312"/>
          <w:spacing w:val="0"/>
          <w:kern w:val="0"/>
          <w:sz w:val="32"/>
          <w:szCs w:val="32"/>
        </w:rPr>
        <w:t>职业年金缴费支出 20.33万元，较上年决算数增加9.41万元，增长86.19%。</w:t>
      </w:r>
      <w:r>
        <w:rPr>
          <w:rFonts w:hint="eastAsia" w:ascii="FangSong_GB2312" w:hAnsi="FangSong_GB2312" w:eastAsia="FangSong_GB2312" w:cs="FangSong_GB2312"/>
          <w:spacing w:val="0"/>
          <w:kern w:val="0"/>
          <w:sz w:val="32"/>
          <w:szCs w:val="32"/>
        </w:rPr>
        <w:t>主要原因是是</w:t>
      </w:r>
      <w:r>
        <w:rPr>
          <w:rFonts w:hint="eastAsia" w:ascii="FangSong_GB2312" w:hAnsi="FangSong_GB2312" w:eastAsia="FangSong_GB2312" w:cs="FangSong_GB2312"/>
          <w:spacing w:val="0"/>
          <w:kern w:val="0"/>
          <w:sz w:val="32"/>
          <w:szCs w:val="32"/>
          <w:lang w:eastAsia="zh-CN"/>
        </w:rPr>
        <w:t>单位有退休人员职业年金纪实</w:t>
      </w:r>
      <w:r>
        <w:rPr>
          <w:rFonts w:hint="eastAsia" w:ascii="FangSong_GB2312" w:hAnsi="FangSong_GB2312" w:eastAsia="FangSong_GB2312" w:cs="FangSong_GB2312"/>
          <w:spacing w:val="0"/>
          <w:kern w:val="0"/>
          <w:sz w:val="32"/>
          <w:szCs w:val="32"/>
        </w:rPr>
        <w:t>。</w:t>
      </w:r>
    </w:p>
    <w:p>
      <w:pPr>
        <w:pStyle w:val="24"/>
        <w:widowControl/>
        <w:spacing w:before="100" w:after="100" w:line="560" w:lineRule="atLeast"/>
        <w:ind w:left="100" w:right="100" w:firstLine="0"/>
        <w:jc w:val="left"/>
        <w:rPr>
          <w:rFonts w:hint="eastAsia" w:ascii="FangSong_GB2312" w:hAnsi="FangSong_GB2312" w:eastAsia="FangSong_GB2312" w:cs="FangSong_GB2312"/>
          <w:spacing w:val="0"/>
          <w:kern w:val="0"/>
          <w:sz w:val="32"/>
          <w:szCs w:val="32"/>
          <w:lang w:val="en-US" w:eastAsia="zh-CN"/>
        </w:rPr>
      </w:pPr>
      <w:r>
        <w:rPr>
          <w:rFonts w:ascii="FangSong_GB2312" w:hAnsi="FangSong_GB2312" w:eastAsia="FangSong_GB2312" w:cs="FangSong_GB2312"/>
          <w:spacing w:val="0"/>
          <w:kern w:val="0"/>
          <w:sz w:val="32"/>
          <w:szCs w:val="32"/>
        </w:rPr>
        <w:t>  （五）2100408 基本公共</w:t>
      </w:r>
      <w:r>
        <w:rPr>
          <w:rFonts w:hint="eastAsia" w:ascii="FangSong_GB2312" w:hAnsi="FangSong_GB2312" w:eastAsia="FangSong_GB2312" w:cs="FangSong_GB2312"/>
          <w:spacing w:val="0"/>
          <w:kern w:val="0"/>
          <w:sz w:val="32"/>
          <w:szCs w:val="32"/>
          <w:lang w:val="en-US" w:eastAsia="zh-CN"/>
        </w:rPr>
        <w:t>卫生服务 4.20万元，较上年决算数增加4.20万元。主要原因是2024年优化生育政策服务项目补助支出。</w:t>
      </w:r>
    </w:p>
    <w:p>
      <w:pPr>
        <w:pStyle w:val="24"/>
        <w:widowControl/>
        <w:spacing w:before="100" w:after="100" w:line="560" w:lineRule="atLeast"/>
        <w:ind w:left="100" w:right="100" w:firstLine="0"/>
        <w:jc w:val="left"/>
        <w:rPr>
          <w:rFonts w:hint="eastAsia" w:ascii="FangSong_GB2312" w:hAnsi="FangSong_GB2312" w:eastAsia="FangSong_GB2312" w:cs="FangSong_GB2312"/>
          <w:spacing w:val="0"/>
          <w:kern w:val="0"/>
          <w:sz w:val="32"/>
          <w:szCs w:val="32"/>
          <w:lang w:val="en-US" w:eastAsia="zh-CN"/>
        </w:rPr>
      </w:pPr>
      <w:r>
        <w:rPr>
          <w:rFonts w:hint="eastAsia" w:ascii="FangSong_GB2312" w:hAnsi="FangSong_GB2312" w:eastAsia="FangSong_GB2312" w:cs="FangSong_GB2312"/>
          <w:spacing w:val="0"/>
          <w:kern w:val="0"/>
          <w:sz w:val="32"/>
          <w:szCs w:val="32"/>
          <w:lang w:val="en-US" w:eastAsia="zh-CN"/>
        </w:rPr>
        <w:t>  （六）2110302 水体 51.20万元，较上年决算数减少16.50万元，下降24.38%。主要原因是福建省漳平市长北坑水库水环境综合治理工程支出。</w:t>
      </w:r>
      <w:r>
        <w:rPr>
          <w:rFonts w:hint="eastAsia" w:ascii="FangSong_GB2312" w:hAnsi="FangSong_GB2312" w:eastAsia="FangSong_GB2312" w:cs="FangSong_GB2312"/>
          <w:spacing w:val="0"/>
          <w:kern w:val="0"/>
          <w:sz w:val="32"/>
          <w:szCs w:val="32"/>
          <w:lang w:val="en-US" w:eastAsia="zh-CN"/>
        </w:rPr>
        <w:br/>
      </w:r>
      <w:r>
        <w:rPr>
          <w:rFonts w:hint="eastAsia" w:ascii="FangSong_GB2312" w:hAnsi="FangSong_GB2312" w:eastAsia="FangSong_GB2312" w:cs="FangSong_GB2312"/>
          <w:spacing w:val="0"/>
          <w:kern w:val="0"/>
          <w:sz w:val="32"/>
          <w:szCs w:val="32"/>
          <w:lang w:val="en-US" w:eastAsia="zh-CN"/>
        </w:rPr>
        <w:t>  （七）2130199 其他农业农村支出 0.22万元，较上年决算数增加0.22万元。主要原因是2025年农村公路龙岩市级养护资金支出。</w:t>
      </w:r>
      <w:r>
        <w:rPr>
          <w:rFonts w:hint="eastAsia" w:ascii="FangSong_GB2312" w:hAnsi="FangSong_GB2312" w:eastAsia="FangSong_GB2312" w:cs="FangSong_GB2312"/>
          <w:spacing w:val="0"/>
          <w:kern w:val="0"/>
          <w:sz w:val="32"/>
          <w:szCs w:val="32"/>
          <w:lang w:val="en-US" w:eastAsia="zh-CN"/>
        </w:rPr>
        <w:br/>
      </w:r>
      <w:r>
        <w:rPr>
          <w:rFonts w:hint="eastAsia" w:ascii="FangSong_GB2312" w:hAnsi="FangSong_GB2312" w:eastAsia="FangSong_GB2312" w:cs="FangSong_GB2312"/>
          <w:spacing w:val="0"/>
          <w:kern w:val="0"/>
          <w:sz w:val="32"/>
          <w:szCs w:val="32"/>
          <w:lang w:val="en-US" w:eastAsia="zh-CN"/>
        </w:rPr>
        <w:t>  （八）2130209 森林生态效益补偿 10.52万元，较上年决算数增加10.52万元。主要原因是2025年省级财政森林生态效益补偿支出。</w:t>
      </w:r>
    </w:p>
    <w:p>
      <w:pPr>
        <w:pStyle w:val="24"/>
        <w:widowControl/>
        <w:spacing w:before="100" w:after="100" w:line="560" w:lineRule="atLeast"/>
        <w:ind w:left="100" w:right="100" w:firstLine="0"/>
        <w:jc w:val="left"/>
        <w:rPr>
          <w:rFonts w:hint="eastAsia" w:ascii="FangSong_GB2312" w:hAnsi="FangSong_GB2312" w:eastAsia="FangSong_GB2312" w:cs="FangSong_GB2312"/>
          <w:spacing w:val="0"/>
          <w:kern w:val="0"/>
          <w:sz w:val="32"/>
          <w:szCs w:val="32"/>
          <w:lang w:eastAsia="zh-CN"/>
        </w:rPr>
      </w:pPr>
      <w:r>
        <w:rPr>
          <w:rFonts w:hint="eastAsia" w:ascii="FangSong_GB2312" w:hAnsi="FangSong_GB2312" w:eastAsia="FangSong_GB2312" w:cs="FangSong_GB2312"/>
          <w:spacing w:val="0"/>
          <w:kern w:val="0"/>
          <w:sz w:val="32"/>
          <w:szCs w:val="32"/>
          <w:lang w:val="en-US" w:eastAsia="zh-CN"/>
        </w:rPr>
        <w:t>  （九）2130299 其他林业和草原支出 6.50万元，较上年决算数增加6.50万元。主要原因是2024年中央林业改革发展资金（市县部分）有害生物防治项目支出。</w:t>
      </w:r>
      <w:r>
        <w:rPr>
          <w:rFonts w:hint="eastAsia" w:ascii="FangSong_GB2312" w:hAnsi="FangSong_GB2312" w:eastAsia="FangSong_GB2312" w:cs="FangSong_GB2312"/>
          <w:spacing w:val="0"/>
          <w:kern w:val="0"/>
          <w:sz w:val="32"/>
          <w:szCs w:val="32"/>
          <w:lang w:val="en-US" w:eastAsia="zh-CN"/>
        </w:rPr>
        <w:br/>
      </w:r>
      <w:r>
        <w:rPr>
          <w:rFonts w:hint="eastAsia" w:ascii="FangSong_GB2312" w:hAnsi="FangSong_GB2312" w:eastAsia="FangSong_GB2312" w:cs="FangSong_GB2312"/>
          <w:spacing w:val="0"/>
          <w:kern w:val="0"/>
          <w:sz w:val="32"/>
          <w:szCs w:val="32"/>
          <w:lang w:val="en-US" w:eastAsia="zh-CN"/>
        </w:rPr>
        <w:t>  （十）2130599 其他巩固脱贫攻坚成果衔接乡村振兴支出 2.22万元，较上年决算数减少0.28万元，下降11.13%。主要原因是2024年乡村振兴大专项（涉农项目整合）协理员资金支出。</w:t>
      </w:r>
      <w:r>
        <w:rPr>
          <w:rFonts w:hint="eastAsia" w:ascii="FangSong_GB2312" w:hAnsi="FangSong_GB2312" w:eastAsia="FangSong_GB2312" w:cs="FangSong_GB2312"/>
          <w:spacing w:val="0"/>
          <w:kern w:val="0"/>
          <w:sz w:val="32"/>
          <w:szCs w:val="32"/>
          <w:lang w:val="en-US" w:eastAsia="zh-CN"/>
        </w:rPr>
        <w:br/>
      </w:r>
      <w:r>
        <w:rPr>
          <w:rFonts w:hint="eastAsia" w:ascii="FangSong_GB2312" w:hAnsi="FangSong_GB2312" w:eastAsia="FangSong_GB2312" w:cs="FangSong_GB2312"/>
          <w:spacing w:val="0"/>
          <w:kern w:val="0"/>
          <w:sz w:val="32"/>
          <w:szCs w:val="32"/>
          <w:lang w:val="en-US" w:eastAsia="zh-CN"/>
        </w:rPr>
        <w:t>  （十一）2130705 对村民委员会和村党支部的补助 586.70万元，较上年决算数增加46.17万元，增长8.54%。主要原因是对村民委员会和村党支部的补助支出。</w:t>
      </w:r>
      <w:r>
        <w:rPr>
          <w:rFonts w:hint="eastAsia" w:ascii="FangSong_GB2312" w:hAnsi="FangSong_GB2312" w:eastAsia="FangSong_GB2312" w:cs="FangSong_GB2312"/>
          <w:spacing w:val="0"/>
          <w:kern w:val="0"/>
          <w:sz w:val="32"/>
          <w:szCs w:val="32"/>
          <w:lang w:val="en-US" w:eastAsia="zh-CN"/>
        </w:rPr>
        <w:br/>
      </w:r>
      <w:r>
        <w:rPr>
          <w:rFonts w:hint="eastAsia" w:ascii="FangSong_GB2312" w:hAnsi="FangSong_GB2312" w:eastAsia="FangSong_GB2312" w:cs="FangSong_GB2312"/>
          <w:spacing w:val="0"/>
          <w:kern w:val="0"/>
          <w:sz w:val="32"/>
          <w:szCs w:val="32"/>
          <w:lang w:val="en-US" w:eastAsia="zh-CN"/>
        </w:rPr>
        <w:t>  （十二）2160299 其他商业流通事务支出 14.00万元，较上年决算数增加14.00万元。主要原因是2024年度省级商务发展专项资金（市场建设与城市商贸流通方向）支出。</w:t>
      </w:r>
      <w:r>
        <w:rPr>
          <w:rFonts w:hint="eastAsia" w:ascii="FangSong_GB2312" w:hAnsi="FangSong_GB2312" w:eastAsia="FangSong_GB2312" w:cs="FangSong_GB2312"/>
          <w:spacing w:val="0"/>
          <w:kern w:val="0"/>
          <w:sz w:val="32"/>
          <w:szCs w:val="32"/>
          <w:lang w:val="en-US" w:eastAsia="zh-CN"/>
        </w:rPr>
        <w:br/>
      </w:r>
      <w:r>
        <w:rPr>
          <w:rFonts w:hint="eastAsia" w:ascii="FangSong_GB2312" w:hAnsi="FangSong_GB2312" w:eastAsia="FangSong_GB2312" w:cs="FangSong_GB2312"/>
          <w:spacing w:val="0"/>
          <w:kern w:val="0"/>
          <w:sz w:val="32"/>
          <w:szCs w:val="32"/>
          <w:lang w:val="en-US" w:eastAsia="zh-CN"/>
        </w:rPr>
        <w:t>  （十三）2210201 住房公积金 49.66万元，较上年决算数增加7.15万元，增长16.83%。</w:t>
      </w:r>
      <w:r>
        <w:rPr>
          <w:rFonts w:hint="eastAsia" w:ascii="FangSong_GB2312" w:hAnsi="FangSong_GB2312" w:eastAsia="FangSong_GB2312" w:cs="FangSong_GB2312"/>
          <w:spacing w:val="0"/>
          <w:kern w:val="0"/>
          <w:sz w:val="32"/>
          <w:szCs w:val="32"/>
        </w:rPr>
        <w:t>主要原因是</w:t>
      </w:r>
      <w:r>
        <w:rPr>
          <w:rFonts w:hint="eastAsia" w:ascii="FangSong_GB2312" w:hAnsi="FangSong_GB2312" w:eastAsia="FangSong_GB2312" w:cs="FangSong_GB2312"/>
          <w:spacing w:val="0"/>
          <w:kern w:val="0"/>
          <w:sz w:val="32"/>
          <w:szCs w:val="32"/>
          <w:lang w:eastAsia="zh-CN"/>
        </w:rPr>
        <w:t>人员工资缴交公积金基数增加。</w:t>
      </w:r>
    </w:p>
    <w:p>
      <w:pPr>
        <w:pStyle w:val="24"/>
        <w:widowControl/>
        <w:spacing w:before="100" w:after="100" w:line="560" w:lineRule="atLeast"/>
        <w:ind w:left="100" w:right="100" w:firstLine="0"/>
        <w:jc w:val="left"/>
        <w:rPr>
          <w:rFonts w:hint="eastAsia" w:ascii="FangSong_GB2312" w:hAnsi="FangSong_GB2312" w:eastAsia="FangSong_GB2312" w:cs="FangSong_GB2312"/>
          <w:spacing w:val="0"/>
          <w:kern w:val="0"/>
          <w:sz w:val="32"/>
          <w:szCs w:val="32"/>
          <w:lang w:val="en-US" w:eastAsia="zh-CN"/>
        </w:rPr>
      </w:pPr>
      <w:r>
        <w:rPr>
          <w:rFonts w:hint="eastAsia" w:ascii="FangSong_GB2312" w:hAnsi="FangSong_GB2312" w:eastAsia="FangSong_GB2312" w:cs="FangSong_GB2312"/>
          <w:spacing w:val="0"/>
          <w:kern w:val="0"/>
          <w:sz w:val="32"/>
          <w:szCs w:val="32"/>
          <w:lang w:val="en-US" w:eastAsia="zh-CN"/>
        </w:rPr>
        <w:t>  （十四）2299999 其他支出 15.00万元，较上年决算数增加15.00万元。主要原因是2024年基层综治维稳工作补助经费支出。</w:t>
      </w:r>
    </w:p>
    <w:p>
      <w:pPr>
        <w:pStyle w:val="24"/>
        <w:widowControl/>
        <w:spacing w:before="100" w:after="100" w:line="560" w:lineRule="atLeast"/>
        <w:ind w:left="100" w:right="100" w:firstLine="0"/>
        <w:jc w:val="left"/>
        <w:rPr>
          <w:rFonts w:ascii="Times New Roman" w:hAnsi="Times New Roman" w:eastAsia="Times New Roman" w:cs="Times New Roman"/>
          <w:kern w:val="0"/>
          <w:sz w:val="24"/>
        </w:rPr>
      </w:pPr>
      <w:r>
        <w:rPr>
          <w:rFonts w:hint="eastAsia" w:ascii="FangSong_GB2312" w:hAnsi="FangSong_GB2312" w:eastAsia="FangSong_GB2312" w:cs="FangSong_GB2312"/>
          <w:spacing w:val="0"/>
          <w:kern w:val="0"/>
          <w:sz w:val="32"/>
          <w:szCs w:val="32"/>
          <w:lang w:val="en-US" w:eastAsia="zh-CN"/>
        </w:rPr>
        <w:t xml:space="preserve">   </w:t>
      </w:r>
      <w:r>
        <w:rPr>
          <w:rFonts w:ascii="FangSong_GB2312" w:hAnsi="FangSong_GB2312" w:eastAsia="FangSong_GB2312" w:cs="FangSong_GB2312"/>
          <w:spacing w:val="0"/>
          <w:kern w:val="0"/>
          <w:sz w:val="32"/>
          <w:szCs w:val="32"/>
        </w:rPr>
        <w:t>（</w:t>
      </w:r>
      <w:r>
        <w:rPr>
          <w:rFonts w:hint="eastAsia" w:ascii="FangSong_GB2312" w:hAnsi="FangSong_GB2312" w:eastAsia="FangSong_GB2312" w:cs="FangSong_GB2312"/>
          <w:spacing w:val="0"/>
          <w:kern w:val="0"/>
          <w:sz w:val="32"/>
          <w:szCs w:val="32"/>
          <w:lang w:eastAsia="zh-CN"/>
        </w:rPr>
        <w:t>十五</w:t>
      </w:r>
      <w:r>
        <w:rPr>
          <w:rFonts w:ascii="FangSong_GB2312" w:hAnsi="FangSong_GB2312" w:eastAsia="FangSong_GB2312" w:cs="FangSong_GB2312"/>
          <w:spacing w:val="0"/>
          <w:kern w:val="0"/>
          <w:sz w:val="32"/>
          <w:szCs w:val="32"/>
        </w:rPr>
        <w:t xml:space="preserve">）2130104 事业运行 </w:t>
      </w:r>
      <w:r>
        <w:rPr>
          <w:rFonts w:hint="eastAsia" w:ascii="FangSong_GB2312" w:hAnsi="FangSong_GB2312" w:eastAsia="FangSong_GB2312" w:cs="FangSong_GB2312"/>
          <w:spacing w:val="0"/>
          <w:kern w:val="0"/>
          <w:sz w:val="32"/>
          <w:szCs w:val="32"/>
        </w:rPr>
        <w:t>462.73</w:t>
      </w:r>
      <w:r>
        <w:rPr>
          <w:rFonts w:ascii="FangSong_GB2312" w:hAnsi="FangSong_GB2312" w:eastAsia="FangSong_GB2312" w:cs="FangSong_GB2312"/>
          <w:spacing w:val="0"/>
          <w:kern w:val="0"/>
          <w:sz w:val="32"/>
          <w:szCs w:val="32"/>
        </w:rPr>
        <w:t>万元，较上年决算数增加</w:t>
      </w:r>
      <w:r>
        <w:rPr>
          <w:rFonts w:hint="eastAsia" w:ascii="FangSong_GB2312" w:hAnsi="FangSong_GB2312" w:eastAsia="FangSong_GB2312" w:cs="FangSong_GB2312"/>
          <w:spacing w:val="0"/>
          <w:kern w:val="0"/>
          <w:sz w:val="32"/>
          <w:szCs w:val="32"/>
          <w:lang w:val="en-US" w:eastAsia="zh-CN"/>
        </w:rPr>
        <w:t>78.9</w:t>
      </w:r>
      <w:r>
        <w:rPr>
          <w:rFonts w:ascii="FangSong_GB2312" w:hAnsi="FangSong_GB2312" w:eastAsia="FangSong_GB2312" w:cs="FangSong_GB2312"/>
          <w:spacing w:val="0"/>
          <w:kern w:val="0"/>
          <w:sz w:val="32"/>
          <w:szCs w:val="32"/>
        </w:rPr>
        <w:t>万元，增长</w:t>
      </w:r>
      <w:r>
        <w:rPr>
          <w:rFonts w:hint="eastAsia" w:ascii="FangSong_GB2312" w:hAnsi="FangSong_GB2312" w:eastAsia="FangSong_GB2312" w:cs="FangSong_GB2312"/>
          <w:spacing w:val="0"/>
          <w:kern w:val="0"/>
          <w:sz w:val="32"/>
          <w:szCs w:val="32"/>
          <w:lang w:val="en-US" w:eastAsia="zh-CN"/>
        </w:rPr>
        <w:t>20.56</w:t>
      </w:r>
      <w:r>
        <w:rPr>
          <w:rFonts w:ascii="FangSong_GB2312" w:hAnsi="FangSong_GB2312" w:eastAsia="FangSong_GB2312" w:cs="FangSong_GB2312"/>
          <w:spacing w:val="0"/>
          <w:kern w:val="0"/>
          <w:sz w:val="32"/>
          <w:szCs w:val="32"/>
        </w:rPr>
        <w:t>%。主要原因是</w:t>
      </w:r>
      <w:r>
        <w:rPr>
          <w:rFonts w:hint="eastAsia" w:ascii="FangSong_GB2312" w:hAnsi="FangSong_GB2312" w:eastAsia="FangSong_GB2312" w:cs="FangSong_GB2312"/>
          <w:spacing w:val="0"/>
          <w:kern w:val="0"/>
          <w:sz w:val="32"/>
          <w:szCs w:val="32"/>
          <w:lang w:eastAsia="zh-CN"/>
        </w:rPr>
        <w:t>基础工资调整及补发上一年度第四季度绩效。</w:t>
      </w:r>
    </w:p>
    <w:p>
      <w:pPr>
        <w:pStyle w:val="5"/>
        <w:spacing w:before="100" w:after="100" w:line="560" w:lineRule="atLeast"/>
        <w:ind w:left="100" w:right="100" w:firstLine="640" w:firstLineChars="0"/>
        <w:rPr>
          <w:rFonts w:ascii="Times New Roman" w:hAnsi="Times New Roman" w:eastAsia="Times New Roman" w:cs="Times New Roman"/>
          <w:b/>
          <w:bCs/>
          <w:kern w:val="0"/>
          <w:sz w:val="28"/>
          <w:szCs w:val="28"/>
        </w:rPr>
      </w:pPr>
      <w:bookmarkStart w:id="19" w:name="_Toc256000072"/>
      <w:r>
        <w:rPr>
          <w:rFonts w:ascii="黑体" w:hAnsi="黑体" w:eastAsia="黑体" w:cs="黑体"/>
          <w:b w:val="0"/>
          <w:bCs w:val="0"/>
          <w:spacing w:val="0"/>
        </w:rPr>
        <w:t>四、政府性基金预算财政拨款支出决算情况说明</w:t>
      </w:r>
      <w:bookmarkEnd w:id="19"/>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本部门2025年度没有使用政府性基金预算财政拨款安排的支出。</w:t>
      </w:r>
    </w:p>
    <w:p>
      <w:pPr>
        <w:pStyle w:val="5"/>
        <w:spacing w:before="100" w:after="100" w:line="560" w:lineRule="atLeast"/>
        <w:ind w:left="100" w:right="100" w:firstLine="640" w:firstLineChars="0"/>
        <w:rPr>
          <w:rFonts w:ascii="Times New Roman" w:hAnsi="Times New Roman" w:eastAsia="Times New Roman" w:cs="Times New Roman"/>
          <w:b/>
          <w:bCs/>
          <w:kern w:val="0"/>
          <w:sz w:val="28"/>
          <w:szCs w:val="28"/>
        </w:rPr>
      </w:pPr>
      <w:bookmarkStart w:id="20" w:name="_Toc256000073"/>
      <w:r>
        <w:rPr>
          <w:rFonts w:ascii="黑体" w:hAnsi="黑体" w:eastAsia="黑体" w:cs="黑体"/>
          <w:b w:val="0"/>
          <w:bCs w:val="0"/>
          <w:spacing w:val="0"/>
        </w:rPr>
        <w:t>五、国有资本经营预算财政拨款支出决算情况说明</w:t>
      </w:r>
      <w:bookmarkEnd w:id="20"/>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本部门2025年度没有使用国有资本经营预算财政拨款安排的支出。</w:t>
      </w:r>
    </w:p>
    <w:p>
      <w:pPr>
        <w:pStyle w:val="5"/>
        <w:spacing w:before="100" w:after="100" w:line="560" w:lineRule="atLeast"/>
        <w:ind w:left="100" w:right="100" w:firstLine="640" w:firstLineChars="0"/>
        <w:rPr>
          <w:rFonts w:ascii="Times New Roman" w:hAnsi="Times New Roman" w:eastAsia="Times New Roman" w:cs="Times New Roman"/>
          <w:b/>
          <w:bCs/>
          <w:kern w:val="0"/>
          <w:sz w:val="28"/>
          <w:szCs w:val="28"/>
        </w:rPr>
      </w:pPr>
      <w:bookmarkStart w:id="21" w:name="_Toc256000074"/>
      <w:r>
        <w:rPr>
          <w:rFonts w:ascii="黑体" w:hAnsi="黑体" w:eastAsia="黑体" w:cs="黑体"/>
          <w:b w:val="0"/>
          <w:bCs w:val="0"/>
          <w:spacing w:val="0"/>
        </w:rPr>
        <w:t>六、一般公共预算财政拨款基本支出决算情况说明</w:t>
      </w:r>
      <w:bookmarkEnd w:id="21"/>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2025年度一般公共预算财政拨款基本支出1528.23万元，其中：</w:t>
      </w:r>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（一）人员经费1492.97万元，主要包括：</w:t>
      </w:r>
      <w:r>
        <w:rPr>
          <w:rFonts w:ascii="FangSong_GB2312" w:hAnsi="FangSong_GB2312" w:eastAsia="FangSong_GB2312" w:cs="FangSong_GB2312"/>
          <w:kern w:val="0"/>
          <w:sz w:val="32"/>
          <w:szCs w:val="32"/>
        </w:rPr>
        <w:t>基本工资、津贴补贴、奖金、绩效工资、机关事业单位基本养老保险缴费、职业年金缴费、职工基本医疗保险缴费、公务员医疗补助缴费、其他社会保障缴费、住房公积金、医疗费、其他工资福利支出、离休费、退休费、抚恤金、生活补助、医疗费补助、奖励金、其他对个人和家庭的补助。</w:t>
      </w:r>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（二）公用经费35.26万元，主要包括：</w:t>
      </w:r>
      <w:r>
        <w:rPr>
          <w:rFonts w:ascii="FangSong_GB2312" w:hAnsi="FangSong_GB2312" w:eastAsia="FangSong_GB2312" w:cs="FangSong_GB2312"/>
          <w:kern w:val="0"/>
          <w:sz w:val="32"/>
          <w:szCs w:val="32"/>
        </w:rPr>
        <w:t>办公费、印刷费、手续费、水费、电费、邮电费、取暖费、物业管理费、差旅费、维修（护）费、租赁费、会议费、培训费、公务接待费、专用材料费、劳务费、委托业务费、工会经费、福利费、公务用车运行维护费、其他交通费用、税金及附加费用、其他商品和服务支出、办公设备购置、专用设备购置、信息网络及软件购置更新、公务用车购置、其他交通工具购置、文物和陈列品购置、无形资产购置、其他资本性支出、赠与。</w:t>
      </w:r>
    </w:p>
    <w:p>
      <w:pPr>
        <w:pStyle w:val="5"/>
        <w:spacing w:before="100" w:after="100" w:line="560" w:lineRule="atLeast"/>
        <w:ind w:left="100" w:right="100" w:firstLine="640" w:firstLineChars="0"/>
        <w:rPr>
          <w:rFonts w:ascii="Times New Roman" w:hAnsi="Times New Roman" w:eastAsia="Times New Roman" w:cs="Times New Roman"/>
          <w:b/>
          <w:bCs/>
          <w:kern w:val="0"/>
          <w:sz w:val="28"/>
          <w:szCs w:val="28"/>
        </w:rPr>
      </w:pPr>
      <w:bookmarkStart w:id="22" w:name="_Toc256000075"/>
      <w:r>
        <w:rPr>
          <w:rFonts w:ascii="黑体" w:hAnsi="黑体" w:eastAsia="黑体" w:cs="黑体"/>
          <w:b w:val="0"/>
          <w:bCs w:val="0"/>
          <w:spacing w:val="0"/>
        </w:rPr>
        <w:t>七、一般公共预算财政拨款“三公”经费支出决算情况说明</w:t>
      </w:r>
      <w:bookmarkEnd w:id="22"/>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2025年度一般公共预算财政拨款“三公”经费支出8.00万元，完成全年预算的100.00%；与上年决算数持平。主要原因是</w:t>
      </w:r>
      <w:r>
        <w:rPr>
          <w:rFonts w:hint="eastAsia" w:ascii="仿宋" w:hAnsi="仿宋" w:eastAsia="仿宋" w:cs="仿宋_GB2312"/>
          <w:sz w:val="32"/>
          <w:szCs w:val="32"/>
        </w:rPr>
        <w:t>单位接受上级业务检查接待</w:t>
      </w:r>
      <w:r>
        <w:rPr>
          <w:rFonts w:hint="eastAsia" w:ascii="仿宋" w:hAnsi="仿宋" w:eastAsia="仿宋" w:cs="仿宋_GB2312"/>
          <w:sz w:val="32"/>
          <w:szCs w:val="32"/>
          <w:lang w:eastAsia="zh-CN"/>
        </w:rPr>
        <w:t>及公车</w:t>
      </w:r>
      <w:r>
        <w:rPr>
          <w:rFonts w:hint="eastAsia" w:ascii="仿宋" w:hAnsi="仿宋" w:eastAsia="仿宋" w:cs="仿宋_GB2312"/>
          <w:sz w:val="32"/>
          <w:szCs w:val="32"/>
        </w:rPr>
        <w:t>费用</w:t>
      </w:r>
      <w:r>
        <w:rPr>
          <w:rFonts w:hint="eastAsia" w:ascii="仿宋" w:hAnsi="仿宋" w:eastAsia="仿宋" w:cs="仿宋_GB2312"/>
          <w:sz w:val="32"/>
          <w:szCs w:val="32"/>
          <w:lang w:eastAsia="zh-CN"/>
        </w:rPr>
        <w:t>支出</w:t>
      </w:r>
      <w:r>
        <w:rPr>
          <w:rFonts w:ascii="FangSong_GB2312" w:hAnsi="FangSong_GB2312" w:eastAsia="FangSong_GB2312" w:cs="FangSong_GB2312"/>
          <w:kern w:val="0"/>
          <w:sz w:val="32"/>
          <w:szCs w:val="32"/>
        </w:rPr>
        <w:t>。</w:t>
      </w:r>
      <w:r>
        <w:rPr>
          <w:rFonts w:ascii="FangSong_GB2312" w:hAnsi="FangSong_GB2312" w:eastAsia="FangSong_GB2312" w:cs="FangSong_GB2312"/>
          <w:spacing w:val="0"/>
          <w:kern w:val="0"/>
          <w:sz w:val="32"/>
          <w:szCs w:val="32"/>
        </w:rPr>
        <w:t>具体情况如下：</w:t>
      </w:r>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（一）因公出国（境）费用支出 0万元，与全年预算数持平，</w:t>
      </w:r>
      <w:r>
        <w:rPr>
          <w:rFonts w:ascii="FangSong_GB2312" w:hAnsi="FangSong_GB2312" w:eastAsia="FangSong_GB2312" w:cs="FangSong_GB2312"/>
          <w:kern w:val="0"/>
          <w:sz w:val="32"/>
          <w:szCs w:val="32"/>
        </w:rPr>
        <w:t>与上年决算数持平。全年安排本部门组织的出国团组0 个，参加其他部门出国团组个；全年因公出国（境）累计0 人次。</w:t>
      </w:r>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（二）公务用车购置及运行费支出6.00万元，完成全年预算的100.00%；与上年决算数持平。</w:t>
      </w:r>
      <w:r>
        <w:rPr>
          <w:rFonts w:ascii="FangSong_GB2312" w:hAnsi="FangSong_GB2312" w:eastAsia="FangSong_GB2312" w:cs="FangSong_GB2312"/>
          <w:kern w:val="0"/>
          <w:sz w:val="32"/>
          <w:szCs w:val="32"/>
        </w:rPr>
        <w:t>其中：</w:t>
      </w:r>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公务用车购置费支出0万元，与全年预算数持平，</w:t>
      </w:r>
      <w:r>
        <w:rPr>
          <w:rFonts w:ascii="FangSong_GB2312" w:hAnsi="FangSong_GB2312" w:eastAsia="FangSong_GB2312" w:cs="FangSong_GB2312"/>
          <w:kern w:val="0"/>
          <w:sz w:val="32"/>
          <w:szCs w:val="32"/>
        </w:rPr>
        <w:t>与上年决算数持平。2025年公务用车购置0辆。</w:t>
      </w:r>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公务用车运行费支出6.00万元，完成全年预算的100.00%；与上年决算数持平。主要是</w:t>
      </w:r>
      <w:r>
        <w:rPr>
          <w:rFonts w:hint="eastAsia" w:ascii="仿宋" w:hAnsi="仿宋" w:eastAsia="仿宋" w:cs="仿宋_GB2312"/>
          <w:sz w:val="32"/>
          <w:szCs w:val="32"/>
        </w:rPr>
        <w:t>单位</w:t>
      </w:r>
      <w:r>
        <w:rPr>
          <w:rFonts w:hint="eastAsia" w:ascii="仿宋" w:hAnsi="仿宋" w:eastAsia="仿宋" w:cs="仿宋_GB2312"/>
          <w:sz w:val="32"/>
          <w:szCs w:val="32"/>
          <w:lang w:eastAsia="zh-CN"/>
        </w:rPr>
        <w:t>公车</w:t>
      </w:r>
      <w:r>
        <w:rPr>
          <w:rFonts w:hint="eastAsia" w:ascii="仿宋" w:hAnsi="仿宋" w:eastAsia="仿宋" w:cs="仿宋_GB2312"/>
          <w:sz w:val="32"/>
          <w:szCs w:val="32"/>
        </w:rPr>
        <w:t>费用</w:t>
      </w:r>
      <w:r>
        <w:rPr>
          <w:rFonts w:hint="eastAsia" w:ascii="仿宋" w:hAnsi="仿宋" w:eastAsia="仿宋" w:cs="仿宋_GB2312"/>
          <w:sz w:val="32"/>
          <w:szCs w:val="32"/>
          <w:lang w:eastAsia="zh-CN"/>
        </w:rPr>
        <w:t>支出</w:t>
      </w:r>
      <w:r>
        <w:rPr>
          <w:rFonts w:ascii="FangSong_GB2312" w:hAnsi="FangSong_GB2312" w:eastAsia="FangSong_GB2312" w:cs="FangSong_GB2312"/>
          <w:spacing w:val="0"/>
          <w:kern w:val="0"/>
          <w:sz w:val="32"/>
          <w:szCs w:val="32"/>
        </w:rPr>
        <w:t>。截至2025年12月31日，本部门公务用车保有量为2辆。</w:t>
      </w:r>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（三）公务接待费支出2.00万元，完成全年预算的 100.00%；与上年决算数持平。主要是</w:t>
      </w:r>
      <w:r>
        <w:rPr>
          <w:rFonts w:hint="eastAsia" w:ascii="仿宋" w:hAnsi="仿宋" w:eastAsia="仿宋" w:cs="仿宋_GB2312"/>
          <w:sz w:val="32"/>
          <w:szCs w:val="32"/>
        </w:rPr>
        <w:t>单位接受上级业务检查接待</w:t>
      </w:r>
      <w:r>
        <w:rPr>
          <w:rFonts w:hint="eastAsia" w:ascii="仿宋" w:hAnsi="仿宋" w:eastAsia="仿宋" w:cs="仿宋_GB2312"/>
          <w:sz w:val="32"/>
          <w:szCs w:val="32"/>
          <w:lang w:eastAsia="zh-CN"/>
        </w:rPr>
        <w:t>支出。</w:t>
      </w:r>
      <w:r>
        <w:rPr>
          <w:rFonts w:ascii="FangSong_GB2312" w:hAnsi="FangSong_GB2312" w:eastAsia="FangSong_GB2312" w:cs="FangSong_GB2312"/>
          <w:kern w:val="0"/>
          <w:sz w:val="32"/>
          <w:szCs w:val="32"/>
        </w:rPr>
        <w:t>累计接待26.00批次、181.00人次。</w:t>
      </w:r>
    </w:p>
    <w:p>
      <w:pPr>
        <w:pStyle w:val="5"/>
        <w:spacing w:before="100" w:after="100" w:line="560" w:lineRule="atLeast"/>
        <w:ind w:left="100" w:right="100" w:firstLine="640" w:firstLineChars="0"/>
        <w:rPr>
          <w:rFonts w:ascii="Times New Roman" w:hAnsi="Times New Roman" w:eastAsia="Times New Roman" w:cs="Times New Roman"/>
          <w:b/>
          <w:bCs/>
          <w:kern w:val="0"/>
          <w:sz w:val="28"/>
          <w:szCs w:val="28"/>
        </w:rPr>
      </w:pPr>
      <w:bookmarkStart w:id="23" w:name="_Toc256000076"/>
      <w:r>
        <w:rPr>
          <w:rFonts w:ascii="黑体" w:hAnsi="黑体" w:eastAsia="黑体" w:cs="黑体"/>
          <w:b w:val="0"/>
          <w:bCs w:val="0"/>
          <w:spacing w:val="0"/>
        </w:rPr>
        <w:t>八、预算绩效情况说明</w:t>
      </w:r>
      <w:bookmarkEnd w:id="23"/>
    </w:p>
    <w:p>
      <w:pPr>
        <w:tabs>
          <w:tab w:val="left" w:pos="7513"/>
        </w:tabs>
        <w:adjustRightInd w:val="0"/>
        <w:snapToGrid w:val="0"/>
        <w:spacing w:line="560" w:lineRule="exact"/>
        <w:ind w:firstLine="640" w:firstLineChars="200"/>
        <w:rPr>
          <w:rFonts w:eastAsia="Times New Roman"/>
          <w:kern w:val="0"/>
          <w:sz w:val="24"/>
        </w:rPr>
      </w:pPr>
      <w:bookmarkStart w:id="24" w:name="_Toc256000077"/>
      <w:r>
        <w:rPr>
          <w:rFonts w:ascii="FangSong_GB2312" w:hAnsi="FangSong_GB2312" w:eastAsia="FangSong_GB2312" w:cs="FangSong_GB2312"/>
          <w:spacing w:val="0"/>
          <w:kern w:val="0"/>
          <w:sz w:val="32"/>
          <w:szCs w:val="32"/>
        </w:rPr>
        <w:t>2025年度</w:t>
      </w:r>
      <w:r>
        <w:rPr>
          <w:rFonts w:hint="eastAsia" w:ascii="FangSong_GB2312" w:hAnsi="FangSong_GB2312" w:eastAsia="FangSong_GB2312" w:cs="FangSong_GB2312"/>
          <w:spacing w:val="0"/>
          <w:kern w:val="0"/>
          <w:sz w:val="32"/>
          <w:szCs w:val="32"/>
          <w:lang w:val="en-US" w:eastAsia="zh-CN"/>
        </w:rPr>
        <w:t>16</w:t>
      </w:r>
      <w:r>
        <w:rPr>
          <w:rFonts w:ascii="FangSong_GB2312" w:hAnsi="FangSong_GB2312" w:eastAsia="FangSong_GB2312" w:cs="FangSong_GB2312"/>
          <w:spacing w:val="0"/>
          <w:kern w:val="0"/>
          <w:sz w:val="32"/>
          <w:szCs w:val="32"/>
        </w:rPr>
        <w:t>个项目实施单位自评。</w:t>
      </w:r>
      <w:r>
        <w:rPr>
          <w:rFonts w:hint="eastAsia" w:ascii="仿宋" w:hAnsi="仿宋" w:eastAsia="仿宋"/>
          <w:sz w:val="32"/>
          <w:szCs w:val="32"/>
        </w:rPr>
        <w:t>分别是朱阳墓保护修缮工程、林业有害生物防治</w:t>
      </w:r>
      <w:r>
        <w:rPr>
          <w:rFonts w:hint="eastAsia" w:ascii="仿宋" w:hAnsi="仿宋" w:eastAsia="仿宋"/>
          <w:sz w:val="32"/>
          <w:szCs w:val="32"/>
          <w:lang w:eastAsia="zh-CN"/>
        </w:rPr>
        <w:t>及2025年度村级扶贫协理员工资</w:t>
      </w:r>
      <w:r>
        <w:rPr>
          <w:rFonts w:hint="eastAsia" w:ascii="仿宋" w:hAnsi="仿宋" w:eastAsia="仿宋"/>
          <w:sz w:val="32"/>
          <w:szCs w:val="32"/>
        </w:rPr>
        <w:t>等项目，涉及</w:t>
      </w:r>
      <w:r>
        <w:rPr>
          <w:rFonts w:hint="eastAsia" w:ascii="仿宋_GB2312" w:hAnsi="仿宋" w:eastAsia="仿宋_GB2312" w:cs="仿宋_GB2312"/>
          <w:sz w:val="30"/>
          <w:szCs w:val="30"/>
        </w:rPr>
        <w:t>财政拨款资金共计</w:t>
      </w:r>
      <w:r>
        <w:rPr>
          <w:rFonts w:hint="eastAsia" w:ascii="仿宋_GB2312" w:hAnsi="仿宋" w:eastAsia="仿宋_GB2312" w:cs="仿宋_GB2312"/>
          <w:sz w:val="30"/>
          <w:szCs w:val="30"/>
          <w:lang w:val="en-US" w:eastAsia="zh-CN"/>
        </w:rPr>
        <w:t>293.57</w:t>
      </w:r>
      <w:r>
        <w:rPr>
          <w:rFonts w:hint="eastAsia" w:ascii="仿宋_GB2312" w:hAnsi="仿宋" w:eastAsia="仿宋_GB2312" w:cs="仿宋_GB2312"/>
          <w:sz w:val="30"/>
          <w:szCs w:val="30"/>
        </w:rPr>
        <w:t>万元。（《项目支出绩效自评表》详见附件10）</w:t>
      </w:r>
    </w:p>
    <w:p>
      <w:pPr>
        <w:tabs>
          <w:tab w:val="left" w:pos="7513"/>
        </w:tabs>
        <w:adjustRightInd w:val="0"/>
        <w:snapToGrid w:val="0"/>
        <w:spacing w:line="560" w:lineRule="exact"/>
        <w:ind w:firstLine="640" w:firstLineChars="200"/>
        <w:rPr>
          <w:rFonts w:ascii="Times New Roman" w:hAnsi="Times New Roman" w:eastAsia="Times New Roman" w:cs="Times New Roman"/>
          <w:kern w:val="0"/>
          <w:sz w:val="24"/>
        </w:rPr>
      </w:pPr>
      <w:r>
        <w:rPr>
          <w:rFonts w:hint="eastAsia" w:ascii="仿宋" w:hAnsi="仿宋" w:eastAsia="仿宋"/>
          <w:sz w:val="32"/>
          <w:szCs w:val="32"/>
        </w:rPr>
        <w:t>202</w:t>
      </w:r>
      <w:r>
        <w:rPr>
          <w:rFonts w:hint="eastAsia" w:ascii="仿宋" w:hAnsi="仿宋" w:eastAsia="仿宋"/>
          <w:sz w:val="32"/>
          <w:szCs w:val="32"/>
          <w:lang w:val="en-US" w:eastAsia="zh-CN"/>
        </w:rPr>
        <w:t>5</w:t>
      </w:r>
      <w:r>
        <w:rPr>
          <w:rFonts w:hint="eastAsia" w:ascii="仿宋" w:hAnsi="仿宋" w:eastAsia="仿宋"/>
          <w:sz w:val="32"/>
          <w:szCs w:val="32"/>
        </w:rPr>
        <w:t>年度本</w:t>
      </w:r>
      <w:r>
        <w:rPr>
          <w:rFonts w:hint="eastAsia" w:ascii="仿宋" w:hAnsi="仿宋" w:eastAsia="仿宋"/>
          <w:sz w:val="32"/>
          <w:szCs w:val="32"/>
          <w:lang w:eastAsia="zh-CN"/>
        </w:rPr>
        <w:t>部门</w:t>
      </w:r>
      <w:r>
        <w:rPr>
          <w:rFonts w:hint="eastAsia" w:ascii="仿宋" w:hAnsi="仿宋" w:eastAsia="仿宋"/>
          <w:sz w:val="32"/>
          <w:szCs w:val="32"/>
        </w:rPr>
        <w:t>无对项目实施部门评价。</w:t>
      </w:r>
    </w:p>
    <w:p>
      <w:pPr>
        <w:pStyle w:val="5"/>
        <w:spacing w:before="100" w:after="100" w:line="560" w:lineRule="atLeast"/>
        <w:ind w:left="100" w:right="100" w:firstLine="640" w:firstLineChars="0"/>
        <w:rPr>
          <w:rFonts w:ascii="Times New Roman" w:hAnsi="Times New Roman" w:eastAsia="Times New Roman" w:cs="Times New Roman"/>
          <w:b/>
          <w:bCs/>
          <w:kern w:val="0"/>
          <w:sz w:val="28"/>
          <w:szCs w:val="28"/>
        </w:rPr>
      </w:pPr>
      <w:r>
        <w:rPr>
          <w:rFonts w:ascii="黑体" w:hAnsi="黑体" w:eastAsia="黑体" w:cs="黑体"/>
          <w:b w:val="0"/>
          <w:bCs w:val="0"/>
          <w:spacing w:val="0"/>
        </w:rPr>
        <w:t>九、其他重要事项说明</w:t>
      </w:r>
      <w:bookmarkEnd w:id="24"/>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r>
        <w:rPr>
          <w:rFonts w:ascii="楷体_GB2312" w:hAnsi="楷体_GB2312" w:eastAsia="楷体_GB2312" w:cs="楷体_GB2312"/>
          <w:b/>
          <w:bCs/>
          <w:spacing w:val="0"/>
          <w:kern w:val="0"/>
          <w:sz w:val="32"/>
          <w:szCs w:val="32"/>
        </w:rPr>
        <w:t>（一）机关运行经费 </w:t>
      </w:r>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2025年度机关运行经费支出24.34万元，比上年决算数增加5.49万元，增长29.09%，</w:t>
      </w:r>
      <w:r>
        <w:rPr>
          <w:rFonts w:hint="eastAsia" w:ascii="FangSong_GB2312" w:hAnsi="FangSong_GB2312" w:eastAsia="FangSong_GB2312" w:cs="FangSong_GB2312"/>
          <w:spacing w:val="0"/>
          <w:kern w:val="0"/>
          <w:sz w:val="32"/>
          <w:szCs w:val="32"/>
          <w:lang w:eastAsia="zh-CN"/>
        </w:rPr>
        <w:t>本年度单位业务增多，相应办公费用增加。</w:t>
      </w:r>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r>
        <w:rPr>
          <w:rFonts w:ascii="楷体_GB2312" w:hAnsi="楷体_GB2312" w:eastAsia="楷体_GB2312" w:cs="楷体_GB2312"/>
          <w:b/>
          <w:bCs/>
          <w:spacing w:val="0"/>
          <w:kern w:val="0"/>
          <w:sz w:val="32"/>
          <w:szCs w:val="32"/>
        </w:rPr>
        <w:t>（二）政府采购情况</w:t>
      </w:r>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本部门2025年度政府采购支出总额2633.55万元，其中：政府采购货物支出0万元、政府采购工程支出2633.55万元、政府采购服务支出0万元。授予中小企业合同金额2633.55万元，占政府采购支出总额的100.00%，其中：授予小微企业合同金额2633.55万元，占授予中小企业合同金额的100.00%；货物采购授予中小企业合同金额占货物支出金额的</w:t>
      </w:r>
      <w:r>
        <w:rPr>
          <w:rFonts w:hint="eastAsia" w:ascii="FangSong_GB2312" w:hAnsi="FangSong_GB2312" w:eastAsia="FangSong_GB2312" w:cs="FangSong_GB2312"/>
          <w:spacing w:val="0"/>
          <w:kern w:val="0"/>
          <w:sz w:val="32"/>
          <w:szCs w:val="32"/>
          <w:lang w:val="en-US" w:eastAsia="zh-CN"/>
        </w:rPr>
        <w:t>0</w:t>
      </w:r>
      <w:r>
        <w:rPr>
          <w:rFonts w:ascii="FangSong_GB2312" w:hAnsi="FangSong_GB2312" w:eastAsia="FangSong_GB2312" w:cs="FangSong_GB2312"/>
          <w:spacing w:val="0"/>
          <w:kern w:val="0"/>
          <w:sz w:val="32"/>
          <w:szCs w:val="32"/>
        </w:rPr>
        <w:t>%，工程采购授予中小企业合同金额占工程支出金额的</w:t>
      </w:r>
      <w:r>
        <w:rPr>
          <w:rFonts w:hint="eastAsia" w:ascii="FangSong_GB2312" w:hAnsi="FangSong_GB2312" w:eastAsia="FangSong_GB2312" w:cs="FangSong_GB2312"/>
          <w:spacing w:val="0"/>
          <w:kern w:val="0"/>
          <w:sz w:val="32"/>
          <w:szCs w:val="32"/>
          <w:lang w:val="en-US" w:eastAsia="zh-CN"/>
        </w:rPr>
        <w:t>100</w:t>
      </w:r>
      <w:r>
        <w:rPr>
          <w:rFonts w:ascii="FangSong_GB2312" w:hAnsi="FangSong_GB2312" w:eastAsia="FangSong_GB2312" w:cs="FangSong_GB2312"/>
          <w:spacing w:val="0"/>
          <w:kern w:val="0"/>
          <w:sz w:val="32"/>
          <w:szCs w:val="32"/>
        </w:rPr>
        <w:t>%，服务采购授予中小企业合同金额占服务支出金额的</w:t>
      </w:r>
      <w:r>
        <w:rPr>
          <w:rFonts w:hint="eastAsia" w:ascii="FangSong_GB2312" w:hAnsi="FangSong_GB2312" w:eastAsia="FangSong_GB2312" w:cs="FangSong_GB2312"/>
          <w:spacing w:val="0"/>
          <w:kern w:val="0"/>
          <w:sz w:val="32"/>
          <w:szCs w:val="32"/>
          <w:lang w:val="en-US" w:eastAsia="zh-CN"/>
        </w:rPr>
        <w:t>0</w:t>
      </w:r>
      <w:r>
        <w:rPr>
          <w:rFonts w:ascii="FangSong_GB2312" w:hAnsi="FangSong_GB2312" w:eastAsia="FangSong_GB2312" w:cs="FangSong_GB2312"/>
          <w:spacing w:val="0"/>
          <w:kern w:val="0"/>
          <w:sz w:val="32"/>
          <w:szCs w:val="32"/>
        </w:rPr>
        <w:t>%。</w:t>
      </w:r>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r>
        <w:rPr>
          <w:rFonts w:ascii="楷体_GB2312" w:hAnsi="楷体_GB2312" w:eastAsia="楷体_GB2312" w:cs="楷体_GB2312"/>
          <w:b/>
          <w:bCs/>
          <w:spacing w:val="0"/>
          <w:kern w:val="0"/>
          <w:sz w:val="32"/>
          <w:szCs w:val="32"/>
        </w:rPr>
        <w:t>（三）国有资产占用使用情况 </w:t>
      </w:r>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截至2025年12月31日，本部门共有车辆2 辆，其中：副部（省）级以上领导用车0辆、主要负责人用车0辆、机要通信用车0辆、应急保障用车0辆、执法执勤用车0辆、特种专业技术用车0辆、离退休干部服务用车0辆、其他用车2辆，其他用车主要是；单价100万元（含）以上设备（不含车辆）0台（套）。 </w:t>
      </w:r>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p>
    <w:p>
      <w:pPr>
        <w:sectPr>
          <w:footerReference r:id="rId19" w:type="default"/>
          <w:pgSz w:w="11906" w:h="16838"/>
          <w:pgMar w:top="1440" w:right="720" w:bottom="1440" w:left="720" w:header="720" w:footer="720" w:gutter="0"/>
          <w:cols w:space="720" w:num="1"/>
        </w:sectPr>
      </w:pPr>
    </w:p>
    <w:p>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page break</w:t>
      </w:r>
    </w:p>
    <w:p>
      <w:pPr>
        <w:pStyle w:val="5"/>
        <w:spacing w:before="100" w:after="100" w:line="240" w:lineRule="auto"/>
        <w:ind w:left="100" w:right="100" w:firstLine="640" w:firstLineChars="0"/>
        <w:rPr>
          <w:rFonts w:ascii="Times New Roman" w:hAnsi="Times New Roman" w:eastAsia="Times New Roman" w:cs="Times New Roman"/>
          <w:b/>
          <w:bCs/>
          <w:kern w:val="0"/>
          <w:sz w:val="28"/>
          <w:szCs w:val="28"/>
        </w:rPr>
      </w:pPr>
      <w:r>
        <w:rPr>
          <w:rFonts w:ascii="Times New Roman" w:hAnsi="Times New Roman" w:eastAsia="Times New Roman" w:cs="Times New Roman"/>
          <w:b/>
          <w:spacing w:val="0"/>
          <w:sz w:val="56"/>
          <w:szCs w:val="56"/>
        </w:rPr>
        <w:t> </w:t>
      </w:r>
    </w:p>
    <w:p>
      <w:pPr>
        <w:widowControl/>
        <w:spacing w:before="240" w:after="240"/>
        <w:jc w:val="left"/>
        <w:rPr>
          <w:rFonts w:ascii="Times New Roman" w:hAnsi="Times New Roman" w:eastAsia="Times New Roman" w:cs="Times New Roman"/>
          <w:kern w:val="0"/>
          <w:sz w:val="24"/>
        </w:rPr>
      </w:pPr>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p>
    <w:p>
      <w:pPr>
        <w:pStyle w:val="3"/>
        <w:spacing w:before="100" w:after="100" w:line="240" w:lineRule="auto"/>
        <w:ind w:left="100" w:right="100" w:firstLine="0" w:firstLineChars="0"/>
        <w:jc w:val="center"/>
        <w:rPr>
          <w:rFonts w:ascii="Times New Roman" w:hAnsi="Times New Roman" w:eastAsia="Times New Roman" w:cs="Times New Roman"/>
          <w:b/>
          <w:bCs/>
          <w:kern w:val="0"/>
          <w:sz w:val="36"/>
          <w:szCs w:val="36"/>
        </w:rPr>
      </w:pPr>
      <w:bookmarkStart w:id="25" w:name="_Toc256000079"/>
      <w:r>
        <w:rPr>
          <w:rFonts w:ascii="黑体" w:hAnsi="黑体" w:eastAsia="黑体" w:cs="黑体"/>
          <w:b w:val="0"/>
          <w:bCs w:val="0"/>
          <w:spacing w:val="0"/>
          <w:sz w:val="56"/>
          <w:szCs w:val="56"/>
        </w:rPr>
        <w:t>第四部分</w:t>
      </w:r>
      <w:r>
        <w:rPr>
          <w:rFonts w:ascii="黑体" w:hAnsi="黑体" w:eastAsia="黑体" w:cs="黑体"/>
          <w:b w:val="0"/>
          <w:bCs w:val="0"/>
          <w:spacing w:val="0"/>
          <w:sz w:val="56"/>
          <w:szCs w:val="56"/>
        </w:rPr>
        <w:br/>
      </w:r>
      <w:r>
        <w:rPr>
          <w:rFonts w:ascii="黑体" w:hAnsi="黑体" w:eastAsia="黑体" w:cs="黑体"/>
          <w:b w:val="0"/>
          <w:bCs w:val="0"/>
          <w:spacing w:val="0"/>
          <w:sz w:val="56"/>
          <w:szCs w:val="56"/>
        </w:rPr>
        <w:t>名词解释</w:t>
      </w:r>
      <w:bookmarkEnd w:id="25"/>
    </w:p>
    <w:p>
      <w:pPr>
        <w:pStyle w:val="24"/>
        <w:widowControl/>
        <w:spacing w:before="100" w:after="100"/>
        <w:ind w:left="100" w:right="100" w:firstLine="0"/>
        <w:jc w:val="center"/>
        <w:rPr>
          <w:rFonts w:ascii="Times New Roman" w:hAnsi="Times New Roman" w:eastAsia="Times New Roman" w:cs="Times New Roman"/>
          <w:kern w:val="0"/>
          <w:sz w:val="24"/>
        </w:rPr>
      </w:pPr>
    </w:p>
    <w:p>
      <w:pPr>
        <w:sectPr>
          <w:footerReference r:id="rId20" w:type="default"/>
          <w:pgSz w:w="11906" w:h="16838"/>
          <w:pgMar w:top="1440" w:right="720" w:bottom="1440" w:left="720" w:header="720" w:footer="720" w:gutter="0"/>
          <w:cols w:space="720" w:num="1"/>
        </w:sectPr>
      </w:pPr>
    </w:p>
    <w:p>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page break</w:t>
      </w:r>
    </w:p>
    <w:p>
      <w:pPr>
        <w:widowControl/>
        <w:spacing w:before="240" w:after="240"/>
        <w:jc w:val="left"/>
        <w:rPr>
          <w:rFonts w:ascii="Times New Roman" w:hAnsi="Times New Roman" w:eastAsia="Times New Roman" w:cs="Times New Roman"/>
          <w:kern w:val="0"/>
          <w:sz w:val="24"/>
        </w:rPr>
      </w:pPr>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r>
        <w:rPr>
          <w:rFonts w:ascii="楷体_GB2312" w:hAnsi="楷体_GB2312" w:eastAsia="楷体_GB2312" w:cs="楷体_GB2312"/>
          <w:b/>
          <w:bCs/>
          <w:spacing w:val="0"/>
          <w:kern w:val="0"/>
          <w:sz w:val="32"/>
          <w:szCs w:val="32"/>
        </w:rPr>
        <w:t>一、财政拨款收入：</w:t>
      </w:r>
      <w:r>
        <w:rPr>
          <w:rFonts w:ascii="FangSong_GB2312" w:hAnsi="FangSong_GB2312" w:eastAsia="FangSong_GB2312" w:cs="FangSong_GB2312"/>
          <w:spacing w:val="0"/>
          <w:kern w:val="0"/>
          <w:sz w:val="32"/>
          <w:szCs w:val="32"/>
        </w:rPr>
        <w:t>指单位从本级财政部门取得的财政预算资金，包括一般公共预算财政拨款、政府性基金预算财政拨款和国有资本经营预算财政拨款。</w:t>
      </w:r>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r>
        <w:rPr>
          <w:rFonts w:ascii="楷体_GB2312" w:hAnsi="楷体_GB2312" w:eastAsia="楷体_GB2312" w:cs="楷体_GB2312"/>
          <w:b/>
          <w:bCs/>
          <w:spacing w:val="0"/>
          <w:kern w:val="0"/>
          <w:sz w:val="32"/>
          <w:szCs w:val="32"/>
        </w:rPr>
        <w:t>二、事业收入：</w:t>
      </w:r>
      <w:r>
        <w:rPr>
          <w:rFonts w:ascii="FangSong_GB2312" w:hAnsi="FangSong_GB2312" w:eastAsia="FangSong_GB2312" w:cs="FangSong_GB2312"/>
          <w:spacing w:val="0"/>
          <w:kern w:val="0"/>
          <w:sz w:val="32"/>
          <w:szCs w:val="32"/>
        </w:rPr>
        <w:t>指事业单位开展专业业务活动及辅助活动所取得的收入。</w:t>
      </w:r>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r>
        <w:rPr>
          <w:rFonts w:ascii="楷体_GB2312" w:hAnsi="楷体_GB2312" w:eastAsia="楷体_GB2312" w:cs="楷体_GB2312"/>
          <w:b/>
          <w:bCs/>
          <w:spacing w:val="0"/>
          <w:kern w:val="0"/>
          <w:sz w:val="32"/>
          <w:szCs w:val="32"/>
        </w:rPr>
        <w:t>三、经营收入：</w:t>
      </w:r>
      <w:r>
        <w:rPr>
          <w:rFonts w:ascii="FangSong_GB2312" w:hAnsi="FangSong_GB2312" w:eastAsia="FangSong_GB2312" w:cs="FangSong_GB2312"/>
          <w:spacing w:val="0"/>
          <w:kern w:val="0"/>
          <w:sz w:val="32"/>
          <w:szCs w:val="32"/>
        </w:rPr>
        <w:t>指事业单位在专业业务活动及其辅助活动之外开展非独立核算经营活动取得的收入。</w:t>
      </w:r>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r>
        <w:rPr>
          <w:rFonts w:ascii="楷体_GB2312" w:hAnsi="楷体_GB2312" w:eastAsia="楷体_GB2312" w:cs="楷体_GB2312"/>
          <w:b/>
          <w:bCs/>
          <w:spacing w:val="0"/>
          <w:kern w:val="0"/>
          <w:sz w:val="32"/>
          <w:szCs w:val="32"/>
        </w:rPr>
        <w:t>四、其他收入：</w:t>
      </w:r>
      <w:r>
        <w:rPr>
          <w:rFonts w:ascii="FangSong_GB2312" w:hAnsi="FangSong_GB2312" w:eastAsia="FangSong_GB2312" w:cs="FangSong_GB2312"/>
          <w:kern w:val="0"/>
          <w:sz w:val="32"/>
          <w:szCs w:val="32"/>
        </w:rPr>
        <w:t>指除上述“财政拨款收入”“事业收入”</w:t>
      </w:r>
      <w:r>
        <w:rPr>
          <w:rFonts w:ascii="FangSong_GB2312" w:hAnsi="FangSong_GB2312" w:eastAsia="FangSong_GB2312" w:cs="FangSong_GB2312"/>
          <w:kern w:val="0"/>
          <w:szCs w:val="21"/>
        </w:rPr>
        <w:t> </w:t>
      </w:r>
      <w:r>
        <w:rPr>
          <w:rFonts w:ascii="FangSong_GB2312" w:hAnsi="FangSong_GB2312" w:eastAsia="FangSong_GB2312" w:cs="FangSong_GB2312"/>
          <w:kern w:val="0"/>
          <w:sz w:val="32"/>
          <w:szCs w:val="32"/>
        </w:rPr>
        <w:t>“上级补助收入”“附属单位上缴收入”“经营收入”等以外取得的各项收入。主要是事业单位固定资产出租收入等。</w:t>
      </w:r>
    </w:p>
    <w:p>
      <w:pPr>
        <w:pStyle w:val="24"/>
        <w:widowControl/>
        <w:spacing w:before="100" w:after="100" w:line="560" w:lineRule="atLeast"/>
        <w:ind w:left="100" w:right="100" w:firstLine="640"/>
        <w:jc w:val="left"/>
        <w:rPr>
          <w:rFonts w:ascii="Times New Roman" w:hAnsi="Times New Roman" w:eastAsia="Times New Roman" w:cs="Times New Roman"/>
          <w:kern w:val="0"/>
          <w:sz w:val="24"/>
        </w:rPr>
      </w:pPr>
      <w:r>
        <w:rPr>
          <w:rFonts w:ascii="楷体_GB2312" w:hAnsi="楷体_GB2312" w:eastAsia="楷体_GB2312" w:cs="楷体_GB2312"/>
          <w:b/>
          <w:bCs/>
          <w:spacing w:val="0"/>
          <w:kern w:val="0"/>
          <w:sz w:val="32"/>
          <w:szCs w:val="32"/>
        </w:rPr>
        <w:t>五、使用非财政拨款结余（含专用结余）</w:t>
      </w:r>
      <w:r>
        <w:rPr>
          <w:rFonts w:ascii="楷体_GB2312" w:hAnsi="楷体_GB2312" w:eastAsia="楷体_GB2312" w:cs="楷体_GB2312"/>
          <w:b/>
          <w:bCs/>
          <w:kern w:val="0"/>
          <w:sz w:val="24"/>
        </w:rPr>
        <w:t>：</w:t>
      </w:r>
      <w:r>
        <w:rPr>
          <w:rFonts w:ascii="FangSong_GB2312" w:hAnsi="FangSong_GB2312" w:eastAsia="FangSong_GB2312" w:cs="FangSong_GB2312"/>
          <w:kern w:val="0"/>
          <w:sz w:val="32"/>
          <w:szCs w:val="32"/>
        </w:rPr>
        <w:t>指事业单位按照预算管理要求使用非财政拨款结余弥补当年收支差额的金额，以及使用专用结余安排支出的金额。</w:t>
      </w:r>
    </w:p>
    <w:p>
      <w:pPr>
        <w:pStyle w:val="24"/>
        <w:widowControl/>
        <w:spacing w:before="240" w:after="100" w:line="560" w:lineRule="atLeast"/>
        <w:ind w:left="100" w:right="100" w:firstLine="640"/>
        <w:jc w:val="left"/>
        <w:rPr>
          <w:rFonts w:ascii="Times New Roman" w:hAnsi="Times New Roman" w:eastAsia="Times New Roman" w:cs="Times New Roman"/>
          <w:kern w:val="0"/>
          <w:sz w:val="24"/>
        </w:rPr>
      </w:pPr>
      <w:r>
        <w:rPr>
          <w:rFonts w:ascii="楷体_GB2312" w:hAnsi="楷体_GB2312" w:eastAsia="楷体_GB2312" w:cs="楷体_GB2312"/>
          <w:b/>
          <w:bCs/>
          <w:spacing w:val="0"/>
          <w:kern w:val="0"/>
          <w:sz w:val="32"/>
          <w:szCs w:val="32"/>
        </w:rPr>
        <w:t>六、年初结转和结余：</w:t>
      </w:r>
      <w:r>
        <w:rPr>
          <w:rFonts w:ascii="FangSong_GB2312" w:hAnsi="FangSong_GB2312" w:eastAsia="FangSong_GB2312" w:cs="FangSong_GB2312"/>
          <w:spacing w:val="0"/>
          <w:kern w:val="0"/>
          <w:sz w:val="32"/>
          <w:szCs w:val="32"/>
        </w:rPr>
        <w:t>指单位以前年度尚未完成、结转到本年仍按原规定用途继续使用的资金，或项目已完成等产生的结余资金。</w:t>
      </w:r>
    </w:p>
    <w:p>
      <w:pPr>
        <w:pStyle w:val="25"/>
        <w:widowControl/>
        <w:spacing w:before="100" w:after="100" w:line="560" w:lineRule="atLeast"/>
        <w:ind w:left="100" w:right="100" w:firstLine="640"/>
        <w:jc w:val="left"/>
        <w:rPr>
          <w:rFonts w:ascii="Times New Roman" w:hAnsi="Times New Roman" w:eastAsia="Times New Roman" w:cs="Times New Roman"/>
          <w:kern w:val="0"/>
          <w:sz w:val="24"/>
        </w:rPr>
      </w:pPr>
      <w:r>
        <w:rPr>
          <w:rFonts w:ascii="楷体_GB2312" w:hAnsi="楷体_GB2312" w:eastAsia="楷体_GB2312" w:cs="楷体_GB2312"/>
          <w:b/>
          <w:bCs/>
          <w:spacing w:val="0"/>
          <w:kern w:val="0"/>
          <w:sz w:val="32"/>
          <w:szCs w:val="32"/>
        </w:rPr>
        <w:t>七、结余分配：</w:t>
      </w:r>
      <w:r>
        <w:rPr>
          <w:rFonts w:ascii="FangSong_GB2312" w:hAnsi="FangSong_GB2312" w:eastAsia="FangSong_GB2312" w:cs="FangSong_GB2312"/>
          <w:spacing w:val="0"/>
          <w:kern w:val="0"/>
          <w:sz w:val="32"/>
          <w:szCs w:val="32"/>
        </w:rPr>
        <w:t>指事业单位按照会计制度规定缴纳的所得税、提取的专用结余以及转入非财政拨款结余的金额等。</w:t>
      </w:r>
    </w:p>
    <w:p>
      <w:pPr>
        <w:pStyle w:val="25"/>
        <w:widowControl/>
        <w:spacing w:before="100" w:after="100" w:line="560" w:lineRule="atLeast"/>
        <w:ind w:left="100" w:right="100" w:firstLine="640"/>
        <w:jc w:val="left"/>
        <w:rPr>
          <w:rFonts w:ascii="Times New Roman" w:hAnsi="Times New Roman" w:eastAsia="Times New Roman" w:cs="Times New Roman"/>
          <w:kern w:val="0"/>
          <w:sz w:val="24"/>
        </w:rPr>
      </w:pPr>
      <w:r>
        <w:rPr>
          <w:rFonts w:ascii="楷体_GB2312" w:hAnsi="楷体_GB2312" w:eastAsia="楷体_GB2312" w:cs="楷体_GB2312"/>
          <w:b/>
          <w:bCs/>
          <w:spacing w:val="0"/>
          <w:kern w:val="0"/>
          <w:sz w:val="32"/>
          <w:szCs w:val="32"/>
        </w:rPr>
        <w:t>八、年末结转和结余：</w:t>
      </w:r>
      <w:r>
        <w:rPr>
          <w:rFonts w:ascii="FangSong_GB2312" w:hAnsi="FangSong_GB2312" w:eastAsia="FangSong_GB2312" w:cs="FangSong_GB2312"/>
          <w:spacing w:val="0"/>
          <w:kern w:val="0"/>
          <w:sz w:val="32"/>
          <w:szCs w:val="32"/>
        </w:rPr>
        <w:t>指单位按有关规定结转到下年或以后年度继续使用的资金，或项目已完成等产生的结余资金。</w:t>
      </w:r>
    </w:p>
    <w:p>
      <w:pPr>
        <w:pStyle w:val="25"/>
        <w:widowControl/>
        <w:spacing w:before="100" w:after="100" w:line="560" w:lineRule="atLeast"/>
        <w:ind w:left="100" w:right="100" w:firstLine="640"/>
        <w:jc w:val="left"/>
        <w:rPr>
          <w:rFonts w:ascii="Times New Roman" w:hAnsi="Times New Roman" w:eastAsia="Times New Roman" w:cs="Times New Roman"/>
          <w:kern w:val="0"/>
          <w:sz w:val="24"/>
        </w:rPr>
      </w:pPr>
      <w:r>
        <w:rPr>
          <w:rFonts w:ascii="楷体_GB2312" w:hAnsi="楷体_GB2312" w:eastAsia="楷体_GB2312" w:cs="楷体_GB2312"/>
          <w:b/>
          <w:bCs/>
          <w:spacing w:val="0"/>
          <w:kern w:val="0"/>
          <w:sz w:val="32"/>
          <w:szCs w:val="32"/>
        </w:rPr>
        <w:t>九、基本支出：</w:t>
      </w:r>
      <w:r>
        <w:rPr>
          <w:rFonts w:ascii="FangSong_GB2312" w:hAnsi="FangSong_GB2312" w:eastAsia="FangSong_GB2312" w:cs="FangSong_GB2312"/>
          <w:spacing w:val="0"/>
          <w:kern w:val="0"/>
          <w:sz w:val="32"/>
          <w:szCs w:val="32"/>
        </w:rPr>
        <w:t>指为保障机构正常运转、完成日常工作任务而发生的人员支出和公用支出。</w:t>
      </w:r>
    </w:p>
    <w:p>
      <w:pPr>
        <w:pStyle w:val="25"/>
        <w:widowControl/>
        <w:spacing w:before="100" w:after="100" w:line="560" w:lineRule="atLeast"/>
        <w:ind w:left="100" w:right="100" w:firstLine="640"/>
        <w:jc w:val="left"/>
        <w:rPr>
          <w:rFonts w:ascii="Times New Roman" w:hAnsi="Times New Roman" w:eastAsia="Times New Roman" w:cs="Times New Roman"/>
          <w:kern w:val="0"/>
          <w:sz w:val="24"/>
        </w:rPr>
      </w:pPr>
      <w:r>
        <w:rPr>
          <w:rFonts w:ascii="楷体_GB2312" w:hAnsi="楷体_GB2312" w:eastAsia="楷体_GB2312" w:cs="楷体_GB2312"/>
          <w:b/>
          <w:bCs/>
          <w:spacing w:val="0"/>
          <w:kern w:val="0"/>
          <w:sz w:val="32"/>
          <w:szCs w:val="32"/>
        </w:rPr>
        <w:t>十、项目支出：</w:t>
      </w:r>
      <w:r>
        <w:rPr>
          <w:rFonts w:ascii="FangSong_GB2312" w:hAnsi="FangSong_GB2312" w:eastAsia="FangSong_GB2312" w:cs="FangSong_GB2312"/>
          <w:spacing w:val="0"/>
          <w:kern w:val="0"/>
          <w:sz w:val="32"/>
          <w:szCs w:val="32"/>
        </w:rPr>
        <w:t>指在基本支出之外为完成特定行政任务和事业发展目标所发生的支出。</w:t>
      </w:r>
    </w:p>
    <w:p>
      <w:pPr>
        <w:pStyle w:val="25"/>
        <w:widowControl/>
        <w:spacing w:before="100" w:after="100" w:line="560" w:lineRule="atLeast"/>
        <w:ind w:left="100" w:right="100" w:firstLine="640"/>
        <w:jc w:val="left"/>
        <w:rPr>
          <w:rFonts w:ascii="Times New Roman" w:hAnsi="Times New Roman" w:eastAsia="Times New Roman" w:cs="Times New Roman"/>
          <w:kern w:val="0"/>
          <w:sz w:val="24"/>
        </w:rPr>
      </w:pPr>
      <w:r>
        <w:rPr>
          <w:rFonts w:ascii="楷体_GB2312" w:hAnsi="楷体_GB2312" w:eastAsia="楷体_GB2312" w:cs="楷体_GB2312"/>
          <w:b/>
          <w:bCs/>
          <w:spacing w:val="0"/>
          <w:kern w:val="0"/>
          <w:sz w:val="32"/>
          <w:szCs w:val="32"/>
        </w:rPr>
        <w:t>十一、经营支出：</w:t>
      </w:r>
      <w:r>
        <w:rPr>
          <w:rFonts w:ascii="FangSong_GB2312" w:hAnsi="FangSong_GB2312" w:eastAsia="FangSong_GB2312" w:cs="FangSong_GB2312"/>
          <w:spacing w:val="0"/>
          <w:kern w:val="0"/>
          <w:sz w:val="32"/>
          <w:szCs w:val="32"/>
        </w:rPr>
        <w:t>指事业单位在专业业务活动及其辅助活动之外开展非独立核算经营活动发生的支出。</w:t>
      </w:r>
    </w:p>
    <w:p>
      <w:pPr>
        <w:pStyle w:val="25"/>
        <w:widowControl/>
        <w:spacing w:before="100" w:after="100" w:line="560" w:lineRule="atLeast"/>
        <w:ind w:left="100" w:right="100" w:firstLine="640"/>
        <w:jc w:val="left"/>
        <w:rPr>
          <w:rFonts w:ascii="Times New Roman" w:hAnsi="Times New Roman" w:eastAsia="Times New Roman" w:cs="Times New Roman"/>
          <w:kern w:val="0"/>
          <w:sz w:val="24"/>
        </w:rPr>
      </w:pPr>
      <w:r>
        <w:rPr>
          <w:rFonts w:ascii="楷体_GB2312" w:hAnsi="楷体_GB2312" w:eastAsia="楷体_GB2312" w:cs="楷体_GB2312"/>
          <w:b/>
          <w:bCs/>
          <w:spacing w:val="0"/>
          <w:kern w:val="0"/>
          <w:sz w:val="32"/>
          <w:szCs w:val="32"/>
        </w:rPr>
        <w:t>十二、“三公”经费：</w:t>
      </w:r>
      <w:r>
        <w:rPr>
          <w:rFonts w:ascii="FangSong_GB2312" w:hAnsi="FangSong_GB2312" w:eastAsia="FangSong_GB2312" w:cs="FangSong_GB2312"/>
          <w:kern w:val="0"/>
          <w:sz w:val="32"/>
          <w:szCs w:val="32"/>
        </w:rPr>
        <w:t>纳入本级财政预决算管理的“三公”经费，是指本级部门用一般公共预算财政拨款安排的因公出国（境）费用、公务用车购置及运行费和公务接待费。其中，因公出国（境）费用反映单位公务出国（境）的国际旅费、国外城市间交通费、住宿费、伙食费、培训费、公杂费等支出；公务用车购置及运行费反映单位公务用车车辆购置支出（含车辆购置税、牌照费）及按规定保留的公务用车燃料费、新能源汽车充电费、维修费、过桥过路费、保险费、安全奖励费用等支出；公务接待费反映单位按规定开支的各类公务接待（含外宾接待）支出。</w:t>
      </w:r>
      <w:r>
        <w:rPr>
          <w:rFonts w:ascii="仿宋" w:hAnsi="仿宋" w:eastAsia="仿宋" w:cs="仿宋"/>
          <w:kern w:val="0"/>
          <w:sz w:val="32"/>
          <w:szCs w:val="32"/>
        </w:rPr>
        <w:t> </w:t>
      </w:r>
    </w:p>
    <w:p>
      <w:pPr>
        <w:pStyle w:val="25"/>
        <w:widowControl/>
        <w:spacing w:before="100" w:after="100" w:line="560" w:lineRule="atLeast"/>
        <w:ind w:left="100" w:right="100" w:firstLine="640"/>
        <w:jc w:val="left"/>
        <w:rPr>
          <w:rFonts w:ascii="Times New Roman" w:hAnsi="Times New Roman" w:eastAsia="Times New Roman" w:cs="Times New Roman"/>
          <w:kern w:val="0"/>
          <w:sz w:val="24"/>
        </w:rPr>
      </w:pPr>
      <w:r>
        <w:rPr>
          <w:rFonts w:ascii="楷体_GB2312" w:hAnsi="楷体_GB2312" w:eastAsia="楷体_GB2312" w:cs="楷体_GB2312"/>
          <w:b/>
          <w:bCs/>
          <w:spacing w:val="0"/>
          <w:kern w:val="0"/>
          <w:sz w:val="32"/>
          <w:szCs w:val="32"/>
        </w:rPr>
        <w:t>十三、机关运行经费：</w:t>
      </w:r>
      <w:r>
        <w:rPr>
          <w:rFonts w:ascii="FangSong_GB2312" w:hAnsi="FangSong_GB2312" w:eastAsia="FangSong_GB2312" w:cs="FangSong_GB2312"/>
          <w:kern w:val="0"/>
          <w:sz w:val="32"/>
          <w:szCs w:val="32"/>
        </w:rPr>
        <w:t>反映行政单位（含参照公务员法管理的事业单位）财政拨款基本支出中的公用经费支出，包括办公及印刷费、邮电费、差旅费、会议费、福利费、日常维修费、专用材料及一般设备购置费、办公用房水电费、办公用房取暖费、办公用房物业管理费、公务用车运行维护费以及其他费用。</w:t>
      </w:r>
    </w:p>
    <w:p>
      <w:pPr>
        <w:pStyle w:val="24"/>
        <w:widowControl/>
        <w:spacing w:before="240" w:after="240"/>
        <w:ind w:firstLine="643"/>
        <w:jc w:val="left"/>
        <w:rPr>
          <w:rFonts w:ascii="Times New Roman" w:hAnsi="Times New Roman" w:eastAsia="Times New Roman" w:cs="Times New Roman"/>
          <w:kern w:val="0"/>
          <w:sz w:val="24"/>
        </w:rPr>
      </w:pPr>
    </w:p>
    <w:p>
      <w:pPr>
        <w:pStyle w:val="24"/>
        <w:widowControl/>
        <w:spacing w:before="100" w:after="100"/>
        <w:ind w:left="100" w:right="100" w:firstLine="640"/>
        <w:jc w:val="left"/>
        <w:rPr>
          <w:rFonts w:ascii="Times New Roman" w:hAnsi="Times New Roman" w:eastAsia="Times New Roman" w:cs="Times New Roman"/>
          <w:kern w:val="0"/>
          <w:sz w:val="24"/>
        </w:rPr>
      </w:pPr>
      <w:r>
        <w:rPr>
          <w:rFonts w:ascii="仿宋" w:hAnsi="仿宋" w:eastAsia="仿宋" w:cs="仿宋"/>
          <w:spacing w:val="0"/>
          <w:kern w:val="0"/>
          <w:sz w:val="32"/>
          <w:szCs w:val="32"/>
        </w:rPr>
        <w:t> </w:t>
      </w:r>
    </w:p>
    <w:p>
      <w:pPr>
        <w:sectPr>
          <w:footerReference r:id="rId21" w:type="default"/>
          <w:pgSz w:w="11906" w:h="16838"/>
          <w:pgMar w:top="1440" w:right="720" w:bottom="1440" w:left="720" w:header="720" w:footer="720" w:gutter="0"/>
          <w:cols w:space="720" w:num="1"/>
        </w:sectPr>
      </w:pPr>
    </w:p>
    <w:p>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page break</w:t>
      </w:r>
    </w:p>
    <w:p>
      <w:pPr>
        <w:widowControl/>
        <w:spacing w:before="240" w:after="240"/>
        <w:jc w:val="left"/>
        <w:rPr>
          <w:rFonts w:ascii="Times New Roman" w:hAnsi="Times New Roman" w:eastAsia="Times New Roman" w:cs="Times New Roman"/>
          <w:kern w:val="0"/>
          <w:sz w:val="24"/>
        </w:rPr>
      </w:pPr>
    </w:p>
    <w:p>
      <w:pPr>
        <w:pStyle w:val="24"/>
        <w:widowControl/>
        <w:spacing w:before="100" w:after="100"/>
        <w:ind w:left="100" w:right="100" w:firstLine="640"/>
        <w:jc w:val="left"/>
        <w:rPr>
          <w:rFonts w:ascii="Times New Roman" w:hAnsi="Times New Roman" w:eastAsia="Times New Roman" w:cs="Times New Roman"/>
          <w:kern w:val="0"/>
          <w:sz w:val="24"/>
        </w:rPr>
      </w:pPr>
    </w:p>
    <w:p>
      <w:pPr>
        <w:pStyle w:val="24"/>
        <w:widowControl/>
        <w:spacing w:before="100" w:after="100"/>
        <w:ind w:left="100" w:right="100" w:firstLine="640"/>
        <w:jc w:val="left"/>
        <w:rPr>
          <w:rFonts w:ascii="Times New Roman" w:hAnsi="Times New Roman" w:eastAsia="Times New Roman" w:cs="Times New Roman"/>
          <w:kern w:val="0"/>
          <w:sz w:val="24"/>
        </w:rPr>
      </w:pPr>
    </w:p>
    <w:p>
      <w:pPr>
        <w:pStyle w:val="24"/>
        <w:widowControl/>
        <w:spacing w:before="100" w:after="100"/>
        <w:ind w:left="100" w:right="100" w:firstLine="640"/>
        <w:jc w:val="left"/>
        <w:rPr>
          <w:rFonts w:ascii="Times New Roman" w:hAnsi="Times New Roman" w:eastAsia="Times New Roman" w:cs="Times New Roman"/>
          <w:kern w:val="0"/>
          <w:sz w:val="24"/>
        </w:rPr>
      </w:pPr>
    </w:p>
    <w:p>
      <w:pPr>
        <w:pStyle w:val="24"/>
        <w:widowControl/>
        <w:spacing w:before="100" w:after="100"/>
        <w:ind w:left="100" w:right="100" w:firstLine="640"/>
        <w:jc w:val="left"/>
        <w:rPr>
          <w:rFonts w:ascii="Times New Roman" w:hAnsi="Times New Roman" w:eastAsia="Times New Roman" w:cs="Times New Roman"/>
          <w:kern w:val="0"/>
          <w:sz w:val="24"/>
        </w:rPr>
      </w:pPr>
    </w:p>
    <w:p>
      <w:pPr>
        <w:pStyle w:val="24"/>
        <w:widowControl/>
        <w:spacing w:before="100" w:after="100"/>
        <w:ind w:left="100" w:right="100" w:firstLine="640"/>
        <w:jc w:val="left"/>
        <w:rPr>
          <w:rFonts w:ascii="Times New Roman" w:hAnsi="Times New Roman" w:eastAsia="Times New Roman" w:cs="Times New Roman"/>
          <w:kern w:val="0"/>
          <w:sz w:val="24"/>
        </w:rPr>
      </w:pPr>
    </w:p>
    <w:p>
      <w:pPr>
        <w:pStyle w:val="24"/>
        <w:widowControl/>
        <w:spacing w:before="100" w:after="100"/>
        <w:ind w:left="100" w:right="100" w:firstLine="640"/>
        <w:jc w:val="left"/>
        <w:rPr>
          <w:rFonts w:ascii="Times New Roman" w:hAnsi="Times New Roman" w:eastAsia="Times New Roman" w:cs="Times New Roman"/>
          <w:kern w:val="0"/>
          <w:sz w:val="24"/>
        </w:rPr>
      </w:pPr>
    </w:p>
    <w:p>
      <w:pPr>
        <w:pStyle w:val="24"/>
        <w:widowControl/>
        <w:spacing w:before="100" w:after="100"/>
        <w:ind w:left="100" w:right="100" w:firstLine="640"/>
        <w:jc w:val="left"/>
        <w:rPr>
          <w:rFonts w:ascii="Times New Roman" w:hAnsi="Times New Roman" w:eastAsia="Times New Roman" w:cs="Times New Roman"/>
          <w:kern w:val="0"/>
          <w:sz w:val="24"/>
        </w:rPr>
      </w:pPr>
    </w:p>
    <w:p>
      <w:pPr>
        <w:pStyle w:val="24"/>
        <w:widowControl/>
        <w:spacing w:before="100" w:after="100"/>
        <w:ind w:left="100" w:right="100" w:firstLine="640"/>
        <w:jc w:val="left"/>
        <w:rPr>
          <w:rFonts w:ascii="Times New Roman" w:hAnsi="Times New Roman" w:eastAsia="Times New Roman" w:cs="Times New Roman"/>
          <w:kern w:val="0"/>
          <w:sz w:val="24"/>
        </w:rPr>
      </w:pPr>
    </w:p>
    <w:p>
      <w:pPr>
        <w:pStyle w:val="24"/>
        <w:widowControl/>
        <w:spacing w:before="100" w:after="100"/>
        <w:ind w:left="100" w:right="100" w:firstLine="640"/>
        <w:jc w:val="left"/>
        <w:rPr>
          <w:rFonts w:ascii="Times New Roman" w:hAnsi="Times New Roman" w:eastAsia="Times New Roman" w:cs="Times New Roman"/>
          <w:kern w:val="0"/>
          <w:sz w:val="24"/>
        </w:rPr>
      </w:pPr>
    </w:p>
    <w:p>
      <w:pPr>
        <w:pStyle w:val="24"/>
        <w:widowControl/>
        <w:spacing w:before="100" w:after="100"/>
        <w:ind w:left="100" w:right="100" w:firstLine="640"/>
        <w:jc w:val="left"/>
        <w:rPr>
          <w:rFonts w:ascii="Times New Roman" w:hAnsi="Times New Roman" w:eastAsia="Times New Roman" w:cs="Times New Roman"/>
          <w:kern w:val="0"/>
          <w:sz w:val="24"/>
        </w:rPr>
      </w:pPr>
    </w:p>
    <w:p>
      <w:pPr>
        <w:pStyle w:val="24"/>
        <w:widowControl/>
        <w:spacing w:before="100" w:after="100"/>
        <w:ind w:left="100" w:right="100" w:firstLine="640"/>
        <w:jc w:val="left"/>
        <w:rPr>
          <w:rFonts w:ascii="Times New Roman" w:hAnsi="Times New Roman" w:eastAsia="Times New Roman" w:cs="Times New Roman"/>
          <w:kern w:val="0"/>
          <w:sz w:val="24"/>
        </w:rPr>
      </w:pPr>
    </w:p>
    <w:p>
      <w:pPr>
        <w:pStyle w:val="24"/>
        <w:widowControl/>
        <w:spacing w:before="100" w:after="100"/>
        <w:ind w:left="100" w:right="100" w:firstLine="640"/>
        <w:jc w:val="left"/>
        <w:rPr>
          <w:rFonts w:ascii="Times New Roman" w:hAnsi="Times New Roman" w:eastAsia="Times New Roman" w:cs="Times New Roman"/>
          <w:kern w:val="0"/>
          <w:sz w:val="24"/>
        </w:rPr>
      </w:pPr>
      <w:r>
        <w:rPr>
          <w:rFonts w:ascii="宋体" w:hAnsi="宋体" w:eastAsia="宋体" w:cs="宋体"/>
          <w:spacing w:val="0"/>
          <w:kern w:val="0"/>
          <w:sz w:val="56"/>
          <w:szCs w:val="56"/>
        </w:rPr>
        <w:t> </w:t>
      </w:r>
    </w:p>
    <w:p>
      <w:pPr>
        <w:pStyle w:val="3"/>
        <w:spacing w:before="100" w:after="100" w:line="240" w:lineRule="auto"/>
        <w:ind w:left="100" w:right="100" w:firstLine="0" w:firstLineChars="0"/>
        <w:jc w:val="center"/>
        <w:rPr>
          <w:rFonts w:ascii="Times New Roman" w:hAnsi="Times New Roman" w:eastAsia="Times New Roman" w:cs="Times New Roman"/>
          <w:b/>
          <w:bCs/>
          <w:kern w:val="0"/>
          <w:sz w:val="36"/>
          <w:szCs w:val="36"/>
        </w:rPr>
      </w:pPr>
      <w:bookmarkStart w:id="26" w:name="_Toc256000080"/>
      <w:r>
        <w:rPr>
          <w:rFonts w:ascii="黑体" w:hAnsi="黑体" w:eastAsia="黑体" w:cs="黑体"/>
          <w:b w:val="0"/>
          <w:bCs w:val="0"/>
          <w:spacing w:val="0"/>
          <w:sz w:val="56"/>
          <w:szCs w:val="56"/>
        </w:rPr>
        <w:t>第五部分</w:t>
      </w:r>
      <w:r>
        <w:rPr>
          <w:rFonts w:ascii="黑体" w:hAnsi="黑体" w:eastAsia="黑体" w:cs="黑体"/>
          <w:b w:val="0"/>
          <w:bCs w:val="0"/>
          <w:spacing w:val="0"/>
          <w:sz w:val="56"/>
          <w:szCs w:val="56"/>
        </w:rPr>
        <w:br/>
      </w:r>
      <w:r>
        <w:rPr>
          <w:rFonts w:ascii="黑体" w:hAnsi="黑体" w:eastAsia="黑体" w:cs="黑体"/>
          <w:b w:val="0"/>
          <w:bCs w:val="0"/>
          <w:spacing w:val="0"/>
          <w:sz w:val="56"/>
          <w:szCs w:val="56"/>
        </w:rPr>
        <w:t>附件</w:t>
      </w:r>
      <w:bookmarkEnd w:id="26"/>
    </w:p>
    <w:p>
      <w:pPr>
        <w:pStyle w:val="24"/>
        <w:widowControl/>
        <w:spacing w:before="100" w:after="100"/>
        <w:ind w:left="100" w:right="100" w:firstLine="0"/>
        <w:jc w:val="center"/>
        <w:rPr>
          <w:rFonts w:ascii="Times New Roman" w:hAnsi="Times New Roman" w:eastAsia="Times New Roman" w:cs="Times New Roman"/>
          <w:kern w:val="0"/>
          <w:sz w:val="24"/>
        </w:rPr>
      </w:pPr>
    </w:p>
    <w:p>
      <w:pPr>
        <w:sectPr>
          <w:footerReference r:id="rId22" w:type="default"/>
          <w:pgSz w:w="11906" w:h="16838"/>
          <w:pgMar w:top="1440" w:right="720" w:bottom="1440" w:left="720" w:header="720" w:footer="720" w:gutter="0"/>
          <w:cols w:space="720" w:num="1"/>
        </w:sectPr>
      </w:pPr>
    </w:p>
    <w:p>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page break</w:t>
      </w:r>
    </w:p>
    <w:p>
      <w:pPr>
        <w:widowControl/>
        <w:spacing w:before="240" w:after="240"/>
        <w:jc w:val="left"/>
        <w:rPr>
          <w:rFonts w:ascii="Times New Roman" w:hAnsi="Times New Roman" w:eastAsia="Times New Roman" w:cs="Times New Roman"/>
          <w:kern w:val="0"/>
          <w:sz w:val="24"/>
        </w:rPr>
      </w:pPr>
    </w:p>
    <w:p>
      <w:pPr>
        <w:pStyle w:val="26"/>
        <w:widowControl/>
        <w:numPr>
          <w:ilvl w:val="0"/>
          <w:numId w:val="1"/>
        </w:numPr>
        <w:spacing w:before="240" w:after="240" w:line="560" w:lineRule="atLeast"/>
        <w:ind w:firstLine="640"/>
        <w:jc w:val="left"/>
        <w:rPr>
          <w:rFonts w:ascii="黑体" w:hAnsi="黑体" w:eastAsia="黑体" w:cs="黑体"/>
          <w:kern w:val="0"/>
          <w:sz w:val="32"/>
          <w:szCs w:val="32"/>
        </w:rPr>
      </w:pPr>
      <w:r>
        <w:rPr>
          <w:rFonts w:ascii="黑体" w:hAnsi="黑体" w:eastAsia="黑体" w:cs="黑体"/>
          <w:kern w:val="0"/>
          <w:sz w:val="32"/>
          <w:szCs w:val="32"/>
        </w:rPr>
        <w:t>《项目支出绩效自评表》</w:t>
      </w:r>
    </w:p>
    <w:tbl>
      <w:tblPr>
        <w:tblW w:w="977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534"/>
        <w:gridCol w:w="525"/>
        <w:gridCol w:w="402"/>
        <w:gridCol w:w="1264"/>
        <w:gridCol w:w="1254"/>
        <w:gridCol w:w="847"/>
        <w:gridCol w:w="1077"/>
        <w:gridCol w:w="1068"/>
        <w:gridCol w:w="623"/>
        <w:gridCol w:w="623"/>
        <w:gridCol w:w="155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450" w:hRule="atLeast"/>
        </w:trPr>
        <w:tc>
          <w:tcPr>
            <w:tcW w:w="977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b/>
                <w:i w:val="0"/>
                <w:color w:val="000000"/>
                <w:sz w:val="36"/>
                <w:szCs w:val="36"/>
                <w:u w:val="none"/>
              </w:rPr>
            </w:pPr>
            <w:r>
              <w:rPr>
                <w:rFonts w:hint="eastAsia" w:ascii="宋体" w:hAnsi="宋体" w:eastAsia="宋体" w:cs="宋体"/>
                <w:b/>
                <w:i w:val="0"/>
                <w:color w:val="000000"/>
                <w:kern w:val="0"/>
                <w:sz w:val="36"/>
                <w:szCs w:val="36"/>
                <w:u w:val="none"/>
                <w:lang w:val="en-US" w:eastAsia="zh-CN" w:bidi="ar-SA"/>
              </w:rPr>
              <w:t>项目支出绩效自评表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977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46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项目名称</w:t>
            </w:r>
          </w:p>
        </w:tc>
        <w:tc>
          <w:tcPr>
            <w:tcW w:w="8309"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2024年度省级商务发展专项资金（市场建设与城市商贸流通方向）（龙财外指〔2025〕23号）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46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主管部门</w:t>
            </w:r>
          </w:p>
        </w:tc>
        <w:tc>
          <w:tcPr>
            <w:tcW w:w="33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漳平市人民政府菁城街道办事处</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实施单位</w:t>
            </w:r>
          </w:p>
        </w:tc>
        <w:tc>
          <w:tcPr>
            <w:tcW w:w="279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漳平市人民政府菁城街道办事处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项目资金(万元)</w:t>
            </w:r>
          </w:p>
        </w:tc>
        <w:tc>
          <w:tcPr>
            <w:tcW w:w="9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26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年初预算数</w:t>
            </w:r>
          </w:p>
        </w:tc>
        <w:tc>
          <w:tcPr>
            <w:tcW w:w="21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全年预算数</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全年执行数</w:t>
            </w:r>
          </w:p>
        </w:tc>
        <w:tc>
          <w:tcPr>
            <w:tcW w:w="106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分值</w:t>
            </w:r>
          </w:p>
        </w:tc>
        <w:tc>
          <w:tcPr>
            <w:tcW w:w="12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执行率</w:t>
            </w: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40"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9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资金总额</w:t>
            </w:r>
          </w:p>
        </w:tc>
        <w:tc>
          <w:tcPr>
            <w:tcW w:w="126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21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10.00</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10.00</w:t>
            </w:r>
          </w:p>
        </w:tc>
        <w:tc>
          <w:tcPr>
            <w:tcW w:w="106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2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100.00</w:t>
            </w: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9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财政资金</w:t>
            </w:r>
          </w:p>
        </w:tc>
        <w:tc>
          <w:tcPr>
            <w:tcW w:w="126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21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10.00</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10.00</w:t>
            </w:r>
          </w:p>
        </w:tc>
        <w:tc>
          <w:tcPr>
            <w:tcW w:w="106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w:t>
            </w:r>
          </w:p>
        </w:tc>
        <w:tc>
          <w:tcPr>
            <w:tcW w:w="12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100.00</w:t>
            </w: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9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其他资金</w:t>
            </w:r>
          </w:p>
        </w:tc>
        <w:tc>
          <w:tcPr>
            <w:tcW w:w="126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21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106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w:t>
            </w:r>
          </w:p>
        </w:tc>
        <w:tc>
          <w:tcPr>
            <w:tcW w:w="12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年度总体目标</w:t>
            </w:r>
          </w:p>
        </w:tc>
        <w:tc>
          <w:tcPr>
            <w:tcW w:w="429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预期目标</w:t>
            </w:r>
          </w:p>
        </w:tc>
        <w:tc>
          <w:tcPr>
            <w:tcW w:w="494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实际完成情况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1380"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4292" w:type="dxa"/>
            <w:gridSpan w:val="5"/>
            <w:tcBorders>
              <w:top w:val="single" w:color="000000" w:sz="4" w:space="0"/>
              <w:left w:val="single" w:color="000000" w:sz="4" w:space="0"/>
              <w:bottom w:val="single" w:color="000000" w:sz="4" w:space="0"/>
              <w:right w:val="single" w:color="000000" w:sz="4" w:space="0"/>
            </w:tcBorders>
            <w:shd w:val="clear" w:color="auto" w:fill="auto"/>
            <w:vAlign w:val="top"/>
          </w:tcPr>
          <w:p>
            <w:pPr>
              <w:widowControl/>
              <w:jc w:val="left"/>
              <w:textAlignment w:val="top"/>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通过加大财政资金投入，鼓励支持特色步行街等，提升一刻钟便民生活区消费便利性。</w:t>
            </w:r>
          </w:p>
        </w:tc>
        <w:tc>
          <w:tcPr>
            <w:tcW w:w="4944" w:type="dxa"/>
            <w:gridSpan w:val="5"/>
            <w:tcBorders>
              <w:top w:val="single" w:color="000000" w:sz="4" w:space="0"/>
              <w:left w:val="single" w:color="000000" w:sz="4" w:space="0"/>
              <w:bottom w:val="single" w:color="000000" w:sz="4" w:space="0"/>
              <w:right w:val="single" w:color="000000" w:sz="4" w:space="0"/>
            </w:tcBorders>
            <w:shd w:val="clear" w:color="auto" w:fill="auto"/>
            <w:vAlign w:val="top"/>
          </w:tcPr>
          <w:p>
            <w:pPr>
              <w:widowControl/>
              <w:jc w:val="left"/>
              <w:textAlignment w:val="top"/>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已完成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绩效</w:t>
            </w:r>
            <w:r>
              <w:rPr>
                <w:rFonts w:hint="eastAsia" w:ascii="宋体" w:hAnsi="宋体" w:eastAsia="宋体" w:cs="宋体"/>
                <w:i w:val="0"/>
                <w:color w:val="000000"/>
                <w:kern w:val="0"/>
                <w:sz w:val="24"/>
                <w:szCs w:val="24"/>
                <w:u w:val="none"/>
                <w:lang w:val="en-US" w:eastAsia="zh-CN" w:bidi="ar-SA"/>
              </w:rPr>
              <w:br/>
            </w:r>
            <w:r>
              <w:rPr>
                <w:rFonts w:hint="eastAsia" w:ascii="宋体" w:hAnsi="宋体" w:eastAsia="宋体" w:cs="宋体"/>
                <w:i w:val="0"/>
                <w:color w:val="000000"/>
                <w:kern w:val="0"/>
                <w:sz w:val="24"/>
                <w:szCs w:val="24"/>
                <w:u w:val="none"/>
                <w:lang w:val="en-US" w:eastAsia="zh-CN" w:bidi="ar-SA"/>
              </w:rPr>
              <w:t>指标</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一级指标</w:t>
            </w: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二级指标</w:t>
            </w:r>
          </w:p>
        </w:tc>
        <w:tc>
          <w:tcPr>
            <w:tcW w:w="251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三级指标</w:t>
            </w:r>
          </w:p>
        </w:tc>
        <w:tc>
          <w:tcPr>
            <w:tcW w:w="19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年度指标值</w:t>
            </w:r>
          </w:p>
        </w:tc>
        <w:tc>
          <w:tcPr>
            <w:tcW w:w="106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实际完成值</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指标分值</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自评得分</w:t>
            </w: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偏差原因分析及改进措施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产出指标</w:t>
            </w: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数量指标</w:t>
            </w:r>
          </w:p>
        </w:tc>
        <w:tc>
          <w:tcPr>
            <w:tcW w:w="251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受补助社区数量</w:t>
            </w:r>
          </w:p>
        </w:tc>
        <w:tc>
          <w:tcPr>
            <w:tcW w:w="19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≥1个</w:t>
            </w:r>
          </w:p>
        </w:tc>
        <w:tc>
          <w:tcPr>
            <w:tcW w:w="106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1000</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20</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20</w:t>
            </w: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质量指标</w:t>
            </w:r>
          </w:p>
        </w:tc>
        <w:tc>
          <w:tcPr>
            <w:tcW w:w="251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项目验收及时率</w:t>
            </w:r>
          </w:p>
        </w:tc>
        <w:tc>
          <w:tcPr>
            <w:tcW w:w="19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w:t>
            </w:r>
          </w:p>
        </w:tc>
        <w:tc>
          <w:tcPr>
            <w:tcW w:w="106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时效指标</w:t>
            </w:r>
          </w:p>
        </w:tc>
        <w:tc>
          <w:tcPr>
            <w:tcW w:w="251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资金到位率</w:t>
            </w:r>
          </w:p>
        </w:tc>
        <w:tc>
          <w:tcPr>
            <w:tcW w:w="19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w:t>
            </w:r>
          </w:p>
        </w:tc>
        <w:tc>
          <w:tcPr>
            <w:tcW w:w="106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成本指标</w:t>
            </w: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经济成本指标</w:t>
            </w:r>
          </w:p>
        </w:tc>
        <w:tc>
          <w:tcPr>
            <w:tcW w:w="251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补助资金发放金额</w:t>
            </w:r>
          </w:p>
        </w:tc>
        <w:tc>
          <w:tcPr>
            <w:tcW w:w="19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=10万元</w:t>
            </w:r>
          </w:p>
        </w:tc>
        <w:tc>
          <w:tcPr>
            <w:tcW w:w="106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效益指标</w:t>
            </w: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经济效益指标</w:t>
            </w:r>
          </w:p>
        </w:tc>
        <w:tc>
          <w:tcPr>
            <w:tcW w:w="251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一刻钟便民生活圈商户数</w:t>
            </w:r>
          </w:p>
        </w:tc>
        <w:tc>
          <w:tcPr>
            <w:tcW w:w="19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≥500家</w:t>
            </w:r>
          </w:p>
        </w:tc>
        <w:tc>
          <w:tcPr>
            <w:tcW w:w="106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500</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30</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30</w:t>
            </w: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满意度指标</w:t>
            </w: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服务对象满意度指标</w:t>
            </w:r>
          </w:p>
        </w:tc>
        <w:tc>
          <w:tcPr>
            <w:tcW w:w="251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受补助社区满意度</w:t>
            </w:r>
          </w:p>
        </w:tc>
        <w:tc>
          <w:tcPr>
            <w:tcW w:w="19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≥90%</w:t>
            </w:r>
          </w:p>
        </w:tc>
        <w:tc>
          <w:tcPr>
            <w:tcW w:w="106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90</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697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总分值、自评总得分（S）</w:t>
            </w:r>
          </w:p>
        </w:tc>
        <w:tc>
          <w:tcPr>
            <w:tcW w:w="279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0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评价等级</w:t>
            </w:r>
          </w:p>
        </w:tc>
        <w:tc>
          <w:tcPr>
            <w:tcW w:w="8711" w:type="dxa"/>
            <w:gridSpan w:val="9"/>
            <w:tcBorders>
              <w:top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优</w:t>
            </w:r>
          </w:p>
        </w:tc>
      </w:tr>
    </w:tbl>
    <w:p>
      <w:pPr>
        <w:pStyle w:val="26"/>
        <w:widowControl/>
        <w:numPr>
          <w:numId w:val="0"/>
        </w:numPr>
        <w:spacing w:before="240" w:after="240" w:line="560" w:lineRule="atLeast"/>
        <w:jc w:val="left"/>
        <w:rPr>
          <w:rFonts w:ascii="黑体" w:hAnsi="黑体" w:eastAsia="黑体" w:cs="黑体"/>
          <w:kern w:val="0"/>
          <w:sz w:val="32"/>
          <w:szCs w:val="32"/>
        </w:rPr>
      </w:pPr>
    </w:p>
    <w:tbl>
      <w:tblPr>
        <w:tblW w:w="977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533"/>
        <w:gridCol w:w="524"/>
        <w:gridCol w:w="403"/>
        <w:gridCol w:w="1273"/>
        <w:gridCol w:w="1252"/>
        <w:gridCol w:w="847"/>
        <w:gridCol w:w="1076"/>
        <w:gridCol w:w="1067"/>
        <w:gridCol w:w="622"/>
        <w:gridCol w:w="622"/>
        <w:gridCol w:w="155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450" w:hRule="atLeast"/>
        </w:trPr>
        <w:tc>
          <w:tcPr>
            <w:tcW w:w="977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b/>
                <w:i w:val="0"/>
                <w:color w:val="000000"/>
                <w:sz w:val="36"/>
                <w:szCs w:val="36"/>
                <w:u w:val="none"/>
              </w:rPr>
            </w:pPr>
            <w:r>
              <w:rPr>
                <w:rFonts w:hint="eastAsia" w:ascii="宋体" w:hAnsi="宋体" w:eastAsia="宋体" w:cs="宋体"/>
                <w:b/>
                <w:i w:val="0"/>
                <w:color w:val="000000"/>
                <w:kern w:val="0"/>
                <w:sz w:val="36"/>
                <w:szCs w:val="36"/>
                <w:u w:val="none"/>
                <w:lang w:val="en-US" w:eastAsia="zh-CN" w:bidi="ar-SA"/>
              </w:rPr>
              <w:t>项目支出绩效自评表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977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4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项目名称</w:t>
            </w:r>
          </w:p>
        </w:tc>
        <w:tc>
          <w:tcPr>
            <w:tcW w:w="831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2024年基层综治维稳工作补助经费（闽财政法指〔2024〕18号）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4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主管部门</w:t>
            </w:r>
          </w:p>
        </w:tc>
        <w:tc>
          <w:tcPr>
            <w:tcW w:w="33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漳平市人民政府菁城街道办事处</w:t>
            </w:r>
          </w:p>
        </w:tc>
        <w:tc>
          <w:tcPr>
            <w:tcW w:w="21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实施单位</w:t>
            </w:r>
          </w:p>
        </w:tc>
        <w:tc>
          <w:tcPr>
            <w:tcW w:w="27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漳平市人民政府菁城街道办事处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项目资金(万元)</w:t>
            </w:r>
          </w:p>
        </w:tc>
        <w:tc>
          <w:tcPr>
            <w:tcW w:w="9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年初预算数</w:t>
            </w:r>
          </w:p>
        </w:tc>
        <w:tc>
          <w:tcPr>
            <w:tcW w:w="20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全年预算数</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全年执行数</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分值</w:t>
            </w:r>
          </w:p>
        </w:tc>
        <w:tc>
          <w:tcPr>
            <w:tcW w:w="12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执行率</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40" w:hRule="atLeast"/>
        </w:trPr>
        <w:tc>
          <w:tcPr>
            <w:tcW w:w="5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9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资金总额</w:t>
            </w: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15.00</w:t>
            </w:r>
          </w:p>
        </w:tc>
        <w:tc>
          <w:tcPr>
            <w:tcW w:w="20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15.00</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15.00</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2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100.00</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9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财政资金</w:t>
            </w: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15.00</w:t>
            </w:r>
          </w:p>
        </w:tc>
        <w:tc>
          <w:tcPr>
            <w:tcW w:w="20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15.00</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15.00</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w:t>
            </w:r>
          </w:p>
        </w:tc>
        <w:tc>
          <w:tcPr>
            <w:tcW w:w="12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100.00</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9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其他资金</w:t>
            </w: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20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w:t>
            </w:r>
          </w:p>
        </w:tc>
        <w:tc>
          <w:tcPr>
            <w:tcW w:w="12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年度总体目标</w:t>
            </w:r>
          </w:p>
        </w:tc>
        <w:tc>
          <w:tcPr>
            <w:tcW w:w="429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预期目标</w:t>
            </w:r>
          </w:p>
        </w:tc>
        <w:tc>
          <w:tcPr>
            <w:tcW w:w="4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实际完成情况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1380" w:hRule="atLeast"/>
        </w:trPr>
        <w:tc>
          <w:tcPr>
            <w:tcW w:w="5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4299" w:type="dxa"/>
            <w:gridSpan w:val="5"/>
            <w:tcBorders>
              <w:top w:val="single" w:color="000000" w:sz="4" w:space="0"/>
              <w:left w:val="single" w:color="000000" w:sz="4" w:space="0"/>
              <w:bottom w:val="single" w:color="000000" w:sz="4" w:space="0"/>
              <w:right w:val="single" w:color="000000" w:sz="4" w:space="0"/>
            </w:tcBorders>
            <w:shd w:val="clear" w:color="auto" w:fill="auto"/>
            <w:vAlign w:val="top"/>
          </w:tcPr>
          <w:p>
            <w:pPr>
              <w:widowControl/>
              <w:jc w:val="left"/>
              <w:textAlignment w:val="top"/>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深化平安菁城建设，维护国家安全稳定和社会稳定，及时化解社会矛盾纠纷</w:t>
            </w:r>
          </w:p>
        </w:tc>
        <w:tc>
          <w:tcPr>
            <w:tcW w:w="4938" w:type="dxa"/>
            <w:gridSpan w:val="5"/>
            <w:tcBorders>
              <w:top w:val="single" w:color="000000" w:sz="4" w:space="0"/>
              <w:left w:val="single" w:color="000000" w:sz="4" w:space="0"/>
              <w:bottom w:val="single" w:color="000000" w:sz="4" w:space="0"/>
              <w:right w:val="single" w:color="000000" w:sz="4" w:space="0"/>
            </w:tcBorders>
            <w:shd w:val="clear" w:color="auto" w:fill="auto"/>
            <w:vAlign w:val="top"/>
          </w:tcPr>
          <w:p>
            <w:pPr>
              <w:widowControl/>
              <w:jc w:val="left"/>
              <w:textAlignment w:val="top"/>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已完成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绩效</w:t>
            </w:r>
            <w:r>
              <w:rPr>
                <w:rFonts w:hint="eastAsia" w:ascii="宋体" w:hAnsi="宋体" w:eastAsia="宋体" w:cs="宋体"/>
                <w:i w:val="0"/>
                <w:color w:val="000000"/>
                <w:kern w:val="0"/>
                <w:sz w:val="24"/>
                <w:szCs w:val="24"/>
                <w:u w:val="none"/>
                <w:lang w:val="en-US" w:eastAsia="zh-CN" w:bidi="ar-SA"/>
              </w:rPr>
              <w:br/>
            </w:r>
            <w:r>
              <w:rPr>
                <w:rFonts w:hint="eastAsia" w:ascii="宋体" w:hAnsi="宋体" w:eastAsia="宋体" w:cs="宋体"/>
                <w:i w:val="0"/>
                <w:color w:val="000000"/>
                <w:kern w:val="0"/>
                <w:sz w:val="24"/>
                <w:szCs w:val="24"/>
                <w:u w:val="none"/>
                <w:lang w:val="en-US" w:eastAsia="zh-CN" w:bidi="ar-SA"/>
              </w:rPr>
              <w:t>指标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一级指标</w:t>
            </w:r>
          </w:p>
        </w:tc>
        <w:tc>
          <w:tcPr>
            <w:tcW w:w="40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二级指标</w:t>
            </w:r>
          </w:p>
        </w:tc>
        <w:tc>
          <w:tcPr>
            <w:tcW w:w="25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三级指标</w:t>
            </w:r>
          </w:p>
        </w:tc>
        <w:tc>
          <w:tcPr>
            <w:tcW w:w="192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年度指标值</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实际完成值</w:t>
            </w:r>
          </w:p>
        </w:tc>
        <w:tc>
          <w:tcPr>
            <w:tcW w:w="62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指标分值</w:t>
            </w:r>
          </w:p>
        </w:tc>
        <w:tc>
          <w:tcPr>
            <w:tcW w:w="62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自评得分</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偏差原因分析及改进措施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52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产出指标</w:t>
            </w:r>
          </w:p>
        </w:tc>
        <w:tc>
          <w:tcPr>
            <w:tcW w:w="40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数量指标</w:t>
            </w:r>
          </w:p>
        </w:tc>
        <w:tc>
          <w:tcPr>
            <w:tcW w:w="25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开展各项综治维稳活动</w:t>
            </w:r>
          </w:p>
        </w:tc>
        <w:tc>
          <w:tcPr>
            <w:tcW w:w="192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≥6次</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6000</w:t>
            </w:r>
          </w:p>
        </w:tc>
        <w:tc>
          <w:tcPr>
            <w:tcW w:w="62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20</w:t>
            </w:r>
          </w:p>
        </w:tc>
        <w:tc>
          <w:tcPr>
            <w:tcW w:w="62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20</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5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40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质量指标</w:t>
            </w:r>
          </w:p>
        </w:tc>
        <w:tc>
          <w:tcPr>
            <w:tcW w:w="25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综治维稳活动完成率</w:t>
            </w:r>
          </w:p>
        </w:tc>
        <w:tc>
          <w:tcPr>
            <w:tcW w:w="192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w:t>
            </w:r>
          </w:p>
        </w:tc>
        <w:tc>
          <w:tcPr>
            <w:tcW w:w="62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2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5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40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时效指标</w:t>
            </w:r>
          </w:p>
        </w:tc>
        <w:tc>
          <w:tcPr>
            <w:tcW w:w="25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项目完成率</w:t>
            </w:r>
          </w:p>
        </w:tc>
        <w:tc>
          <w:tcPr>
            <w:tcW w:w="192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w:t>
            </w:r>
          </w:p>
        </w:tc>
        <w:tc>
          <w:tcPr>
            <w:tcW w:w="62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2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成本指标</w:t>
            </w:r>
          </w:p>
        </w:tc>
        <w:tc>
          <w:tcPr>
            <w:tcW w:w="40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经济成本指标</w:t>
            </w:r>
          </w:p>
        </w:tc>
        <w:tc>
          <w:tcPr>
            <w:tcW w:w="25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综治维稳经费总额</w:t>
            </w:r>
          </w:p>
        </w:tc>
        <w:tc>
          <w:tcPr>
            <w:tcW w:w="192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≤15万元</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15</w:t>
            </w:r>
          </w:p>
        </w:tc>
        <w:tc>
          <w:tcPr>
            <w:tcW w:w="62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2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效益指标</w:t>
            </w:r>
          </w:p>
        </w:tc>
        <w:tc>
          <w:tcPr>
            <w:tcW w:w="40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社会效益指标</w:t>
            </w:r>
          </w:p>
        </w:tc>
        <w:tc>
          <w:tcPr>
            <w:tcW w:w="25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综治维稳效果</w:t>
            </w:r>
          </w:p>
        </w:tc>
        <w:tc>
          <w:tcPr>
            <w:tcW w:w="192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≥90%</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90</w:t>
            </w:r>
          </w:p>
        </w:tc>
        <w:tc>
          <w:tcPr>
            <w:tcW w:w="62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30</w:t>
            </w:r>
          </w:p>
        </w:tc>
        <w:tc>
          <w:tcPr>
            <w:tcW w:w="62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30</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满意度指标</w:t>
            </w:r>
          </w:p>
        </w:tc>
        <w:tc>
          <w:tcPr>
            <w:tcW w:w="40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服务对象满意度指标</w:t>
            </w:r>
          </w:p>
        </w:tc>
        <w:tc>
          <w:tcPr>
            <w:tcW w:w="25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群众满意度</w:t>
            </w:r>
          </w:p>
        </w:tc>
        <w:tc>
          <w:tcPr>
            <w:tcW w:w="192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≥90%</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90</w:t>
            </w:r>
          </w:p>
        </w:tc>
        <w:tc>
          <w:tcPr>
            <w:tcW w:w="62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2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697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总分值、自评总得分（S）</w:t>
            </w:r>
          </w:p>
        </w:tc>
        <w:tc>
          <w:tcPr>
            <w:tcW w:w="27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05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评价等级</w:t>
            </w:r>
          </w:p>
        </w:tc>
        <w:tc>
          <w:tcPr>
            <w:tcW w:w="8713" w:type="dxa"/>
            <w:gridSpan w:val="9"/>
            <w:tcBorders>
              <w:top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优</w:t>
            </w:r>
          </w:p>
        </w:tc>
      </w:tr>
    </w:tbl>
    <w:p>
      <w:pPr>
        <w:pStyle w:val="26"/>
        <w:widowControl/>
        <w:numPr>
          <w:numId w:val="0"/>
        </w:numPr>
        <w:spacing w:before="240" w:after="240" w:line="560" w:lineRule="atLeast"/>
        <w:jc w:val="left"/>
        <w:rPr>
          <w:rFonts w:ascii="黑体" w:hAnsi="黑体" w:eastAsia="黑体" w:cs="黑体"/>
          <w:kern w:val="0"/>
          <w:sz w:val="32"/>
          <w:szCs w:val="32"/>
        </w:rPr>
      </w:pPr>
    </w:p>
    <w:tbl>
      <w:tblPr>
        <w:tblW w:w="977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534"/>
        <w:gridCol w:w="526"/>
        <w:gridCol w:w="404"/>
        <w:gridCol w:w="1267"/>
        <w:gridCol w:w="1250"/>
        <w:gridCol w:w="846"/>
        <w:gridCol w:w="1069"/>
        <w:gridCol w:w="6"/>
        <w:gridCol w:w="1059"/>
        <w:gridCol w:w="619"/>
        <w:gridCol w:w="620"/>
        <w:gridCol w:w="157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450" w:hRule="atLeast"/>
        </w:trPr>
        <w:tc>
          <w:tcPr>
            <w:tcW w:w="9770"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b/>
                <w:i w:val="0"/>
                <w:color w:val="000000"/>
                <w:sz w:val="36"/>
                <w:szCs w:val="36"/>
                <w:u w:val="none"/>
              </w:rPr>
            </w:pPr>
            <w:r>
              <w:rPr>
                <w:rFonts w:hint="eastAsia" w:ascii="宋体" w:hAnsi="宋体" w:eastAsia="宋体" w:cs="宋体"/>
                <w:b/>
                <w:i w:val="0"/>
                <w:color w:val="000000"/>
                <w:kern w:val="0"/>
                <w:sz w:val="36"/>
                <w:szCs w:val="36"/>
                <w:u w:val="none"/>
                <w:lang w:val="en-US" w:eastAsia="zh-CN" w:bidi="ar-SA"/>
              </w:rPr>
              <w:t>项目支出绩效自评表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9770"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项目名称</w:t>
            </w:r>
          </w:p>
        </w:tc>
        <w:tc>
          <w:tcPr>
            <w:tcW w:w="8306"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2024年优化生育政策服务项目（闽财社指〔2024〕25号）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主管部门</w:t>
            </w:r>
          </w:p>
        </w:tc>
        <w:tc>
          <w:tcPr>
            <w:tcW w:w="336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漳平市人民政府菁城街道办事处</w:t>
            </w:r>
          </w:p>
        </w:tc>
        <w:tc>
          <w:tcPr>
            <w:tcW w:w="21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实施单位</w:t>
            </w:r>
          </w:p>
        </w:tc>
        <w:tc>
          <w:tcPr>
            <w:tcW w:w="280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漳平市人民政府菁城街道办事处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项目资金(万元)</w:t>
            </w:r>
          </w:p>
        </w:tc>
        <w:tc>
          <w:tcPr>
            <w:tcW w:w="9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年初预算数</w:t>
            </w:r>
          </w:p>
        </w:tc>
        <w:tc>
          <w:tcPr>
            <w:tcW w:w="20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全年预算数</w:t>
            </w:r>
          </w:p>
        </w:tc>
        <w:tc>
          <w:tcPr>
            <w:tcW w:w="10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全年执行数</w:t>
            </w:r>
          </w:p>
        </w:tc>
        <w:tc>
          <w:tcPr>
            <w:tcW w:w="10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分值</w:t>
            </w:r>
          </w:p>
        </w:tc>
        <w:tc>
          <w:tcPr>
            <w:tcW w:w="123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执行率</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40"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9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资金总额</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20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4.55</w:t>
            </w:r>
          </w:p>
        </w:tc>
        <w:tc>
          <w:tcPr>
            <w:tcW w:w="10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4.20</w:t>
            </w:r>
          </w:p>
        </w:tc>
        <w:tc>
          <w:tcPr>
            <w:tcW w:w="10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23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92.31</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9.23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9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财政资金</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20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4.55</w:t>
            </w:r>
          </w:p>
        </w:tc>
        <w:tc>
          <w:tcPr>
            <w:tcW w:w="10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4.20</w:t>
            </w:r>
          </w:p>
        </w:tc>
        <w:tc>
          <w:tcPr>
            <w:tcW w:w="10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w:t>
            </w:r>
          </w:p>
        </w:tc>
        <w:tc>
          <w:tcPr>
            <w:tcW w:w="123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92.31</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9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其他资金</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20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10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10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w:t>
            </w:r>
          </w:p>
        </w:tc>
        <w:tc>
          <w:tcPr>
            <w:tcW w:w="123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年度总体目标</w:t>
            </w:r>
          </w:p>
        </w:tc>
        <w:tc>
          <w:tcPr>
            <w:tcW w:w="429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预期目标</w:t>
            </w:r>
          </w:p>
        </w:tc>
        <w:tc>
          <w:tcPr>
            <w:tcW w:w="494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实际完成情况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1380"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4293" w:type="dxa"/>
            <w:gridSpan w:val="5"/>
            <w:tcBorders>
              <w:top w:val="single" w:color="000000" w:sz="4" w:space="0"/>
              <w:left w:val="single" w:color="000000" w:sz="4" w:space="0"/>
              <w:bottom w:val="single" w:color="000000" w:sz="4" w:space="0"/>
              <w:right w:val="single" w:color="000000" w:sz="4" w:space="0"/>
            </w:tcBorders>
            <w:shd w:val="clear" w:color="auto" w:fill="auto"/>
            <w:vAlign w:val="top"/>
          </w:tcPr>
          <w:p>
            <w:pPr>
              <w:widowControl/>
              <w:jc w:val="left"/>
              <w:textAlignment w:val="top"/>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根据相关文件要求，对菁城育龄人群开展优化生育政策宣传咨询服务及针对计划生育特殊家庭面临的突出困难开展扶助关怀服务。</w:t>
            </w:r>
          </w:p>
        </w:tc>
        <w:tc>
          <w:tcPr>
            <w:tcW w:w="4943" w:type="dxa"/>
            <w:gridSpan w:val="6"/>
            <w:tcBorders>
              <w:top w:val="single" w:color="000000" w:sz="4" w:space="0"/>
              <w:left w:val="single" w:color="000000" w:sz="4" w:space="0"/>
              <w:bottom w:val="single" w:color="000000" w:sz="4" w:space="0"/>
              <w:right w:val="single" w:color="000000" w:sz="4" w:space="0"/>
            </w:tcBorders>
            <w:shd w:val="clear" w:color="auto" w:fill="auto"/>
            <w:vAlign w:val="top"/>
          </w:tcPr>
          <w:p>
            <w:pPr>
              <w:widowControl/>
              <w:jc w:val="left"/>
              <w:textAlignment w:val="top"/>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未完成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绩效</w:t>
            </w:r>
            <w:r>
              <w:rPr>
                <w:rFonts w:hint="eastAsia" w:ascii="宋体" w:hAnsi="宋体" w:eastAsia="宋体" w:cs="宋体"/>
                <w:i w:val="0"/>
                <w:color w:val="000000"/>
                <w:kern w:val="0"/>
                <w:sz w:val="24"/>
                <w:szCs w:val="24"/>
                <w:u w:val="none"/>
                <w:lang w:val="en-US" w:eastAsia="zh-CN" w:bidi="ar-SA"/>
              </w:rPr>
              <w:br/>
            </w:r>
            <w:r>
              <w:rPr>
                <w:rFonts w:hint="eastAsia" w:ascii="宋体" w:hAnsi="宋体" w:eastAsia="宋体" w:cs="宋体"/>
                <w:i w:val="0"/>
                <w:color w:val="000000"/>
                <w:kern w:val="0"/>
                <w:sz w:val="24"/>
                <w:szCs w:val="24"/>
                <w:u w:val="none"/>
                <w:lang w:val="en-US" w:eastAsia="zh-CN" w:bidi="ar-SA"/>
              </w:rPr>
              <w:t>指标</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一级指标</w:t>
            </w:r>
          </w:p>
        </w:tc>
        <w:tc>
          <w:tcPr>
            <w:tcW w:w="40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二级指标</w:t>
            </w:r>
          </w:p>
        </w:tc>
        <w:tc>
          <w:tcPr>
            <w:tcW w:w="25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三级指标</w:t>
            </w:r>
          </w:p>
        </w:tc>
        <w:tc>
          <w:tcPr>
            <w:tcW w:w="19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年度指标值</w:t>
            </w:r>
          </w:p>
        </w:tc>
        <w:tc>
          <w:tcPr>
            <w:tcW w:w="10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实际完成值</w:t>
            </w: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指标分值</w:t>
            </w:r>
          </w:p>
        </w:tc>
        <w:tc>
          <w:tcPr>
            <w:tcW w:w="6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自评得分</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偏差原因分析及改进措施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5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产出指标</w:t>
            </w:r>
          </w:p>
        </w:tc>
        <w:tc>
          <w:tcPr>
            <w:tcW w:w="4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数量指标</w:t>
            </w:r>
          </w:p>
        </w:tc>
        <w:tc>
          <w:tcPr>
            <w:tcW w:w="25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计划生育特殊家庭扶助对象人数</w:t>
            </w:r>
          </w:p>
        </w:tc>
        <w:tc>
          <w:tcPr>
            <w:tcW w:w="19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=70人</w:t>
            </w:r>
          </w:p>
        </w:tc>
        <w:tc>
          <w:tcPr>
            <w:tcW w:w="10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70</w:t>
            </w: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5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4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25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日常访视计划生育特殊家庭重点人员次数</w:t>
            </w:r>
          </w:p>
        </w:tc>
        <w:tc>
          <w:tcPr>
            <w:tcW w:w="19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≥280次</w:t>
            </w:r>
          </w:p>
        </w:tc>
        <w:tc>
          <w:tcPr>
            <w:tcW w:w="10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280</w:t>
            </w: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5</w:t>
            </w:r>
          </w:p>
        </w:tc>
        <w:tc>
          <w:tcPr>
            <w:tcW w:w="6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5</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5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4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质量指标</w:t>
            </w:r>
          </w:p>
        </w:tc>
        <w:tc>
          <w:tcPr>
            <w:tcW w:w="25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育龄人群生育政策及配套支持措施知晓率</w:t>
            </w:r>
          </w:p>
        </w:tc>
        <w:tc>
          <w:tcPr>
            <w:tcW w:w="19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≥80%</w:t>
            </w:r>
          </w:p>
        </w:tc>
        <w:tc>
          <w:tcPr>
            <w:tcW w:w="10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80</w:t>
            </w: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5</w:t>
            </w:r>
          </w:p>
        </w:tc>
        <w:tc>
          <w:tcPr>
            <w:tcW w:w="6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5</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5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4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25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日常访视计划生育特殊家庭重点人员服务覆盖率</w:t>
            </w:r>
          </w:p>
        </w:tc>
        <w:tc>
          <w:tcPr>
            <w:tcW w:w="19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≥95%</w:t>
            </w:r>
          </w:p>
        </w:tc>
        <w:tc>
          <w:tcPr>
            <w:tcW w:w="10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95</w:t>
            </w: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5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40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时效指标</w:t>
            </w:r>
          </w:p>
        </w:tc>
        <w:tc>
          <w:tcPr>
            <w:tcW w:w="25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补助资金到位率</w:t>
            </w:r>
          </w:p>
        </w:tc>
        <w:tc>
          <w:tcPr>
            <w:tcW w:w="19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w:t>
            </w:r>
          </w:p>
        </w:tc>
        <w:tc>
          <w:tcPr>
            <w:tcW w:w="10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w:t>
            </w: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成本指标</w:t>
            </w:r>
          </w:p>
        </w:tc>
        <w:tc>
          <w:tcPr>
            <w:tcW w:w="40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经济成本指标</w:t>
            </w:r>
          </w:p>
        </w:tc>
        <w:tc>
          <w:tcPr>
            <w:tcW w:w="25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人均优化生育政策服务项目补助标准</w:t>
            </w:r>
          </w:p>
        </w:tc>
        <w:tc>
          <w:tcPr>
            <w:tcW w:w="19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=650元/人/年</w:t>
            </w:r>
          </w:p>
        </w:tc>
        <w:tc>
          <w:tcPr>
            <w:tcW w:w="10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650</w:t>
            </w: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效益指标</w:t>
            </w:r>
          </w:p>
        </w:tc>
        <w:tc>
          <w:tcPr>
            <w:tcW w:w="40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社会效益指标</w:t>
            </w:r>
          </w:p>
        </w:tc>
        <w:tc>
          <w:tcPr>
            <w:tcW w:w="25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辖区内计划生育特殊家庭收益率</w:t>
            </w:r>
          </w:p>
        </w:tc>
        <w:tc>
          <w:tcPr>
            <w:tcW w:w="19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≥95%</w:t>
            </w:r>
          </w:p>
        </w:tc>
        <w:tc>
          <w:tcPr>
            <w:tcW w:w="10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95</w:t>
            </w: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30</w:t>
            </w:r>
          </w:p>
        </w:tc>
        <w:tc>
          <w:tcPr>
            <w:tcW w:w="6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30</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满意度指标</w:t>
            </w:r>
          </w:p>
        </w:tc>
        <w:tc>
          <w:tcPr>
            <w:tcW w:w="40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服务对象满意度指标</w:t>
            </w:r>
          </w:p>
        </w:tc>
        <w:tc>
          <w:tcPr>
            <w:tcW w:w="25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服务对象满意度</w:t>
            </w:r>
          </w:p>
        </w:tc>
        <w:tc>
          <w:tcPr>
            <w:tcW w:w="19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≥90%</w:t>
            </w:r>
          </w:p>
        </w:tc>
        <w:tc>
          <w:tcPr>
            <w:tcW w:w="10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90</w:t>
            </w: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6961"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总分值、自评总得分（S）</w:t>
            </w:r>
          </w:p>
        </w:tc>
        <w:tc>
          <w:tcPr>
            <w:tcW w:w="280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100、99.23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评价等级</w:t>
            </w:r>
          </w:p>
        </w:tc>
        <w:tc>
          <w:tcPr>
            <w:tcW w:w="8710" w:type="dxa"/>
            <w:gridSpan w:val="10"/>
            <w:tcBorders>
              <w:top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优</w:t>
            </w:r>
          </w:p>
        </w:tc>
      </w:tr>
    </w:tbl>
    <w:p>
      <w:pPr>
        <w:pStyle w:val="26"/>
        <w:widowControl/>
        <w:numPr>
          <w:numId w:val="0"/>
        </w:numPr>
        <w:spacing w:before="240" w:after="240" w:line="560" w:lineRule="atLeast"/>
        <w:jc w:val="left"/>
        <w:rPr>
          <w:rFonts w:ascii="黑体" w:hAnsi="黑体" w:eastAsia="黑体" w:cs="黑体"/>
          <w:kern w:val="0"/>
          <w:sz w:val="32"/>
          <w:szCs w:val="32"/>
        </w:rPr>
      </w:pPr>
    </w:p>
    <w:tbl>
      <w:tblPr>
        <w:tblW w:w="977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534"/>
        <w:gridCol w:w="526"/>
        <w:gridCol w:w="404"/>
        <w:gridCol w:w="1267"/>
        <w:gridCol w:w="1250"/>
        <w:gridCol w:w="845"/>
        <w:gridCol w:w="1070"/>
        <w:gridCol w:w="1071"/>
        <w:gridCol w:w="619"/>
        <w:gridCol w:w="620"/>
        <w:gridCol w:w="156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450" w:hRule="atLeast"/>
        </w:trPr>
        <w:tc>
          <w:tcPr>
            <w:tcW w:w="977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b/>
                <w:i w:val="0"/>
                <w:color w:val="000000"/>
                <w:sz w:val="36"/>
                <w:szCs w:val="36"/>
                <w:u w:val="none"/>
              </w:rPr>
            </w:pPr>
            <w:r>
              <w:rPr>
                <w:rFonts w:hint="eastAsia" w:ascii="宋体" w:hAnsi="宋体" w:eastAsia="宋体" w:cs="宋体"/>
                <w:b/>
                <w:i w:val="0"/>
                <w:color w:val="000000"/>
                <w:kern w:val="0"/>
                <w:sz w:val="36"/>
                <w:szCs w:val="36"/>
                <w:u w:val="none"/>
                <w:lang w:val="en-US" w:eastAsia="zh-CN" w:bidi="ar-SA"/>
              </w:rPr>
              <w:t>项目支出绩效自评表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977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项目名称</w:t>
            </w:r>
          </w:p>
        </w:tc>
        <w:tc>
          <w:tcPr>
            <w:tcW w:w="830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2025年度村级扶贫协理员工资(33.84万元）(龙财预指〔2025〕1号)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主管部门</w:t>
            </w:r>
          </w:p>
        </w:tc>
        <w:tc>
          <w:tcPr>
            <w:tcW w:w="336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漳平市人民政府菁城街道办事处</w:t>
            </w:r>
          </w:p>
        </w:tc>
        <w:tc>
          <w:tcPr>
            <w:tcW w:w="214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实施单位</w:t>
            </w:r>
          </w:p>
        </w:tc>
        <w:tc>
          <w:tcPr>
            <w:tcW w:w="280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漳平市人民政府菁城街道办事处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项目资金(万元)</w:t>
            </w:r>
          </w:p>
        </w:tc>
        <w:tc>
          <w:tcPr>
            <w:tcW w:w="9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年初预算数</w:t>
            </w:r>
          </w:p>
        </w:tc>
        <w:tc>
          <w:tcPr>
            <w:tcW w:w="20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全年预算数</w:t>
            </w:r>
          </w:p>
        </w:tc>
        <w:tc>
          <w:tcPr>
            <w:tcW w:w="10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全年执行数</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分值</w:t>
            </w:r>
          </w:p>
        </w:tc>
        <w:tc>
          <w:tcPr>
            <w:tcW w:w="123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执行率</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40"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9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资金总额</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20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0.72</w:t>
            </w:r>
          </w:p>
        </w:tc>
        <w:tc>
          <w:tcPr>
            <w:tcW w:w="10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0.54</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23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75.00</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9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财政资金</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20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0.72</w:t>
            </w:r>
          </w:p>
        </w:tc>
        <w:tc>
          <w:tcPr>
            <w:tcW w:w="10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0.54</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w:t>
            </w:r>
          </w:p>
        </w:tc>
        <w:tc>
          <w:tcPr>
            <w:tcW w:w="123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75.00</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9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其他资金</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20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10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w:t>
            </w:r>
          </w:p>
        </w:tc>
        <w:tc>
          <w:tcPr>
            <w:tcW w:w="123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年度总体目标</w:t>
            </w:r>
          </w:p>
        </w:tc>
        <w:tc>
          <w:tcPr>
            <w:tcW w:w="429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预期目标</w:t>
            </w:r>
          </w:p>
        </w:tc>
        <w:tc>
          <w:tcPr>
            <w:tcW w:w="494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实际完成情况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1380"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4292" w:type="dxa"/>
            <w:gridSpan w:val="5"/>
            <w:tcBorders>
              <w:top w:val="single" w:color="000000" w:sz="4" w:space="0"/>
              <w:left w:val="single" w:color="000000" w:sz="4" w:space="0"/>
              <w:bottom w:val="single" w:color="000000" w:sz="4" w:space="0"/>
              <w:right w:val="single" w:color="000000" w:sz="4" w:space="0"/>
            </w:tcBorders>
            <w:shd w:val="clear" w:color="auto" w:fill="auto"/>
            <w:vAlign w:val="top"/>
          </w:tcPr>
          <w:p>
            <w:pPr>
              <w:widowControl/>
              <w:jc w:val="left"/>
              <w:textAlignment w:val="top"/>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补助村级乡村振兴协理员经费，进一步加大对农业农村的财政资金投入，促进产业发展，巩固脱贫成果，助乡村振兴</w:t>
            </w:r>
          </w:p>
        </w:tc>
        <w:tc>
          <w:tcPr>
            <w:tcW w:w="4944" w:type="dxa"/>
            <w:gridSpan w:val="5"/>
            <w:tcBorders>
              <w:top w:val="single" w:color="000000" w:sz="4" w:space="0"/>
              <w:left w:val="single" w:color="000000" w:sz="4" w:space="0"/>
              <w:bottom w:val="single" w:color="000000" w:sz="4" w:space="0"/>
              <w:right w:val="single" w:color="000000" w:sz="4" w:space="0"/>
            </w:tcBorders>
            <w:shd w:val="clear" w:color="auto" w:fill="auto"/>
            <w:vAlign w:val="top"/>
          </w:tcPr>
          <w:p>
            <w:pPr>
              <w:widowControl/>
              <w:jc w:val="left"/>
              <w:textAlignment w:val="top"/>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其中一名协理员账户冻结，打不进款。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绩效</w:t>
            </w:r>
            <w:r>
              <w:rPr>
                <w:rFonts w:hint="eastAsia" w:ascii="宋体" w:hAnsi="宋体" w:eastAsia="宋体" w:cs="宋体"/>
                <w:i w:val="0"/>
                <w:color w:val="000000"/>
                <w:kern w:val="0"/>
                <w:sz w:val="24"/>
                <w:szCs w:val="24"/>
                <w:u w:val="none"/>
                <w:lang w:val="en-US" w:eastAsia="zh-CN" w:bidi="ar-SA"/>
              </w:rPr>
              <w:br/>
            </w:r>
            <w:r>
              <w:rPr>
                <w:rFonts w:hint="eastAsia" w:ascii="宋体" w:hAnsi="宋体" w:eastAsia="宋体" w:cs="宋体"/>
                <w:i w:val="0"/>
                <w:color w:val="000000"/>
                <w:kern w:val="0"/>
                <w:sz w:val="24"/>
                <w:szCs w:val="24"/>
                <w:u w:val="none"/>
                <w:lang w:val="en-US" w:eastAsia="zh-CN" w:bidi="ar-SA"/>
              </w:rPr>
              <w:t>指标</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一级指标</w:t>
            </w:r>
          </w:p>
        </w:tc>
        <w:tc>
          <w:tcPr>
            <w:tcW w:w="40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二级指标</w:t>
            </w:r>
          </w:p>
        </w:tc>
        <w:tc>
          <w:tcPr>
            <w:tcW w:w="25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三级指标</w:t>
            </w:r>
          </w:p>
        </w:tc>
        <w:tc>
          <w:tcPr>
            <w:tcW w:w="19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年度指标值</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实际完成值</w:t>
            </w: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指标分值</w:t>
            </w:r>
          </w:p>
        </w:tc>
        <w:tc>
          <w:tcPr>
            <w:tcW w:w="6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自评得分</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偏差原因分析及改进措施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5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产出指标</w:t>
            </w:r>
          </w:p>
        </w:tc>
        <w:tc>
          <w:tcPr>
            <w:tcW w:w="40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数量指标</w:t>
            </w:r>
          </w:p>
        </w:tc>
        <w:tc>
          <w:tcPr>
            <w:tcW w:w="25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村级乡村振兴协理员个数</w:t>
            </w:r>
          </w:p>
        </w:tc>
        <w:tc>
          <w:tcPr>
            <w:tcW w:w="19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=4名</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4</w:t>
            </w: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20</w:t>
            </w:r>
          </w:p>
        </w:tc>
        <w:tc>
          <w:tcPr>
            <w:tcW w:w="6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20</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5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40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质量指标</w:t>
            </w:r>
          </w:p>
        </w:tc>
        <w:tc>
          <w:tcPr>
            <w:tcW w:w="25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村级乡村振兴协理员配备率</w:t>
            </w:r>
          </w:p>
        </w:tc>
        <w:tc>
          <w:tcPr>
            <w:tcW w:w="19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w:t>
            </w: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5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40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时效指标</w:t>
            </w:r>
          </w:p>
        </w:tc>
        <w:tc>
          <w:tcPr>
            <w:tcW w:w="25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资金使用公开率</w:t>
            </w:r>
          </w:p>
        </w:tc>
        <w:tc>
          <w:tcPr>
            <w:tcW w:w="19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w:t>
            </w: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成本指标</w:t>
            </w:r>
          </w:p>
        </w:tc>
        <w:tc>
          <w:tcPr>
            <w:tcW w:w="40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经济成本指标</w:t>
            </w:r>
          </w:p>
        </w:tc>
        <w:tc>
          <w:tcPr>
            <w:tcW w:w="25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村级乡村协理员补助标准</w:t>
            </w:r>
          </w:p>
        </w:tc>
        <w:tc>
          <w:tcPr>
            <w:tcW w:w="19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=1800元/人</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1800</w:t>
            </w: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效益指标</w:t>
            </w:r>
          </w:p>
        </w:tc>
        <w:tc>
          <w:tcPr>
            <w:tcW w:w="40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社会效益指标</w:t>
            </w:r>
          </w:p>
        </w:tc>
        <w:tc>
          <w:tcPr>
            <w:tcW w:w="25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资金使用重大违规违纪问题</w:t>
            </w:r>
          </w:p>
        </w:tc>
        <w:tc>
          <w:tcPr>
            <w:tcW w:w="19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=无无</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无</w:t>
            </w: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30</w:t>
            </w:r>
          </w:p>
        </w:tc>
        <w:tc>
          <w:tcPr>
            <w:tcW w:w="6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30</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满意度指标</w:t>
            </w:r>
          </w:p>
        </w:tc>
        <w:tc>
          <w:tcPr>
            <w:tcW w:w="40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服务对象满意度指标</w:t>
            </w:r>
          </w:p>
        </w:tc>
        <w:tc>
          <w:tcPr>
            <w:tcW w:w="25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服务对象满意度</w:t>
            </w:r>
          </w:p>
        </w:tc>
        <w:tc>
          <w:tcPr>
            <w:tcW w:w="19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≥90%</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90</w:t>
            </w: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56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696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总分值、自评总得分（S）</w:t>
            </w:r>
          </w:p>
        </w:tc>
        <w:tc>
          <w:tcPr>
            <w:tcW w:w="280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100、97.5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评价等级</w:t>
            </w:r>
          </w:p>
        </w:tc>
        <w:tc>
          <w:tcPr>
            <w:tcW w:w="8710" w:type="dxa"/>
            <w:gridSpan w:val="9"/>
            <w:tcBorders>
              <w:top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优</w:t>
            </w:r>
          </w:p>
        </w:tc>
      </w:tr>
    </w:tbl>
    <w:p>
      <w:pPr>
        <w:pStyle w:val="26"/>
        <w:widowControl/>
        <w:numPr>
          <w:numId w:val="0"/>
        </w:numPr>
        <w:spacing w:before="240" w:after="240" w:line="560" w:lineRule="atLeast"/>
        <w:jc w:val="left"/>
        <w:rPr>
          <w:rFonts w:ascii="黑体" w:hAnsi="黑体" w:eastAsia="黑体" w:cs="黑体"/>
          <w:kern w:val="0"/>
          <w:sz w:val="32"/>
          <w:szCs w:val="32"/>
        </w:rPr>
      </w:pPr>
    </w:p>
    <w:tbl>
      <w:tblPr>
        <w:tblW w:w="976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534"/>
        <w:gridCol w:w="526"/>
        <w:gridCol w:w="404"/>
        <w:gridCol w:w="1267"/>
        <w:gridCol w:w="1250"/>
        <w:gridCol w:w="845"/>
        <w:gridCol w:w="1070"/>
        <w:gridCol w:w="1070"/>
        <w:gridCol w:w="624"/>
        <w:gridCol w:w="624"/>
        <w:gridCol w:w="15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450" w:hRule="atLeast"/>
        </w:trPr>
        <w:tc>
          <w:tcPr>
            <w:tcW w:w="9769"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b/>
                <w:i w:val="0"/>
                <w:color w:val="000000"/>
                <w:sz w:val="36"/>
                <w:szCs w:val="36"/>
                <w:u w:val="none"/>
              </w:rPr>
            </w:pPr>
            <w:r>
              <w:rPr>
                <w:rFonts w:hint="eastAsia" w:ascii="宋体" w:hAnsi="宋体" w:eastAsia="宋体" w:cs="宋体"/>
                <w:b/>
                <w:i w:val="0"/>
                <w:color w:val="000000"/>
                <w:kern w:val="0"/>
                <w:sz w:val="36"/>
                <w:szCs w:val="36"/>
                <w:u w:val="none"/>
                <w:lang w:val="en-US" w:eastAsia="zh-CN" w:bidi="ar-SA"/>
              </w:rPr>
              <w:t>项目支出绩效自评表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9769"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项目名称</w:t>
            </w:r>
          </w:p>
        </w:tc>
        <w:tc>
          <w:tcPr>
            <w:tcW w:w="830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2025年度村级扶贫协理员工资(33.84万元）(漳财〔2025〕1号)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主管部门</w:t>
            </w:r>
          </w:p>
        </w:tc>
        <w:tc>
          <w:tcPr>
            <w:tcW w:w="336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漳平市人民政府菁城街道办事处</w:t>
            </w:r>
          </w:p>
        </w:tc>
        <w:tc>
          <w:tcPr>
            <w:tcW w:w="21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实施单位</w:t>
            </w:r>
          </w:p>
        </w:tc>
        <w:tc>
          <w:tcPr>
            <w:tcW w:w="280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漳平市人民政府菁城街道办事处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项目资金(万元)</w:t>
            </w:r>
          </w:p>
        </w:tc>
        <w:tc>
          <w:tcPr>
            <w:tcW w:w="9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年初预算数</w:t>
            </w:r>
          </w:p>
        </w:tc>
        <w:tc>
          <w:tcPr>
            <w:tcW w:w="20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全年预算数</w:t>
            </w:r>
          </w:p>
        </w:tc>
        <w:tc>
          <w:tcPr>
            <w:tcW w:w="10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全年执行数</w:t>
            </w:r>
          </w:p>
        </w:tc>
        <w:tc>
          <w:tcPr>
            <w:tcW w:w="10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分值</w:t>
            </w:r>
          </w:p>
        </w:tc>
        <w:tc>
          <w:tcPr>
            <w:tcW w:w="12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执行率</w:t>
            </w:r>
          </w:p>
        </w:tc>
        <w:tc>
          <w:tcPr>
            <w:tcW w:w="15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40"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9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资金总额</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20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0.72</w:t>
            </w:r>
          </w:p>
        </w:tc>
        <w:tc>
          <w:tcPr>
            <w:tcW w:w="10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0.72</w:t>
            </w:r>
          </w:p>
        </w:tc>
        <w:tc>
          <w:tcPr>
            <w:tcW w:w="10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2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100.00</w:t>
            </w:r>
          </w:p>
        </w:tc>
        <w:tc>
          <w:tcPr>
            <w:tcW w:w="15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9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财政资金</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20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0.72</w:t>
            </w:r>
          </w:p>
        </w:tc>
        <w:tc>
          <w:tcPr>
            <w:tcW w:w="10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0.72</w:t>
            </w:r>
          </w:p>
        </w:tc>
        <w:tc>
          <w:tcPr>
            <w:tcW w:w="10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w:t>
            </w:r>
          </w:p>
        </w:tc>
        <w:tc>
          <w:tcPr>
            <w:tcW w:w="12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100.00</w:t>
            </w:r>
          </w:p>
        </w:tc>
        <w:tc>
          <w:tcPr>
            <w:tcW w:w="1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9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其他资金</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20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10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10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w:t>
            </w:r>
          </w:p>
        </w:tc>
        <w:tc>
          <w:tcPr>
            <w:tcW w:w="12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1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年度总体目标</w:t>
            </w:r>
          </w:p>
        </w:tc>
        <w:tc>
          <w:tcPr>
            <w:tcW w:w="429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预期目标</w:t>
            </w:r>
          </w:p>
        </w:tc>
        <w:tc>
          <w:tcPr>
            <w:tcW w:w="494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实际完成情况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1380"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4292" w:type="dxa"/>
            <w:gridSpan w:val="5"/>
            <w:tcBorders>
              <w:top w:val="single" w:color="000000" w:sz="4" w:space="0"/>
              <w:left w:val="single" w:color="000000" w:sz="4" w:space="0"/>
              <w:bottom w:val="single" w:color="000000" w:sz="4" w:space="0"/>
              <w:right w:val="single" w:color="000000" w:sz="4" w:space="0"/>
            </w:tcBorders>
            <w:shd w:val="clear" w:color="auto" w:fill="auto"/>
            <w:vAlign w:val="top"/>
          </w:tcPr>
          <w:p>
            <w:pPr>
              <w:widowControl/>
              <w:jc w:val="left"/>
              <w:textAlignment w:val="top"/>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补助村级乡村振兴协理员经费，进一步加大对农业农村的财政资金投入，促进产业发展，巩固脱贫成果，助乡村振兴</w:t>
            </w:r>
          </w:p>
        </w:tc>
        <w:tc>
          <w:tcPr>
            <w:tcW w:w="4943" w:type="dxa"/>
            <w:gridSpan w:val="5"/>
            <w:tcBorders>
              <w:top w:val="single" w:color="000000" w:sz="4" w:space="0"/>
              <w:left w:val="single" w:color="000000" w:sz="4" w:space="0"/>
              <w:bottom w:val="single" w:color="000000" w:sz="4" w:space="0"/>
              <w:right w:val="single" w:color="000000" w:sz="4" w:space="0"/>
            </w:tcBorders>
            <w:shd w:val="clear" w:color="auto" w:fill="auto"/>
            <w:vAlign w:val="top"/>
          </w:tcPr>
          <w:p>
            <w:pPr>
              <w:widowControl/>
              <w:jc w:val="left"/>
              <w:textAlignment w:val="top"/>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已完成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绩效</w:t>
            </w:r>
            <w:r>
              <w:rPr>
                <w:rFonts w:hint="eastAsia" w:ascii="宋体" w:hAnsi="宋体" w:eastAsia="宋体" w:cs="宋体"/>
                <w:i w:val="0"/>
                <w:color w:val="000000"/>
                <w:kern w:val="0"/>
                <w:sz w:val="24"/>
                <w:szCs w:val="24"/>
                <w:u w:val="none"/>
                <w:lang w:val="en-US" w:eastAsia="zh-CN" w:bidi="ar-SA"/>
              </w:rPr>
              <w:br/>
            </w:r>
            <w:r>
              <w:rPr>
                <w:rFonts w:hint="eastAsia" w:ascii="宋体" w:hAnsi="宋体" w:eastAsia="宋体" w:cs="宋体"/>
                <w:i w:val="0"/>
                <w:color w:val="000000"/>
                <w:kern w:val="0"/>
                <w:sz w:val="24"/>
                <w:szCs w:val="24"/>
                <w:u w:val="none"/>
                <w:lang w:val="en-US" w:eastAsia="zh-CN" w:bidi="ar-SA"/>
              </w:rPr>
              <w:t>指标</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一级指标</w:t>
            </w:r>
          </w:p>
        </w:tc>
        <w:tc>
          <w:tcPr>
            <w:tcW w:w="40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二级指标</w:t>
            </w:r>
          </w:p>
        </w:tc>
        <w:tc>
          <w:tcPr>
            <w:tcW w:w="25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三级指标</w:t>
            </w:r>
          </w:p>
        </w:tc>
        <w:tc>
          <w:tcPr>
            <w:tcW w:w="19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年度指标值</w:t>
            </w:r>
          </w:p>
        </w:tc>
        <w:tc>
          <w:tcPr>
            <w:tcW w:w="10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实际完成值</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指标分值</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自评得分</w:t>
            </w:r>
          </w:p>
        </w:tc>
        <w:tc>
          <w:tcPr>
            <w:tcW w:w="15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偏差原因分析及改进措施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5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产出指标</w:t>
            </w:r>
          </w:p>
        </w:tc>
        <w:tc>
          <w:tcPr>
            <w:tcW w:w="40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数量指标</w:t>
            </w:r>
          </w:p>
        </w:tc>
        <w:tc>
          <w:tcPr>
            <w:tcW w:w="25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村级乡村振兴协理员个数</w:t>
            </w:r>
          </w:p>
        </w:tc>
        <w:tc>
          <w:tcPr>
            <w:tcW w:w="19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=4名</w:t>
            </w:r>
          </w:p>
        </w:tc>
        <w:tc>
          <w:tcPr>
            <w:tcW w:w="10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4</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55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5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40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质量指标</w:t>
            </w:r>
          </w:p>
        </w:tc>
        <w:tc>
          <w:tcPr>
            <w:tcW w:w="25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村级乡村振兴协理员配备率</w:t>
            </w:r>
          </w:p>
        </w:tc>
        <w:tc>
          <w:tcPr>
            <w:tcW w:w="19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w:t>
            </w:r>
          </w:p>
        </w:tc>
        <w:tc>
          <w:tcPr>
            <w:tcW w:w="10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20</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20</w:t>
            </w:r>
          </w:p>
        </w:tc>
        <w:tc>
          <w:tcPr>
            <w:tcW w:w="155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5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40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时效指标</w:t>
            </w:r>
          </w:p>
        </w:tc>
        <w:tc>
          <w:tcPr>
            <w:tcW w:w="25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资金使用公开率</w:t>
            </w:r>
          </w:p>
        </w:tc>
        <w:tc>
          <w:tcPr>
            <w:tcW w:w="19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w:t>
            </w:r>
          </w:p>
        </w:tc>
        <w:tc>
          <w:tcPr>
            <w:tcW w:w="10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55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成本指标</w:t>
            </w:r>
          </w:p>
        </w:tc>
        <w:tc>
          <w:tcPr>
            <w:tcW w:w="40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经济成本指标</w:t>
            </w:r>
          </w:p>
        </w:tc>
        <w:tc>
          <w:tcPr>
            <w:tcW w:w="25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村级乡村协理员补助标准</w:t>
            </w:r>
          </w:p>
        </w:tc>
        <w:tc>
          <w:tcPr>
            <w:tcW w:w="19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=1800元/人</w:t>
            </w:r>
          </w:p>
        </w:tc>
        <w:tc>
          <w:tcPr>
            <w:tcW w:w="10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1800</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55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效益指标</w:t>
            </w:r>
          </w:p>
        </w:tc>
        <w:tc>
          <w:tcPr>
            <w:tcW w:w="40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社会效益指标</w:t>
            </w:r>
          </w:p>
        </w:tc>
        <w:tc>
          <w:tcPr>
            <w:tcW w:w="25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资金使用重大违规违纪问题</w:t>
            </w:r>
          </w:p>
        </w:tc>
        <w:tc>
          <w:tcPr>
            <w:tcW w:w="19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=无无</w:t>
            </w:r>
          </w:p>
        </w:tc>
        <w:tc>
          <w:tcPr>
            <w:tcW w:w="10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无</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30</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30</w:t>
            </w:r>
          </w:p>
        </w:tc>
        <w:tc>
          <w:tcPr>
            <w:tcW w:w="155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满意度指标</w:t>
            </w:r>
          </w:p>
        </w:tc>
        <w:tc>
          <w:tcPr>
            <w:tcW w:w="40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服务对象满意度指标</w:t>
            </w:r>
          </w:p>
        </w:tc>
        <w:tc>
          <w:tcPr>
            <w:tcW w:w="25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服务对象满意度</w:t>
            </w:r>
          </w:p>
        </w:tc>
        <w:tc>
          <w:tcPr>
            <w:tcW w:w="19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≥90%</w:t>
            </w:r>
          </w:p>
        </w:tc>
        <w:tc>
          <w:tcPr>
            <w:tcW w:w="10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90</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55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696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总分值、自评总得分（S）</w:t>
            </w:r>
          </w:p>
        </w:tc>
        <w:tc>
          <w:tcPr>
            <w:tcW w:w="280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评价等级</w:t>
            </w:r>
          </w:p>
        </w:tc>
        <w:tc>
          <w:tcPr>
            <w:tcW w:w="8709" w:type="dxa"/>
            <w:gridSpan w:val="9"/>
            <w:tcBorders>
              <w:top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优</w:t>
            </w:r>
          </w:p>
        </w:tc>
      </w:tr>
    </w:tbl>
    <w:p>
      <w:pPr>
        <w:pStyle w:val="26"/>
        <w:widowControl/>
        <w:numPr>
          <w:numId w:val="0"/>
        </w:numPr>
        <w:spacing w:before="240" w:after="240" w:line="560" w:lineRule="atLeast"/>
        <w:jc w:val="left"/>
        <w:rPr>
          <w:rFonts w:ascii="黑体" w:hAnsi="黑体" w:eastAsia="黑体" w:cs="黑体"/>
          <w:kern w:val="0"/>
          <w:sz w:val="32"/>
          <w:szCs w:val="32"/>
        </w:rPr>
      </w:pPr>
    </w:p>
    <w:tbl>
      <w:tblPr>
        <w:tblW w:w="976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533"/>
        <w:gridCol w:w="523"/>
        <w:gridCol w:w="402"/>
        <w:gridCol w:w="1260"/>
        <w:gridCol w:w="1252"/>
        <w:gridCol w:w="844"/>
        <w:gridCol w:w="1075"/>
        <w:gridCol w:w="1066"/>
        <w:gridCol w:w="614"/>
        <w:gridCol w:w="632"/>
        <w:gridCol w:w="15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450" w:hRule="atLeast"/>
        </w:trPr>
        <w:tc>
          <w:tcPr>
            <w:tcW w:w="9769"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b/>
                <w:i w:val="0"/>
                <w:color w:val="000000"/>
                <w:sz w:val="36"/>
                <w:szCs w:val="36"/>
                <w:u w:val="none"/>
              </w:rPr>
            </w:pPr>
            <w:r>
              <w:rPr>
                <w:rFonts w:hint="eastAsia" w:ascii="宋体" w:hAnsi="宋体" w:eastAsia="宋体" w:cs="宋体"/>
                <w:b/>
                <w:i w:val="0"/>
                <w:color w:val="000000"/>
                <w:kern w:val="0"/>
                <w:sz w:val="36"/>
                <w:szCs w:val="36"/>
                <w:u w:val="none"/>
                <w:lang w:val="en-US" w:eastAsia="zh-CN" w:bidi="ar-SA"/>
              </w:rPr>
              <w:t>项目支出绩效自评表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9769"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4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项目名称</w:t>
            </w:r>
          </w:p>
        </w:tc>
        <w:tc>
          <w:tcPr>
            <w:tcW w:w="831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2025年度国家重大水利工程建设基金（三峡后续工作）菁城街道农业基础设施项目（龙财农指〔2024〕49号）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4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主管部门</w:t>
            </w:r>
          </w:p>
        </w:tc>
        <w:tc>
          <w:tcPr>
            <w:tcW w:w="33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漳平市人民政府菁城街道办事处</w:t>
            </w:r>
          </w:p>
        </w:tc>
        <w:tc>
          <w:tcPr>
            <w:tcW w:w="214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实施单位</w:t>
            </w:r>
          </w:p>
        </w:tc>
        <w:tc>
          <w:tcPr>
            <w:tcW w:w="28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漳平市人民政府菁城街道办事处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项目资金(万元)</w:t>
            </w:r>
          </w:p>
        </w:tc>
        <w:tc>
          <w:tcPr>
            <w:tcW w:w="9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年初预算数</w:t>
            </w:r>
          </w:p>
        </w:tc>
        <w:tc>
          <w:tcPr>
            <w:tcW w:w="20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全年预算数</w:t>
            </w:r>
          </w:p>
        </w:tc>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全年执行数</w:t>
            </w: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分值</w:t>
            </w:r>
          </w:p>
        </w:tc>
        <w:tc>
          <w:tcPr>
            <w:tcW w:w="12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执行率</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40" w:hRule="atLeast"/>
        </w:trPr>
        <w:tc>
          <w:tcPr>
            <w:tcW w:w="5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9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资金总额</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20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26.00</w:t>
            </w:r>
          </w:p>
        </w:tc>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16.20</w:t>
            </w: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2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62.31</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6.23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9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财政资金</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20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26.00</w:t>
            </w:r>
          </w:p>
        </w:tc>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16.20</w:t>
            </w: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w:t>
            </w:r>
          </w:p>
        </w:tc>
        <w:tc>
          <w:tcPr>
            <w:tcW w:w="12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62.31</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9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其他资金</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20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w:t>
            </w:r>
          </w:p>
        </w:tc>
        <w:tc>
          <w:tcPr>
            <w:tcW w:w="12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年度总体目标</w:t>
            </w:r>
          </w:p>
        </w:tc>
        <w:tc>
          <w:tcPr>
            <w:tcW w:w="428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预期目标</w:t>
            </w:r>
          </w:p>
        </w:tc>
        <w:tc>
          <w:tcPr>
            <w:tcW w:w="495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实际完成情况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1380" w:hRule="atLeast"/>
        </w:trPr>
        <w:tc>
          <w:tcPr>
            <w:tcW w:w="5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4281" w:type="dxa"/>
            <w:gridSpan w:val="5"/>
            <w:tcBorders>
              <w:top w:val="single" w:color="000000" w:sz="4" w:space="0"/>
              <w:left w:val="single" w:color="000000" w:sz="4" w:space="0"/>
              <w:bottom w:val="single" w:color="000000" w:sz="4" w:space="0"/>
              <w:right w:val="single" w:color="000000" w:sz="4" w:space="0"/>
            </w:tcBorders>
            <w:shd w:val="clear" w:color="auto" w:fill="auto"/>
            <w:vAlign w:val="top"/>
          </w:tcPr>
          <w:p>
            <w:pPr>
              <w:widowControl/>
              <w:jc w:val="left"/>
              <w:textAlignment w:val="top"/>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帮助三峡移民进一步提高生产生活水平，建设三峡移民美丽家园。</w:t>
            </w:r>
          </w:p>
        </w:tc>
        <w:tc>
          <w:tcPr>
            <w:tcW w:w="4955" w:type="dxa"/>
            <w:gridSpan w:val="5"/>
            <w:tcBorders>
              <w:top w:val="single" w:color="000000" w:sz="4" w:space="0"/>
              <w:left w:val="single" w:color="000000" w:sz="4" w:space="0"/>
              <w:bottom w:val="single" w:color="000000" w:sz="4" w:space="0"/>
              <w:right w:val="single" w:color="000000" w:sz="4" w:space="0"/>
            </w:tcBorders>
            <w:shd w:val="clear" w:color="auto" w:fill="auto"/>
            <w:vAlign w:val="top"/>
          </w:tcPr>
          <w:p>
            <w:pPr>
              <w:widowControl/>
              <w:jc w:val="left"/>
              <w:textAlignment w:val="top"/>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项目还在建设中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绩效</w:t>
            </w:r>
            <w:r>
              <w:rPr>
                <w:rFonts w:hint="eastAsia" w:ascii="宋体" w:hAnsi="宋体" w:eastAsia="宋体" w:cs="宋体"/>
                <w:i w:val="0"/>
                <w:color w:val="000000"/>
                <w:kern w:val="0"/>
                <w:sz w:val="24"/>
                <w:szCs w:val="24"/>
                <w:u w:val="none"/>
                <w:lang w:val="en-US" w:eastAsia="zh-CN" w:bidi="ar-SA"/>
              </w:rPr>
              <w:br/>
            </w:r>
            <w:r>
              <w:rPr>
                <w:rFonts w:hint="eastAsia" w:ascii="宋体" w:hAnsi="宋体" w:eastAsia="宋体" w:cs="宋体"/>
                <w:i w:val="0"/>
                <w:color w:val="000000"/>
                <w:kern w:val="0"/>
                <w:sz w:val="24"/>
                <w:szCs w:val="24"/>
                <w:u w:val="none"/>
                <w:lang w:val="en-US" w:eastAsia="zh-CN" w:bidi="ar-SA"/>
              </w:rPr>
              <w:t>指标</w:t>
            </w: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一级指标</w:t>
            </w: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二级指标</w:t>
            </w:r>
          </w:p>
        </w:tc>
        <w:tc>
          <w:tcPr>
            <w:tcW w:w="25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三级指标</w:t>
            </w:r>
          </w:p>
        </w:tc>
        <w:tc>
          <w:tcPr>
            <w:tcW w:w="19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年度指标值</w:t>
            </w: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实际完成值</w:t>
            </w:r>
          </w:p>
        </w:tc>
        <w:tc>
          <w:tcPr>
            <w:tcW w:w="6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指标分值</w:t>
            </w:r>
          </w:p>
        </w:tc>
        <w:tc>
          <w:tcPr>
            <w:tcW w:w="63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自评得分</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偏差原因分析及改进措施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52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产出指标</w:t>
            </w:r>
          </w:p>
        </w:tc>
        <w:tc>
          <w:tcPr>
            <w:tcW w:w="4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数量指标</w:t>
            </w:r>
          </w:p>
        </w:tc>
        <w:tc>
          <w:tcPr>
            <w:tcW w:w="25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项目帮扶三峡移民安置社区数量</w:t>
            </w:r>
          </w:p>
        </w:tc>
        <w:tc>
          <w:tcPr>
            <w:tcW w:w="19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=1个</w:t>
            </w: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w:t>
            </w:r>
          </w:p>
        </w:tc>
        <w:tc>
          <w:tcPr>
            <w:tcW w:w="6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3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5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4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25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项目帮扶三峡移民收益人数</w:t>
            </w:r>
          </w:p>
        </w:tc>
        <w:tc>
          <w:tcPr>
            <w:tcW w:w="19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≥35人</w:t>
            </w: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35</w:t>
            </w:r>
          </w:p>
        </w:tc>
        <w:tc>
          <w:tcPr>
            <w:tcW w:w="6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3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5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4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质量指标</w:t>
            </w:r>
          </w:p>
        </w:tc>
        <w:tc>
          <w:tcPr>
            <w:tcW w:w="25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工程质量合格率</w:t>
            </w:r>
          </w:p>
        </w:tc>
        <w:tc>
          <w:tcPr>
            <w:tcW w:w="19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w:t>
            </w: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w:t>
            </w:r>
          </w:p>
        </w:tc>
        <w:tc>
          <w:tcPr>
            <w:tcW w:w="6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5</w:t>
            </w:r>
          </w:p>
        </w:tc>
        <w:tc>
          <w:tcPr>
            <w:tcW w:w="63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还在建设当中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5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4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25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项目验收通过率</w:t>
            </w:r>
          </w:p>
        </w:tc>
        <w:tc>
          <w:tcPr>
            <w:tcW w:w="19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w:t>
            </w: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w:t>
            </w:r>
          </w:p>
        </w:tc>
        <w:tc>
          <w:tcPr>
            <w:tcW w:w="6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w:t>
            </w:r>
          </w:p>
        </w:tc>
        <w:tc>
          <w:tcPr>
            <w:tcW w:w="63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还在建设当中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5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4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时效指标</w:t>
            </w:r>
          </w:p>
        </w:tc>
        <w:tc>
          <w:tcPr>
            <w:tcW w:w="25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项目按时开工率</w:t>
            </w:r>
          </w:p>
        </w:tc>
        <w:tc>
          <w:tcPr>
            <w:tcW w:w="19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w:t>
            </w: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w:t>
            </w:r>
          </w:p>
        </w:tc>
        <w:tc>
          <w:tcPr>
            <w:tcW w:w="6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5</w:t>
            </w:r>
          </w:p>
        </w:tc>
        <w:tc>
          <w:tcPr>
            <w:tcW w:w="63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5</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5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4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25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项目按时验收率</w:t>
            </w:r>
          </w:p>
        </w:tc>
        <w:tc>
          <w:tcPr>
            <w:tcW w:w="19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w:t>
            </w: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w:t>
            </w:r>
          </w:p>
        </w:tc>
        <w:tc>
          <w:tcPr>
            <w:tcW w:w="6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5</w:t>
            </w:r>
          </w:p>
        </w:tc>
        <w:tc>
          <w:tcPr>
            <w:tcW w:w="63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还在建设当中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5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4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25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年度预算执行率</w:t>
            </w:r>
          </w:p>
        </w:tc>
        <w:tc>
          <w:tcPr>
            <w:tcW w:w="19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w:t>
            </w: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62</w:t>
            </w:r>
          </w:p>
        </w:tc>
        <w:tc>
          <w:tcPr>
            <w:tcW w:w="6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5</w:t>
            </w:r>
          </w:p>
        </w:tc>
        <w:tc>
          <w:tcPr>
            <w:tcW w:w="63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3.1</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还在建设当中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成本指标</w:t>
            </w: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经济成本指标</w:t>
            </w:r>
          </w:p>
        </w:tc>
        <w:tc>
          <w:tcPr>
            <w:tcW w:w="25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菁城街道农业基础设施项目资金</w:t>
            </w:r>
          </w:p>
        </w:tc>
        <w:tc>
          <w:tcPr>
            <w:tcW w:w="19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≥26万元</w:t>
            </w: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16.2</w:t>
            </w:r>
          </w:p>
        </w:tc>
        <w:tc>
          <w:tcPr>
            <w:tcW w:w="6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3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6.23</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还在建设当中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52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效益指标</w:t>
            </w: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经济效益指标</w:t>
            </w:r>
          </w:p>
        </w:tc>
        <w:tc>
          <w:tcPr>
            <w:tcW w:w="25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促进移民安置组居民人均增收额</w:t>
            </w:r>
          </w:p>
        </w:tc>
        <w:tc>
          <w:tcPr>
            <w:tcW w:w="19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≥500元/月</w:t>
            </w: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300</w:t>
            </w:r>
          </w:p>
        </w:tc>
        <w:tc>
          <w:tcPr>
            <w:tcW w:w="6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3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6</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还在建设当中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5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社会效益指标</w:t>
            </w:r>
          </w:p>
        </w:tc>
        <w:tc>
          <w:tcPr>
            <w:tcW w:w="25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对当地生态环境产生积极影响</w:t>
            </w:r>
          </w:p>
        </w:tc>
        <w:tc>
          <w:tcPr>
            <w:tcW w:w="19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=是是</w:t>
            </w: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是</w:t>
            </w:r>
          </w:p>
        </w:tc>
        <w:tc>
          <w:tcPr>
            <w:tcW w:w="6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20</w:t>
            </w:r>
          </w:p>
        </w:tc>
        <w:tc>
          <w:tcPr>
            <w:tcW w:w="63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20</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满意度指标</w:t>
            </w: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服务对象满意度指标</w:t>
            </w:r>
          </w:p>
        </w:tc>
        <w:tc>
          <w:tcPr>
            <w:tcW w:w="25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移民安置居民（含移民）满意度</w:t>
            </w:r>
          </w:p>
        </w:tc>
        <w:tc>
          <w:tcPr>
            <w:tcW w:w="19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≥95%</w:t>
            </w: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95</w:t>
            </w:r>
          </w:p>
        </w:tc>
        <w:tc>
          <w:tcPr>
            <w:tcW w:w="6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3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56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695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总分值、自评总得分（S）</w:t>
            </w:r>
          </w:p>
        </w:tc>
        <w:tc>
          <w:tcPr>
            <w:tcW w:w="28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100、76.56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0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评价等级</w:t>
            </w:r>
          </w:p>
        </w:tc>
        <w:tc>
          <w:tcPr>
            <w:tcW w:w="8713" w:type="dxa"/>
            <w:gridSpan w:val="9"/>
            <w:tcBorders>
              <w:top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中</w:t>
            </w:r>
          </w:p>
        </w:tc>
      </w:tr>
    </w:tbl>
    <w:p>
      <w:pPr>
        <w:pStyle w:val="26"/>
        <w:widowControl/>
        <w:numPr>
          <w:numId w:val="0"/>
        </w:numPr>
        <w:spacing w:before="240" w:after="240" w:line="560" w:lineRule="atLeast"/>
        <w:jc w:val="left"/>
        <w:rPr>
          <w:rFonts w:ascii="黑体" w:hAnsi="黑体" w:eastAsia="黑体" w:cs="黑体"/>
          <w:kern w:val="0"/>
          <w:sz w:val="32"/>
          <w:szCs w:val="32"/>
        </w:rPr>
      </w:pPr>
    </w:p>
    <w:tbl>
      <w:tblPr>
        <w:tblW w:w="977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534"/>
        <w:gridCol w:w="524"/>
        <w:gridCol w:w="402"/>
        <w:gridCol w:w="88"/>
        <w:gridCol w:w="1175"/>
        <w:gridCol w:w="1249"/>
        <w:gridCol w:w="857"/>
        <w:gridCol w:w="1068"/>
        <w:gridCol w:w="1076"/>
        <w:gridCol w:w="623"/>
        <w:gridCol w:w="622"/>
        <w:gridCol w:w="155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450" w:hRule="atLeast"/>
        </w:trPr>
        <w:tc>
          <w:tcPr>
            <w:tcW w:w="9770"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b/>
                <w:i w:val="0"/>
                <w:color w:val="000000"/>
                <w:sz w:val="36"/>
                <w:szCs w:val="36"/>
                <w:u w:val="none"/>
              </w:rPr>
            </w:pPr>
            <w:r>
              <w:rPr>
                <w:rFonts w:hint="eastAsia" w:ascii="宋体" w:hAnsi="宋体" w:eastAsia="宋体" w:cs="宋体"/>
                <w:b/>
                <w:i w:val="0"/>
                <w:color w:val="000000"/>
                <w:kern w:val="0"/>
                <w:sz w:val="36"/>
                <w:szCs w:val="36"/>
                <w:u w:val="none"/>
                <w:lang w:val="en-US" w:eastAsia="zh-CN" w:bidi="ar-SA"/>
              </w:rPr>
              <w:t>项目支出绩效自评表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05" w:hRule="atLeast"/>
        </w:trPr>
        <w:tc>
          <w:tcPr>
            <w:tcW w:w="9770"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80" w:hRule="atLeast"/>
        </w:trPr>
        <w:tc>
          <w:tcPr>
            <w:tcW w:w="154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项目名称</w:t>
            </w:r>
          </w:p>
        </w:tc>
        <w:tc>
          <w:tcPr>
            <w:tcW w:w="822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2025年农村公路龙岩市级养护资金（龙财预指〔2025〕1号）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54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主管部门</w:t>
            </w:r>
          </w:p>
        </w:tc>
        <w:tc>
          <w:tcPr>
            <w:tcW w:w="328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漳平市人民政府菁城街道办事处</w:t>
            </w:r>
          </w:p>
        </w:tc>
        <w:tc>
          <w:tcPr>
            <w:tcW w:w="21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实施单位</w:t>
            </w:r>
          </w:p>
        </w:tc>
        <w:tc>
          <w:tcPr>
            <w:tcW w:w="279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漳平市人民政府菁城街道办事处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90" w:hRule="atLeast"/>
        </w:trPr>
        <w:tc>
          <w:tcPr>
            <w:tcW w:w="5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项目资金(万元)</w:t>
            </w:r>
          </w:p>
        </w:tc>
        <w:tc>
          <w:tcPr>
            <w:tcW w:w="10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年初预算数</w:t>
            </w:r>
          </w:p>
        </w:tc>
        <w:tc>
          <w:tcPr>
            <w:tcW w:w="21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全年预算数</w:t>
            </w:r>
          </w:p>
        </w:tc>
        <w:tc>
          <w:tcPr>
            <w:tcW w:w="106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全年执行数</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分值</w:t>
            </w:r>
          </w:p>
        </w:tc>
        <w:tc>
          <w:tcPr>
            <w:tcW w:w="12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执行率</w:t>
            </w:r>
          </w:p>
        </w:tc>
        <w:tc>
          <w:tcPr>
            <w:tcW w:w="15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40"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0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资金总额</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21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0.13</w:t>
            </w:r>
          </w:p>
        </w:tc>
        <w:tc>
          <w:tcPr>
            <w:tcW w:w="106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0.13</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2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100.00</w:t>
            </w:r>
          </w:p>
        </w:tc>
        <w:tc>
          <w:tcPr>
            <w:tcW w:w="15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0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财政资金</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21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0.13</w:t>
            </w:r>
          </w:p>
        </w:tc>
        <w:tc>
          <w:tcPr>
            <w:tcW w:w="106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0.13</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w:t>
            </w:r>
          </w:p>
        </w:tc>
        <w:tc>
          <w:tcPr>
            <w:tcW w:w="12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100.00</w:t>
            </w:r>
          </w:p>
        </w:tc>
        <w:tc>
          <w:tcPr>
            <w:tcW w:w="15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0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其他资金</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21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106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w:t>
            </w:r>
          </w:p>
        </w:tc>
        <w:tc>
          <w:tcPr>
            <w:tcW w:w="12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15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年度总体目标</w:t>
            </w:r>
          </w:p>
        </w:tc>
        <w:tc>
          <w:tcPr>
            <w:tcW w:w="429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预期目标</w:t>
            </w:r>
          </w:p>
        </w:tc>
        <w:tc>
          <w:tcPr>
            <w:tcW w:w="49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实际完成情况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1380"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4295" w:type="dxa"/>
            <w:gridSpan w:val="6"/>
            <w:tcBorders>
              <w:top w:val="single" w:color="000000" w:sz="4" w:space="0"/>
              <w:left w:val="single" w:color="000000" w:sz="4" w:space="0"/>
              <w:bottom w:val="single" w:color="000000" w:sz="4" w:space="0"/>
              <w:right w:val="single" w:color="000000" w:sz="4" w:space="0"/>
            </w:tcBorders>
            <w:shd w:val="clear" w:color="auto" w:fill="auto"/>
            <w:vAlign w:val="top"/>
          </w:tcPr>
          <w:p>
            <w:pPr>
              <w:widowControl/>
              <w:jc w:val="left"/>
              <w:textAlignment w:val="top"/>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保障菁城街道乡道、村道日常巡查、日常保养和小修</w:t>
            </w:r>
          </w:p>
        </w:tc>
        <w:tc>
          <w:tcPr>
            <w:tcW w:w="4941" w:type="dxa"/>
            <w:gridSpan w:val="5"/>
            <w:tcBorders>
              <w:top w:val="single" w:color="000000" w:sz="4" w:space="0"/>
              <w:left w:val="single" w:color="000000" w:sz="4" w:space="0"/>
              <w:bottom w:val="single" w:color="000000" w:sz="4" w:space="0"/>
              <w:right w:val="single" w:color="000000" w:sz="4" w:space="0"/>
            </w:tcBorders>
            <w:shd w:val="clear" w:color="auto" w:fill="auto"/>
            <w:vAlign w:val="top"/>
          </w:tcPr>
          <w:p>
            <w:pPr>
              <w:widowControl/>
              <w:jc w:val="left"/>
              <w:textAlignment w:val="top"/>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已完成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绩效</w:t>
            </w:r>
            <w:r>
              <w:rPr>
                <w:rFonts w:hint="eastAsia" w:ascii="宋体" w:hAnsi="宋体" w:eastAsia="宋体" w:cs="宋体"/>
                <w:i w:val="0"/>
                <w:color w:val="000000"/>
                <w:kern w:val="0"/>
                <w:sz w:val="24"/>
                <w:szCs w:val="24"/>
                <w:u w:val="none"/>
                <w:lang w:val="en-US" w:eastAsia="zh-CN" w:bidi="ar-SA"/>
              </w:rPr>
              <w:br/>
            </w:r>
            <w:r>
              <w:rPr>
                <w:rFonts w:hint="eastAsia" w:ascii="宋体" w:hAnsi="宋体" w:eastAsia="宋体" w:cs="宋体"/>
                <w:i w:val="0"/>
                <w:color w:val="000000"/>
                <w:kern w:val="0"/>
                <w:sz w:val="24"/>
                <w:szCs w:val="24"/>
                <w:u w:val="none"/>
                <w:lang w:val="en-US" w:eastAsia="zh-CN" w:bidi="ar-SA"/>
              </w:rPr>
              <w:t>指标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一级指标</w:t>
            </w: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二级指标</w:t>
            </w:r>
          </w:p>
        </w:tc>
        <w:tc>
          <w:tcPr>
            <w:tcW w:w="25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三级指标</w:t>
            </w:r>
          </w:p>
        </w:tc>
        <w:tc>
          <w:tcPr>
            <w:tcW w:w="19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年度指标值</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实际完成值</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指标分值</w:t>
            </w:r>
          </w:p>
        </w:tc>
        <w:tc>
          <w:tcPr>
            <w:tcW w:w="62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自评得分</w:t>
            </w:r>
          </w:p>
        </w:tc>
        <w:tc>
          <w:tcPr>
            <w:tcW w:w="15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偏差原因分析及改进措施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52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产出指标</w:t>
            </w:r>
          </w:p>
        </w:tc>
        <w:tc>
          <w:tcPr>
            <w:tcW w:w="4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数量指标</w:t>
            </w:r>
          </w:p>
        </w:tc>
        <w:tc>
          <w:tcPr>
            <w:tcW w:w="25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养护乡道里程数</w:t>
            </w:r>
          </w:p>
        </w:tc>
        <w:tc>
          <w:tcPr>
            <w:tcW w:w="19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≥2.685公里</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2.685</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2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55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5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4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25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养护村道里程数</w:t>
            </w:r>
          </w:p>
        </w:tc>
        <w:tc>
          <w:tcPr>
            <w:tcW w:w="19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≥3.677公里</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3.677</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2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55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5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质量指标</w:t>
            </w:r>
          </w:p>
        </w:tc>
        <w:tc>
          <w:tcPr>
            <w:tcW w:w="25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资金使用合格率</w:t>
            </w:r>
          </w:p>
        </w:tc>
        <w:tc>
          <w:tcPr>
            <w:tcW w:w="19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2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55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5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时效指标</w:t>
            </w:r>
          </w:p>
        </w:tc>
        <w:tc>
          <w:tcPr>
            <w:tcW w:w="25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按期完成投资率</w:t>
            </w:r>
          </w:p>
        </w:tc>
        <w:tc>
          <w:tcPr>
            <w:tcW w:w="19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2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55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成本指标</w:t>
            </w: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经济成本指标</w:t>
            </w:r>
          </w:p>
        </w:tc>
        <w:tc>
          <w:tcPr>
            <w:tcW w:w="25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项目成本控制率</w:t>
            </w:r>
          </w:p>
        </w:tc>
        <w:tc>
          <w:tcPr>
            <w:tcW w:w="19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2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55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效益指标</w:t>
            </w: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社会效益指标</w:t>
            </w:r>
          </w:p>
        </w:tc>
        <w:tc>
          <w:tcPr>
            <w:tcW w:w="25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提升基本公共服务水平</w:t>
            </w:r>
          </w:p>
        </w:tc>
        <w:tc>
          <w:tcPr>
            <w:tcW w:w="19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≥80%</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85</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30</w:t>
            </w:r>
          </w:p>
        </w:tc>
        <w:tc>
          <w:tcPr>
            <w:tcW w:w="62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30</w:t>
            </w:r>
          </w:p>
        </w:tc>
        <w:tc>
          <w:tcPr>
            <w:tcW w:w="155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满意度指标</w:t>
            </w: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服务对象满意度指标</w:t>
            </w:r>
          </w:p>
        </w:tc>
        <w:tc>
          <w:tcPr>
            <w:tcW w:w="25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改善通行服务水平群众满意度</w:t>
            </w:r>
          </w:p>
        </w:tc>
        <w:tc>
          <w:tcPr>
            <w:tcW w:w="19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≥85%</w:t>
            </w:r>
          </w:p>
        </w:tc>
        <w:tc>
          <w:tcPr>
            <w:tcW w:w="107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90</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2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55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90" w:hRule="atLeast"/>
        </w:trPr>
        <w:tc>
          <w:tcPr>
            <w:tcW w:w="697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总分值、自评总得分（S）</w:t>
            </w:r>
          </w:p>
        </w:tc>
        <w:tc>
          <w:tcPr>
            <w:tcW w:w="279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05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评价等级</w:t>
            </w:r>
          </w:p>
        </w:tc>
        <w:tc>
          <w:tcPr>
            <w:tcW w:w="8712" w:type="dxa"/>
            <w:gridSpan w:val="10"/>
            <w:tcBorders>
              <w:top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优</w:t>
            </w:r>
          </w:p>
        </w:tc>
      </w:tr>
    </w:tbl>
    <w:p>
      <w:pPr>
        <w:pStyle w:val="26"/>
        <w:widowControl/>
        <w:numPr>
          <w:numId w:val="0"/>
        </w:numPr>
        <w:spacing w:before="240" w:after="240" w:line="560" w:lineRule="atLeast"/>
        <w:jc w:val="left"/>
        <w:rPr>
          <w:rFonts w:ascii="黑体" w:hAnsi="黑体" w:eastAsia="黑体" w:cs="黑体"/>
          <w:kern w:val="0"/>
          <w:sz w:val="32"/>
          <w:szCs w:val="32"/>
        </w:rPr>
      </w:pPr>
    </w:p>
    <w:tbl>
      <w:tblPr>
        <w:tblW w:w="976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534"/>
        <w:gridCol w:w="526"/>
        <w:gridCol w:w="404"/>
        <w:gridCol w:w="1267"/>
        <w:gridCol w:w="1250"/>
        <w:gridCol w:w="845"/>
        <w:gridCol w:w="1070"/>
        <w:gridCol w:w="1070"/>
        <w:gridCol w:w="624"/>
        <w:gridCol w:w="624"/>
        <w:gridCol w:w="15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450" w:hRule="atLeast"/>
        </w:trPr>
        <w:tc>
          <w:tcPr>
            <w:tcW w:w="9769"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b/>
                <w:i w:val="0"/>
                <w:color w:val="000000"/>
                <w:sz w:val="36"/>
                <w:szCs w:val="36"/>
                <w:u w:val="none"/>
              </w:rPr>
            </w:pPr>
            <w:r>
              <w:rPr>
                <w:rFonts w:hint="eastAsia" w:ascii="宋体" w:hAnsi="宋体" w:eastAsia="宋体" w:cs="宋体"/>
                <w:b/>
                <w:i w:val="0"/>
                <w:color w:val="000000"/>
                <w:kern w:val="0"/>
                <w:sz w:val="36"/>
                <w:szCs w:val="36"/>
                <w:u w:val="none"/>
                <w:lang w:val="en-US" w:eastAsia="zh-CN" w:bidi="ar-SA"/>
              </w:rPr>
              <w:t>项目支出绩效自评表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9769"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项目名称</w:t>
            </w:r>
          </w:p>
        </w:tc>
        <w:tc>
          <w:tcPr>
            <w:tcW w:w="830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2025年全省文物建筑大排查大整治补助项目（电气线路改造及消防设施提升）—龙财教指〔2025〕7号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主管部门</w:t>
            </w:r>
          </w:p>
        </w:tc>
        <w:tc>
          <w:tcPr>
            <w:tcW w:w="336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漳平市人民政府菁城街道办事处</w:t>
            </w:r>
          </w:p>
        </w:tc>
        <w:tc>
          <w:tcPr>
            <w:tcW w:w="21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实施单位</w:t>
            </w:r>
          </w:p>
        </w:tc>
        <w:tc>
          <w:tcPr>
            <w:tcW w:w="280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漳平市人民政府菁城街道办事处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项目资金(万元)</w:t>
            </w:r>
          </w:p>
        </w:tc>
        <w:tc>
          <w:tcPr>
            <w:tcW w:w="9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年初预算数</w:t>
            </w:r>
          </w:p>
        </w:tc>
        <w:tc>
          <w:tcPr>
            <w:tcW w:w="20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全年预算数</w:t>
            </w:r>
          </w:p>
        </w:tc>
        <w:tc>
          <w:tcPr>
            <w:tcW w:w="10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全年执行数</w:t>
            </w:r>
          </w:p>
        </w:tc>
        <w:tc>
          <w:tcPr>
            <w:tcW w:w="10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分值</w:t>
            </w:r>
          </w:p>
        </w:tc>
        <w:tc>
          <w:tcPr>
            <w:tcW w:w="12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执行率</w:t>
            </w:r>
          </w:p>
        </w:tc>
        <w:tc>
          <w:tcPr>
            <w:tcW w:w="15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40"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9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资金总额</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20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2.40</w:t>
            </w:r>
          </w:p>
        </w:tc>
        <w:tc>
          <w:tcPr>
            <w:tcW w:w="10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2.40</w:t>
            </w:r>
          </w:p>
        </w:tc>
        <w:tc>
          <w:tcPr>
            <w:tcW w:w="10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2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100.00</w:t>
            </w:r>
          </w:p>
        </w:tc>
        <w:tc>
          <w:tcPr>
            <w:tcW w:w="15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9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财政资金</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20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2.40</w:t>
            </w:r>
          </w:p>
        </w:tc>
        <w:tc>
          <w:tcPr>
            <w:tcW w:w="10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2.40</w:t>
            </w:r>
          </w:p>
        </w:tc>
        <w:tc>
          <w:tcPr>
            <w:tcW w:w="10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w:t>
            </w:r>
          </w:p>
        </w:tc>
        <w:tc>
          <w:tcPr>
            <w:tcW w:w="12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100.00</w:t>
            </w:r>
          </w:p>
        </w:tc>
        <w:tc>
          <w:tcPr>
            <w:tcW w:w="1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9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其他资金</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20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10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10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w:t>
            </w:r>
          </w:p>
        </w:tc>
        <w:tc>
          <w:tcPr>
            <w:tcW w:w="12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1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年度总体目标</w:t>
            </w:r>
          </w:p>
        </w:tc>
        <w:tc>
          <w:tcPr>
            <w:tcW w:w="429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预期目标</w:t>
            </w:r>
          </w:p>
        </w:tc>
        <w:tc>
          <w:tcPr>
            <w:tcW w:w="494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实际完成情况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1380"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4292" w:type="dxa"/>
            <w:gridSpan w:val="5"/>
            <w:tcBorders>
              <w:top w:val="single" w:color="000000" w:sz="4" w:space="0"/>
              <w:left w:val="single" w:color="000000" w:sz="4" w:space="0"/>
              <w:bottom w:val="single" w:color="000000" w:sz="4" w:space="0"/>
              <w:right w:val="single" w:color="000000" w:sz="4" w:space="0"/>
            </w:tcBorders>
            <w:shd w:val="clear" w:color="auto" w:fill="auto"/>
            <w:vAlign w:val="top"/>
          </w:tcPr>
          <w:p>
            <w:pPr>
              <w:widowControl/>
              <w:jc w:val="left"/>
              <w:textAlignment w:val="top"/>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改善省级文物保护单位火灾风险，完成室内消防栓系统建设或设置轻便软管卷盘和电气电线路整治。</w:t>
            </w:r>
          </w:p>
        </w:tc>
        <w:tc>
          <w:tcPr>
            <w:tcW w:w="4943" w:type="dxa"/>
            <w:gridSpan w:val="5"/>
            <w:tcBorders>
              <w:top w:val="single" w:color="000000" w:sz="4" w:space="0"/>
              <w:left w:val="single" w:color="000000" w:sz="4" w:space="0"/>
              <w:bottom w:val="single" w:color="000000" w:sz="4" w:space="0"/>
              <w:right w:val="single" w:color="000000" w:sz="4" w:space="0"/>
            </w:tcBorders>
            <w:shd w:val="clear" w:color="auto" w:fill="auto"/>
            <w:vAlign w:val="top"/>
          </w:tcPr>
          <w:p>
            <w:pPr>
              <w:widowControl/>
              <w:jc w:val="left"/>
              <w:textAlignment w:val="top"/>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已完成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绩效</w:t>
            </w:r>
            <w:r>
              <w:rPr>
                <w:rFonts w:hint="eastAsia" w:ascii="宋体" w:hAnsi="宋体" w:eastAsia="宋体" w:cs="宋体"/>
                <w:i w:val="0"/>
                <w:color w:val="000000"/>
                <w:kern w:val="0"/>
                <w:sz w:val="24"/>
                <w:szCs w:val="24"/>
                <w:u w:val="none"/>
                <w:lang w:val="en-US" w:eastAsia="zh-CN" w:bidi="ar-SA"/>
              </w:rPr>
              <w:br/>
            </w:r>
            <w:r>
              <w:rPr>
                <w:rFonts w:hint="eastAsia" w:ascii="宋体" w:hAnsi="宋体" w:eastAsia="宋体" w:cs="宋体"/>
                <w:i w:val="0"/>
                <w:color w:val="000000"/>
                <w:kern w:val="0"/>
                <w:sz w:val="24"/>
                <w:szCs w:val="24"/>
                <w:u w:val="none"/>
                <w:lang w:val="en-US" w:eastAsia="zh-CN" w:bidi="ar-SA"/>
              </w:rPr>
              <w:t>指标</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一级指标</w:t>
            </w:r>
          </w:p>
        </w:tc>
        <w:tc>
          <w:tcPr>
            <w:tcW w:w="40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二级指标</w:t>
            </w:r>
          </w:p>
        </w:tc>
        <w:tc>
          <w:tcPr>
            <w:tcW w:w="25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三级指标</w:t>
            </w:r>
          </w:p>
        </w:tc>
        <w:tc>
          <w:tcPr>
            <w:tcW w:w="19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年度指标值</w:t>
            </w:r>
          </w:p>
        </w:tc>
        <w:tc>
          <w:tcPr>
            <w:tcW w:w="10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实际完成值</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指标分值</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自评得分</w:t>
            </w:r>
          </w:p>
        </w:tc>
        <w:tc>
          <w:tcPr>
            <w:tcW w:w="15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偏差原因分析及改进措施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5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产出指标</w:t>
            </w:r>
          </w:p>
        </w:tc>
        <w:tc>
          <w:tcPr>
            <w:tcW w:w="40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数量指标</w:t>
            </w:r>
          </w:p>
        </w:tc>
        <w:tc>
          <w:tcPr>
            <w:tcW w:w="25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电气线路改造及消防设施提升</w:t>
            </w:r>
          </w:p>
        </w:tc>
        <w:tc>
          <w:tcPr>
            <w:tcW w:w="19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=1处</w:t>
            </w:r>
          </w:p>
        </w:tc>
        <w:tc>
          <w:tcPr>
            <w:tcW w:w="10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1000</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55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5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4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质量指标</w:t>
            </w:r>
          </w:p>
        </w:tc>
        <w:tc>
          <w:tcPr>
            <w:tcW w:w="25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项目验收合格率</w:t>
            </w:r>
          </w:p>
        </w:tc>
        <w:tc>
          <w:tcPr>
            <w:tcW w:w="19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≥90%</w:t>
            </w:r>
          </w:p>
        </w:tc>
        <w:tc>
          <w:tcPr>
            <w:tcW w:w="10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90</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55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5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4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25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文物安全事故发生率</w:t>
            </w:r>
          </w:p>
        </w:tc>
        <w:tc>
          <w:tcPr>
            <w:tcW w:w="19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w:t>
            </w:r>
          </w:p>
        </w:tc>
        <w:tc>
          <w:tcPr>
            <w:tcW w:w="10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5</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5</w:t>
            </w:r>
          </w:p>
        </w:tc>
        <w:tc>
          <w:tcPr>
            <w:tcW w:w="155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5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4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25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专项资金专款专用</w:t>
            </w:r>
          </w:p>
        </w:tc>
        <w:tc>
          <w:tcPr>
            <w:tcW w:w="19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w:t>
            </w:r>
          </w:p>
        </w:tc>
        <w:tc>
          <w:tcPr>
            <w:tcW w:w="10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5</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5</w:t>
            </w:r>
          </w:p>
        </w:tc>
        <w:tc>
          <w:tcPr>
            <w:tcW w:w="155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5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40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时效指标</w:t>
            </w:r>
          </w:p>
        </w:tc>
        <w:tc>
          <w:tcPr>
            <w:tcW w:w="25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项目完成时间</w:t>
            </w:r>
          </w:p>
        </w:tc>
        <w:tc>
          <w:tcPr>
            <w:tcW w:w="19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=2025年12月底前2025年12月底前</w:t>
            </w:r>
          </w:p>
        </w:tc>
        <w:tc>
          <w:tcPr>
            <w:tcW w:w="10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 xml:space="preserve">  2025年12月底前</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55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成本指标</w:t>
            </w:r>
          </w:p>
        </w:tc>
        <w:tc>
          <w:tcPr>
            <w:tcW w:w="40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经济成本指标</w:t>
            </w:r>
          </w:p>
        </w:tc>
        <w:tc>
          <w:tcPr>
            <w:tcW w:w="25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预算控制数</w:t>
            </w:r>
          </w:p>
        </w:tc>
        <w:tc>
          <w:tcPr>
            <w:tcW w:w="19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≤2.4万元</w:t>
            </w:r>
          </w:p>
        </w:tc>
        <w:tc>
          <w:tcPr>
            <w:tcW w:w="10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2.4</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55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效益指标</w:t>
            </w:r>
          </w:p>
        </w:tc>
        <w:tc>
          <w:tcPr>
            <w:tcW w:w="40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社会效益指标</w:t>
            </w:r>
          </w:p>
        </w:tc>
        <w:tc>
          <w:tcPr>
            <w:tcW w:w="25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提升全民文物保护意识</w:t>
            </w:r>
          </w:p>
        </w:tc>
        <w:tc>
          <w:tcPr>
            <w:tcW w:w="19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=显著显著</w:t>
            </w:r>
          </w:p>
        </w:tc>
        <w:tc>
          <w:tcPr>
            <w:tcW w:w="10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显著</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30</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30</w:t>
            </w:r>
          </w:p>
        </w:tc>
        <w:tc>
          <w:tcPr>
            <w:tcW w:w="155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满意度指标</w:t>
            </w:r>
          </w:p>
        </w:tc>
        <w:tc>
          <w:tcPr>
            <w:tcW w:w="40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服务对象满意度指标</w:t>
            </w:r>
          </w:p>
        </w:tc>
        <w:tc>
          <w:tcPr>
            <w:tcW w:w="25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服务对象满意度</w:t>
            </w:r>
          </w:p>
        </w:tc>
        <w:tc>
          <w:tcPr>
            <w:tcW w:w="19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≥90%</w:t>
            </w:r>
          </w:p>
        </w:tc>
        <w:tc>
          <w:tcPr>
            <w:tcW w:w="10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90</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55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696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总分值、自评总得分（S）</w:t>
            </w:r>
          </w:p>
        </w:tc>
        <w:tc>
          <w:tcPr>
            <w:tcW w:w="280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评价等级</w:t>
            </w:r>
          </w:p>
        </w:tc>
        <w:tc>
          <w:tcPr>
            <w:tcW w:w="8709" w:type="dxa"/>
            <w:gridSpan w:val="9"/>
            <w:tcBorders>
              <w:top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优</w:t>
            </w:r>
          </w:p>
        </w:tc>
      </w:tr>
    </w:tbl>
    <w:p>
      <w:pPr>
        <w:pStyle w:val="26"/>
        <w:widowControl/>
        <w:numPr>
          <w:numId w:val="0"/>
        </w:numPr>
        <w:spacing w:before="240" w:after="240" w:line="560" w:lineRule="atLeast"/>
        <w:jc w:val="left"/>
        <w:rPr>
          <w:rFonts w:ascii="黑体" w:hAnsi="黑体" w:eastAsia="黑体" w:cs="黑体"/>
          <w:kern w:val="0"/>
          <w:sz w:val="32"/>
          <w:szCs w:val="32"/>
        </w:rPr>
      </w:pPr>
    </w:p>
    <w:tbl>
      <w:tblPr>
        <w:tblW w:w="976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535"/>
        <w:gridCol w:w="527"/>
        <w:gridCol w:w="404"/>
        <w:gridCol w:w="1269"/>
        <w:gridCol w:w="1254"/>
        <w:gridCol w:w="845"/>
        <w:gridCol w:w="1072"/>
        <w:gridCol w:w="1054"/>
        <w:gridCol w:w="625"/>
        <w:gridCol w:w="625"/>
        <w:gridCol w:w="155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450" w:hRule="atLeast"/>
        </w:trPr>
        <w:tc>
          <w:tcPr>
            <w:tcW w:w="9769"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b/>
                <w:i w:val="0"/>
                <w:color w:val="000000"/>
                <w:sz w:val="36"/>
                <w:szCs w:val="36"/>
                <w:u w:val="none"/>
              </w:rPr>
            </w:pPr>
            <w:r>
              <w:rPr>
                <w:rFonts w:hint="eastAsia" w:ascii="宋体" w:hAnsi="宋体" w:eastAsia="宋体" w:cs="宋体"/>
                <w:b/>
                <w:i w:val="0"/>
                <w:color w:val="000000"/>
                <w:kern w:val="0"/>
                <w:sz w:val="36"/>
                <w:szCs w:val="36"/>
                <w:u w:val="none"/>
                <w:lang w:val="en-US" w:eastAsia="zh-CN" w:bidi="ar-SA"/>
              </w:rPr>
              <w:t>项目支出绩效自评表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9769"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4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项目名称</w:t>
            </w:r>
          </w:p>
        </w:tc>
        <w:tc>
          <w:tcPr>
            <w:tcW w:w="830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2025年省级商务发展专项资金（商贸服务业方向）(龙财外指【2025】31号)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4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主管部门</w:t>
            </w:r>
          </w:p>
        </w:tc>
        <w:tc>
          <w:tcPr>
            <w:tcW w:w="336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漳平市人民政府菁城街道办事处</w:t>
            </w:r>
          </w:p>
        </w:tc>
        <w:tc>
          <w:tcPr>
            <w:tcW w:w="21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实施单位</w:t>
            </w:r>
          </w:p>
        </w:tc>
        <w:tc>
          <w:tcPr>
            <w:tcW w:w="280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漳平市人民政府菁城街道办事处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项目资金(万元)</w:t>
            </w:r>
          </w:p>
        </w:tc>
        <w:tc>
          <w:tcPr>
            <w:tcW w:w="93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26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年初预算数</w:t>
            </w:r>
          </w:p>
        </w:tc>
        <w:tc>
          <w:tcPr>
            <w:tcW w:w="20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全年预算数</w:t>
            </w:r>
          </w:p>
        </w:tc>
        <w:tc>
          <w:tcPr>
            <w:tcW w:w="107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全年执行数</w:t>
            </w:r>
          </w:p>
        </w:tc>
        <w:tc>
          <w:tcPr>
            <w:tcW w:w="105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分值</w:t>
            </w:r>
          </w:p>
        </w:tc>
        <w:tc>
          <w:tcPr>
            <w:tcW w:w="12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执行率</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40" w:hRule="atLeast"/>
        </w:trPr>
        <w:tc>
          <w:tcPr>
            <w:tcW w:w="5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93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资金总额</w:t>
            </w:r>
          </w:p>
        </w:tc>
        <w:tc>
          <w:tcPr>
            <w:tcW w:w="126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20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4.00</w:t>
            </w:r>
          </w:p>
        </w:tc>
        <w:tc>
          <w:tcPr>
            <w:tcW w:w="107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4.00</w:t>
            </w:r>
          </w:p>
        </w:tc>
        <w:tc>
          <w:tcPr>
            <w:tcW w:w="105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2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100.00</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93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财政资金</w:t>
            </w:r>
          </w:p>
        </w:tc>
        <w:tc>
          <w:tcPr>
            <w:tcW w:w="126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20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4.00</w:t>
            </w:r>
          </w:p>
        </w:tc>
        <w:tc>
          <w:tcPr>
            <w:tcW w:w="107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4.00</w:t>
            </w:r>
          </w:p>
        </w:tc>
        <w:tc>
          <w:tcPr>
            <w:tcW w:w="105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w:t>
            </w:r>
          </w:p>
        </w:tc>
        <w:tc>
          <w:tcPr>
            <w:tcW w:w="12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100.00</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93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其他资金</w:t>
            </w:r>
          </w:p>
        </w:tc>
        <w:tc>
          <w:tcPr>
            <w:tcW w:w="126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20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107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105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w:t>
            </w:r>
          </w:p>
        </w:tc>
        <w:tc>
          <w:tcPr>
            <w:tcW w:w="12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年度总体目标</w:t>
            </w:r>
          </w:p>
        </w:tc>
        <w:tc>
          <w:tcPr>
            <w:tcW w:w="429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预期目标</w:t>
            </w:r>
          </w:p>
        </w:tc>
        <w:tc>
          <w:tcPr>
            <w:tcW w:w="493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实际完成情况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1380" w:hRule="atLeast"/>
        </w:trPr>
        <w:tc>
          <w:tcPr>
            <w:tcW w:w="5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4299" w:type="dxa"/>
            <w:gridSpan w:val="5"/>
            <w:tcBorders>
              <w:top w:val="single" w:color="000000" w:sz="4" w:space="0"/>
              <w:left w:val="single" w:color="000000" w:sz="4" w:space="0"/>
              <w:bottom w:val="single" w:color="000000" w:sz="4" w:space="0"/>
              <w:right w:val="single" w:color="000000" w:sz="4" w:space="0"/>
            </w:tcBorders>
            <w:shd w:val="clear" w:color="auto" w:fill="auto"/>
            <w:vAlign w:val="top"/>
          </w:tcPr>
          <w:p>
            <w:pPr>
              <w:widowControl/>
              <w:jc w:val="left"/>
              <w:textAlignment w:val="top"/>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街道组织开展节日庆典活动、组织本地特色闽菜、小吃等美食集中展示活动，推广地方美食特色</w:t>
            </w:r>
          </w:p>
        </w:tc>
        <w:tc>
          <w:tcPr>
            <w:tcW w:w="4935" w:type="dxa"/>
            <w:gridSpan w:val="5"/>
            <w:tcBorders>
              <w:top w:val="single" w:color="000000" w:sz="4" w:space="0"/>
              <w:left w:val="single" w:color="000000" w:sz="4" w:space="0"/>
              <w:bottom w:val="single" w:color="000000" w:sz="4" w:space="0"/>
              <w:right w:val="single" w:color="000000" w:sz="4" w:space="0"/>
            </w:tcBorders>
            <w:shd w:val="clear" w:color="auto" w:fill="auto"/>
            <w:vAlign w:val="top"/>
          </w:tcPr>
          <w:p>
            <w:pPr>
              <w:widowControl/>
              <w:jc w:val="left"/>
              <w:textAlignment w:val="top"/>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已完成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绩效</w:t>
            </w:r>
            <w:r>
              <w:rPr>
                <w:rFonts w:hint="eastAsia" w:ascii="宋体" w:hAnsi="宋体" w:eastAsia="宋体" w:cs="宋体"/>
                <w:i w:val="0"/>
                <w:color w:val="000000"/>
                <w:kern w:val="0"/>
                <w:sz w:val="24"/>
                <w:szCs w:val="24"/>
                <w:u w:val="none"/>
                <w:lang w:val="en-US" w:eastAsia="zh-CN" w:bidi="ar-SA"/>
              </w:rPr>
              <w:br/>
            </w:r>
            <w:r>
              <w:rPr>
                <w:rFonts w:hint="eastAsia" w:ascii="宋体" w:hAnsi="宋体" w:eastAsia="宋体" w:cs="宋体"/>
                <w:i w:val="0"/>
                <w:color w:val="000000"/>
                <w:kern w:val="0"/>
                <w:sz w:val="24"/>
                <w:szCs w:val="24"/>
                <w:u w:val="none"/>
                <w:lang w:val="en-US" w:eastAsia="zh-CN" w:bidi="ar-SA"/>
              </w:rPr>
              <w:t>指标</w:t>
            </w:r>
          </w:p>
        </w:tc>
        <w:tc>
          <w:tcPr>
            <w:tcW w:w="5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一级指标</w:t>
            </w:r>
          </w:p>
        </w:tc>
        <w:tc>
          <w:tcPr>
            <w:tcW w:w="40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二级指标</w:t>
            </w:r>
          </w:p>
        </w:tc>
        <w:tc>
          <w:tcPr>
            <w:tcW w:w="252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三级指标</w:t>
            </w:r>
          </w:p>
        </w:tc>
        <w:tc>
          <w:tcPr>
            <w:tcW w:w="19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年度指标值</w:t>
            </w:r>
          </w:p>
        </w:tc>
        <w:tc>
          <w:tcPr>
            <w:tcW w:w="105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实际完成值</w:t>
            </w:r>
          </w:p>
        </w:tc>
        <w:tc>
          <w:tcPr>
            <w:tcW w:w="6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指标分值</w:t>
            </w:r>
          </w:p>
        </w:tc>
        <w:tc>
          <w:tcPr>
            <w:tcW w:w="6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自评得分</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偏差原因分析及改进措施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5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产出指标</w:t>
            </w:r>
          </w:p>
        </w:tc>
        <w:tc>
          <w:tcPr>
            <w:tcW w:w="40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数量指标</w:t>
            </w:r>
          </w:p>
        </w:tc>
        <w:tc>
          <w:tcPr>
            <w:tcW w:w="252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开展“美好生活嘉年华”及“美食嘉年华”场次</w:t>
            </w:r>
          </w:p>
        </w:tc>
        <w:tc>
          <w:tcPr>
            <w:tcW w:w="19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≥1次</w:t>
            </w:r>
          </w:p>
        </w:tc>
        <w:tc>
          <w:tcPr>
            <w:tcW w:w="105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w:t>
            </w:r>
          </w:p>
        </w:tc>
        <w:tc>
          <w:tcPr>
            <w:tcW w:w="6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20</w:t>
            </w:r>
          </w:p>
        </w:tc>
        <w:tc>
          <w:tcPr>
            <w:tcW w:w="6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20</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5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40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质量指标</w:t>
            </w:r>
          </w:p>
        </w:tc>
        <w:tc>
          <w:tcPr>
            <w:tcW w:w="252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参展企业数</w:t>
            </w:r>
          </w:p>
        </w:tc>
        <w:tc>
          <w:tcPr>
            <w:tcW w:w="19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≥20家</w:t>
            </w:r>
          </w:p>
        </w:tc>
        <w:tc>
          <w:tcPr>
            <w:tcW w:w="105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20</w:t>
            </w:r>
          </w:p>
        </w:tc>
        <w:tc>
          <w:tcPr>
            <w:tcW w:w="6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5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40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时效指标</w:t>
            </w:r>
          </w:p>
        </w:tc>
        <w:tc>
          <w:tcPr>
            <w:tcW w:w="252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补助资金兑现及时情况</w:t>
            </w:r>
          </w:p>
        </w:tc>
        <w:tc>
          <w:tcPr>
            <w:tcW w:w="19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≥60日</w:t>
            </w:r>
          </w:p>
        </w:tc>
        <w:tc>
          <w:tcPr>
            <w:tcW w:w="105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60</w:t>
            </w:r>
          </w:p>
        </w:tc>
        <w:tc>
          <w:tcPr>
            <w:tcW w:w="6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5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成本指标</w:t>
            </w:r>
          </w:p>
        </w:tc>
        <w:tc>
          <w:tcPr>
            <w:tcW w:w="40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经济成本指标</w:t>
            </w:r>
          </w:p>
        </w:tc>
        <w:tc>
          <w:tcPr>
            <w:tcW w:w="252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资金投入总额</w:t>
            </w:r>
          </w:p>
        </w:tc>
        <w:tc>
          <w:tcPr>
            <w:tcW w:w="19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≥4万</w:t>
            </w:r>
          </w:p>
        </w:tc>
        <w:tc>
          <w:tcPr>
            <w:tcW w:w="105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4</w:t>
            </w:r>
          </w:p>
        </w:tc>
        <w:tc>
          <w:tcPr>
            <w:tcW w:w="6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5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效益指标</w:t>
            </w:r>
          </w:p>
        </w:tc>
        <w:tc>
          <w:tcPr>
            <w:tcW w:w="40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经济效益指标</w:t>
            </w:r>
          </w:p>
        </w:tc>
        <w:tc>
          <w:tcPr>
            <w:tcW w:w="252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全市餐饮业营业额增长率</w:t>
            </w:r>
          </w:p>
        </w:tc>
        <w:tc>
          <w:tcPr>
            <w:tcW w:w="19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≥3%</w:t>
            </w:r>
          </w:p>
        </w:tc>
        <w:tc>
          <w:tcPr>
            <w:tcW w:w="105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3</w:t>
            </w:r>
          </w:p>
        </w:tc>
        <w:tc>
          <w:tcPr>
            <w:tcW w:w="6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30</w:t>
            </w:r>
          </w:p>
        </w:tc>
        <w:tc>
          <w:tcPr>
            <w:tcW w:w="6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30</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5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满意度指标</w:t>
            </w:r>
          </w:p>
        </w:tc>
        <w:tc>
          <w:tcPr>
            <w:tcW w:w="40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服务对象满意度指标</w:t>
            </w:r>
          </w:p>
        </w:tc>
        <w:tc>
          <w:tcPr>
            <w:tcW w:w="252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补助对象满意率</w:t>
            </w:r>
          </w:p>
        </w:tc>
        <w:tc>
          <w:tcPr>
            <w:tcW w:w="19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≥90%</w:t>
            </w:r>
          </w:p>
        </w:tc>
        <w:tc>
          <w:tcPr>
            <w:tcW w:w="105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90</w:t>
            </w:r>
          </w:p>
        </w:tc>
        <w:tc>
          <w:tcPr>
            <w:tcW w:w="6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696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总分值、自评总得分（S）</w:t>
            </w:r>
          </w:p>
        </w:tc>
        <w:tc>
          <w:tcPr>
            <w:tcW w:w="280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0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评价等级</w:t>
            </w:r>
          </w:p>
        </w:tc>
        <w:tc>
          <w:tcPr>
            <w:tcW w:w="8707" w:type="dxa"/>
            <w:gridSpan w:val="9"/>
            <w:tcBorders>
              <w:top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优</w:t>
            </w:r>
          </w:p>
        </w:tc>
      </w:tr>
    </w:tbl>
    <w:p>
      <w:pPr>
        <w:pStyle w:val="26"/>
        <w:widowControl/>
        <w:numPr>
          <w:numId w:val="0"/>
        </w:numPr>
        <w:spacing w:before="240" w:after="240" w:line="560" w:lineRule="atLeast"/>
        <w:jc w:val="left"/>
        <w:rPr>
          <w:rFonts w:ascii="黑体" w:hAnsi="黑体" w:eastAsia="黑体" w:cs="黑体"/>
          <w:kern w:val="0"/>
          <w:sz w:val="32"/>
          <w:szCs w:val="32"/>
        </w:rPr>
      </w:pPr>
    </w:p>
    <w:tbl>
      <w:tblPr>
        <w:tblW w:w="976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531"/>
        <w:gridCol w:w="522"/>
        <w:gridCol w:w="401"/>
        <w:gridCol w:w="1277"/>
        <w:gridCol w:w="1252"/>
        <w:gridCol w:w="845"/>
        <w:gridCol w:w="1073"/>
        <w:gridCol w:w="1063"/>
        <w:gridCol w:w="612"/>
        <w:gridCol w:w="630"/>
        <w:gridCol w:w="156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450" w:hRule="atLeast"/>
        </w:trPr>
        <w:tc>
          <w:tcPr>
            <w:tcW w:w="9769"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b/>
                <w:i w:val="0"/>
                <w:color w:val="000000"/>
                <w:sz w:val="36"/>
                <w:szCs w:val="36"/>
                <w:u w:val="none"/>
              </w:rPr>
            </w:pPr>
            <w:r>
              <w:rPr>
                <w:rFonts w:hint="eastAsia" w:ascii="宋体" w:hAnsi="宋体" w:eastAsia="宋体" w:cs="宋体"/>
                <w:b/>
                <w:i w:val="0"/>
                <w:color w:val="000000"/>
                <w:kern w:val="0"/>
                <w:sz w:val="36"/>
                <w:szCs w:val="36"/>
                <w:u w:val="none"/>
                <w:lang w:val="en-US" w:eastAsia="zh-CN" w:bidi="ar-SA"/>
              </w:rPr>
              <w:t>项目支出绩效自评表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9769"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45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项目名称</w:t>
            </w:r>
          </w:p>
        </w:tc>
        <w:tc>
          <w:tcPr>
            <w:tcW w:w="831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福建省漳平市长北坑水库水环境综合治理工程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45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主管部门</w:t>
            </w:r>
          </w:p>
        </w:tc>
        <w:tc>
          <w:tcPr>
            <w:tcW w:w="337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漳平市人民政府菁城街道办事处</w:t>
            </w:r>
          </w:p>
        </w:tc>
        <w:tc>
          <w:tcPr>
            <w:tcW w:w="21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实施单位</w:t>
            </w:r>
          </w:p>
        </w:tc>
        <w:tc>
          <w:tcPr>
            <w:tcW w:w="280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漳平市人民政府菁城街道办事处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项目资金(万元)</w:t>
            </w:r>
          </w:p>
        </w:tc>
        <w:tc>
          <w:tcPr>
            <w:tcW w:w="92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年初预算数</w:t>
            </w:r>
          </w:p>
        </w:tc>
        <w:tc>
          <w:tcPr>
            <w:tcW w:w="20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全年预算数</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全年执行数</w:t>
            </w:r>
          </w:p>
        </w:tc>
        <w:tc>
          <w:tcPr>
            <w:tcW w:w="10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分值</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执行率</w:t>
            </w: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40" w:hRule="atLeast"/>
        </w:trPr>
        <w:tc>
          <w:tcPr>
            <w:tcW w:w="5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92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资金总额</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199.80</w:t>
            </w:r>
          </w:p>
        </w:tc>
        <w:tc>
          <w:tcPr>
            <w:tcW w:w="20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199.80</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51.20</w:t>
            </w:r>
          </w:p>
        </w:tc>
        <w:tc>
          <w:tcPr>
            <w:tcW w:w="10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25.63</w:t>
            </w: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2.56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92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财政资金</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199.80</w:t>
            </w:r>
          </w:p>
        </w:tc>
        <w:tc>
          <w:tcPr>
            <w:tcW w:w="20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199.80</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51.20</w:t>
            </w:r>
          </w:p>
        </w:tc>
        <w:tc>
          <w:tcPr>
            <w:tcW w:w="10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25.63</w:t>
            </w: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92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其他资金</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20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10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年度总体目标</w:t>
            </w:r>
          </w:p>
        </w:tc>
        <w:tc>
          <w:tcPr>
            <w:tcW w:w="429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预期目标</w:t>
            </w:r>
          </w:p>
        </w:tc>
        <w:tc>
          <w:tcPr>
            <w:tcW w:w="49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实际完成情况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980" w:hRule="atLeast"/>
        </w:trPr>
        <w:tc>
          <w:tcPr>
            <w:tcW w:w="5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4297" w:type="dxa"/>
            <w:gridSpan w:val="5"/>
            <w:tcBorders>
              <w:top w:val="single" w:color="000000" w:sz="4" w:space="0"/>
              <w:left w:val="single" w:color="000000" w:sz="4" w:space="0"/>
              <w:bottom w:val="single" w:color="000000" w:sz="4" w:space="0"/>
              <w:right w:val="single" w:color="000000" w:sz="4" w:space="0"/>
            </w:tcBorders>
            <w:shd w:val="clear" w:color="auto" w:fill="auto"/>
            <w:vAlign w:val="top"/>
          </w:tcPr>
          <w:p>
            <w:pPr>
              <w:widowControl/>
              <w:jc w:val="left"/>
              <w:textAlignment w:val="top"/>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 xml:space="preserve">改善水环境质量 </w:t>
            </w:r>
          </w:p>
        </w:tc>
        <w:tc>
          <w:tcPr>
            <w:tcW w:w="4941" w:type="dxa"/>
            <w:gridSpan w:val="5"/>
            <w:tcBorders>
              <w:top w:val="single" w:color="000000" w:sz="4" w:space="0"/>
              <w:left w:val="single" w:color="000000" w:sz="4" w:space="0"/>
              <w:bottom w:val="single" w:color="000000" w:sz="4" w:space="0"/>
              <w:right w:val="single" w:color="000000" w:sz="4" w:space="0"/>
            </w:tcBorders>
            <w:shd w:val="clear" w:color="auto" w:fill="auto"/>
            <w:vAlign w:val="top"/>
          </w:tcPr>
          <w:p>
            <w:pPr>
              <w:widowControl/>
              <w:jc w:val="left"/>
              <w:textAlignment w:val="top"/>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工程还在建设当中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绩效</w:t>
            </w:r>
            <w:r>
              <w:rPr>
                <w:rFonts w:hint="eastAsia" w:ascii="宋体" w:hAnsi="宋体" w:eastAsia="宋体" w:cs="宋体"/>
                <w:i w:val="0"/>
                <w:color w:val="000000"/>
                <w:kern w:val="0"/>
                <w:sz w:val="24"/>
                <w:szCs w:val="24"/>
                <w:u w:val="none"/>
                <w:lang w:val="en-US" w:eastAsia="zh-CN" w:bidi="ar-SA"/>
              </w:rPr>
              <w:br/>
            </w:r>
            <w:r>
              <w:rPr>
                <w:rFonts w:hint="eastAsia" w:ascii="宋体" w:hAnsi="宋体" w:eastAsia="宋体" w:cs="宋体"/>
                <w:i w:val="0"/>
                <w:color w:val="000000"/>
                <w:kern w:val="0"/>
                <w:sz w:val="24"/>
                <w:szCs w:val="24"/>
                <w:u w:val="none"/>
                <w:lang w:val="en-US" w:eastAsia="zh-CN" w:bidi="ar-SA"/>
              </w:rPr>
              <w:t>指标</w:t>
            </w: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一级指标</w:t>
            </w:r>
          </w:p>
        </w:tc>
        <w:tc>
          <w:tcPr>
            <w:tcW w:w="4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二级指标</w:t>
            </w:r>
          </w:p>
        </w:tc>
        <w:tc>
          <w:tcPr>
            <w:tcW w:w="252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三级指标</w:t>
            </w:r>
          </w:p>
        </w:tc>
        <w:tc>
          <w:tcPr>
            <w:tcW w:w="191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年度指标值</w:t>
            </w:r>
          </w:p>
        </w:tc>
        <w:tc>
          <w:tcPr>
            <w:tcW w:w="10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实际完成值</w:t>
            </w:r>
          </w:p>
        </w:tc>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指标分值</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自评得分</w:t>
            </w: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偏差原因分析及改进措施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52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产出指标</w:t>
            </w:r>
          </w:p>
        </w:tc>
        <w:tc>
          <w:tcPr>
            <w:tcW w:w="4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数量指标</w:t>
            </w:r>
          </w:p>
        </w:tc>
        <w:tc>
          <w:tcPr>
            <w:tcW w:w="252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资金支出重点项目</w:t>
            </w:r>
          </w:p>
        </w:tc>
        <w:tc>
          <w:tcPr>
            <w:tcW w:w="191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≥1个</w:t>
            </w:r>
          </w:p>
        </w:tc>
        <w:tc>
          <w:tcPr>
            <w:tcW w:w="10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w:t>
            </w:r>
          </w:p>
        </w:tc>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52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4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质量指标</w:t>
            </w:r>
          </w:p>
        </w:tc>
        <w:tc>
          <w:tcPr>
            <w:tcW w:w="252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项目验收合格率</w:t>
            </w:r>
          </w:p>
        </w:tc>
        <w:tc>
          <w:tcPr>
            <w:tcW w:w="191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w:t>
            </w:r>
          </w:p>
        </w:tc>
        <w:tc>
          <w:tcPr>
            <w:tcW w:w="10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60</w:t>
            </w:r>
          </w:p>
        </w:tc>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6</w:t>
            </w: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工程还在建设当中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52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4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时效指标</w:t>
            </w:r>
          </w:p>
        </w:tc>
        <w:tc>
          <w:tcPr>
            <w:tcW w:w="252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项目开工率</w:t>
            </w:r>
          </w:p>
        </w:tc>
        <w:tc>
          <w:tcPr>
            <w:tcW w:w="191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w:t>
            </w:r>
          </w:p>
        </w:tc>
        <w:tc>
          <w:tcPr>
            <w:tcW w:w="10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w:t>
            </w:r>
          </w:p>
        </w:tc>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20</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20</w:t>
            </w: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成本指标</w:t>
            </w:r>
          </w:p>
        </w:tc>
        <w:tc>
          <w:tcPr>
            <w:tcW w:w="4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经济成本指标</w:t>
            </w:r>
          </w:p>
        </w:tc>
        <w:tc>
          <w:tcPr>
            <w:tcW w:w="252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财政投入资金</w:t>
            </w:r>
          </w:p>
        </w:tc>
        <w:tc>
          <w:tcPr>
            <w:tcW w:w="191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≥200万元</w:t>
            </w:r>
          </w:p>
        </w:tc>
        <w:tc>
          <w:tcPr>
            <w:tcW w:w="10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51.2</w:t>
            </w:r>
          </w:p>
        </w:tc>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2.56</w:t>
            </w: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工程还在建设当中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效益指标</w:t>
            </w:r>
          </w:p>
        </w:tc>
        <w:tc>
          <w:tcPr>
            <w:tcW w:w="4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生态效益指标</w:t>
            </w:r>
          </w:p>
        </w:tc>
        <w:tc>
          <w:tcPr>
            <w:tcW w:w="252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国控断面水质考核达标率</w:t>
            </w:r>
          </w:p>
        </w:tc>
        <w:tc>
          <w:tcPr>
            <w:tcW w:w="191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w:t>
            </w:r>
          </w:p>
        </w:tc>
        <w:tc>
          <w:tcPr>
            <w:tcW w:w="10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60</w:t>
            </w:r>
          </w:p>
        </w:tc>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30</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18</w:t>
            </w: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工程还在建设当中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满意度指标</w:t>
            </w:r>
          </w:p>
        </w:tc>
        <w:tc>
          <w:tcPr>
            <w:tcW w:w="4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服务对象满意度指标</w:t>
            </w:r>
          </w:p>
        </w:tc>
        <w:tc>
          <w:tcPr>
            <w:tcW w:w="252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群众满意度</w:t>
            </w:r>
          </w:p>
        </w:tc>
        <w:tc>
          <w:tcPr>
            <w:tcW w:w="191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≥95%</w:t>
            </w:r>
          </w:p>
        </w:tc>
        <w:tc>
          <w:tcPr>
            <w:tcW w:w="10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95</w:t>
            </w:r>
          </w:p>
        </w:tc>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56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6964"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总分值、自评总得分（S）</w:t>
            </w:r>
          </w:p>
        </w:tc>
        <w:tc>
          <w:tcPr>
            <w:tcW w:w="280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100、69.12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05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评价等级</w:t>
            </w:r>
          </w:p>
        </w:tc>
        <w:tc>
          <w:tcPr>
            <w:tcW w:w="8716" w:type="dxa"/>
            <w:gridSpan w:val="9"/>
            <w:tcBorders>
              <w:top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中</w:t>
            </w:r>
          </w:p>
        </w:tc>
      </w:tr>
    </w:tbl>
    <w:p>
      <w:pPr>
        <w:pStyle w:val="26"/>
        <w:widowControl/>
        <w:numPr>
          <w:numId w:val="0"/>
        </w:numPr>
        <w:spacing w:before="240" w:after="240" w:line="560" w:lineRule="atLeast"/>
        <w:jc w:val="left"/>
        <w:rPr>
          <w:rFonts w:ascii="黑体" w:hAnsi="黑体" w:eastAsia="黑体" w:cs="黑体"/>
          <w:kern w:val="0"/>
          <w:sz w:val="32"/>
          <w:szCs w:val="32"/>
        </w:rPr>
      </w:pPr>
    </w:p>
    <w:tbl>
      <w:tblPr>
        <w:tblW w:w="976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534"/>
        <w:gridCol w:w="525"/>
        <w:gridCol w:w="403"/>
        <w:gridCol w:w="1265"/>
        <w:gridCol w:w="1249"/>
        <w:gridCol w:w="854"/>
        <w:gridCol w:w="1069"/>
        <w:gridCol w:w="1069"/>
        <w:gridCol w:w="623"/>
        <w:gridCol w:w="623"/>
        <w:gridCol w:w="15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450" w:hRule="atLeast"/>
        </w:trPr>
        <w:tc>
          <w:tcPr>
            <w:tcW w:w="9769"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b/>
                <w:i w:val="0"/>
                <w:color w:val="000000"/>
                <w:sz w:val="36"/>
                <w:szCs w:val="36"/>
                <w:u w:val="none"/>
              </w:rPr>
            </w:pPr>
            <w:r>
              <w:rPr>
                <w:rFonts w:hint="eastAsia" w:ascii="宋体" w:hAnsi="宋体" w:eastAsia="宋体" w:cs="宋体"/>
                <w:b/>
                <w:i w:val="0"/>
                <w:color w:val="000000"/>
                <w:kern w:val="0"/>
                <w:sz w:val="36"/>
                <w:szCs w:val="36"/>
                <w:u w:val="none"/>
                <w:lang w:val="en-US" w:eastAsia="zh-CN" w:bidi="ar-SA"/>
              </w:rPr>
              <w:t>项目支出绩效自评表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9769"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46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项目名称</w:t>
            </w:r>
          </w:p>
        </w:tc>
        <w:tc>
          <w:tcPr>
            <w:tcW w:w="830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林业有害生物防治(龙财农指〔2024〕2号)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46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主管部门</w:t>
            </w:r>
          </w:p>
        </w:tc>
        <w:tc>
          <w:tcPr>
            <w:tcW w:w="336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漳平市人民政府菁城街道办事处</w:t>
            </w:r>
          </w:p>
        </w:tc>
        <w:tc>
          <w:tcPr>
            <w:tcW w:w="21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实施单位</w:t>
            </w:r>
          </w:p>
        </w:tc>
        <w:tc>
          <w:tcPr>
            <w:tcW w:w="28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漳平市人民政府菁城街道办事处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项目资金(万元)</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年初预算数</w:t>
            </w:r>
          </w:p>
        </w:tc>
        <w:tc>
          <w:tcPr>
            <w:tcW w:w="21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全年预算数</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全年执行数</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分值</w:t>
            </w:r>
          </w:p>
        </w:tc>
        <w:tc>
          <w:tcPr>
            <w:tcW w:w="12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执行率</w:t>
            </w:r>
          </w:p>
        </w:tc>
        <w:tc>
          <w:tcPr>
            <w:tcW w:w="15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40"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资金总额</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21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6.50</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6.50</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2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100.00</w:t>
            </w:r>
          </w:p>
        </w:tc>
        <w:tc>
          <w:tcPr>
            <w:tcW w:w="15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财政资金</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21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6.50</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6.50</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w:t>
            </w:r>
          </w:p>
        </w:tc>
        <w:tc>
          <w:tcPr>
            <w:tcW w:w="12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100.00</w:t>
            </w:r>
          </w:p>
        </w:tc>
        <w:tc>
          <w:tcPr>
            <w:tcW w:w="1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其他资金</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21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w:t>
            </w:r>
          </w:p>
        </w:tc>
        <w:tc>
          <w:tcPr>
            <w:tcW w:w="12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1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年度总体目标</w:t>
            </w:r>
          </w:p>
        </w:tc>
        <w:tc>
          <w:tcPr>
            <w:tcW w:w="429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预期目标</w:t>
            </w:r>
          </w:p>
        </w:tc>
        <w:tc>
          <w:tcPr>
            <w:tcW w:w="493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实际完成情况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1380"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4296" w:type="dxa"/>
            <w:gridSpan w:val="5"/>
            <w:tcBorders>
              <w:top w:val="single" w:color="000000" w:sz="4" w:space="0"/>
              <w:left w:val="single" w:color="000000" w:sz="4" w:space="0"/>
              <w:bottom w:val="single" w:color="000000" w:sz="4" w:space="0"/>
              <w:right w:val="single" w:color="000000" w:sz="4" w:space="0"/>
            </w:tcBorders>
            <w:shd w:val="clear" w:color="auto" w:fill="auto"/>
            <w:vAlign w:val="top"/>
          </w:tcPr>
          <w:p>
            <w:pPr>
              <w:widowControl/>
              <w:jc w:val="left"/>
              <w:textAlignment w:val="top"/>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完成松材线虫病疫情发生区域实施疫情防治面积1258亩</w:t>
            </w:r>
          </w:p>
        </w:tc>
        <w:tc>
          <w:tcPr>
            <w:tcW w:w="4939" w:type="dxa"/>
            <w:gridSpan w:val="5"/>
            <w:tcBorders>
              <w:top w:val="single" w:color="000000" w:sz="4" w:space="0"/>
              <w:left w:val="single" w:color="000000" w:sz="4" w:space="0"/>
              <w:bottom w:val="single" w:color="000000" w:sz="4" w:space="0"/>
              <w:right w:val="single" w:color="000000" w:sz="4" w:space="0"/>
            </w:tcBorders>
            <w:shd w:val="clear" w:color="auto" w:fill="auto"/>
            <w:vAlign w:val="top"/>
          </w:tcPr>
          <w:p>
            <w:pPr>
              <w:widowControl/>
              <w:jc w:val="left"/>
              <w:textAlignment w:val="top"/>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已完成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绩效</w:t>
            </w:r>
            <w:r>
              <w:rPr>
                <w:rFonts w:hint="eastAsia" w:ascii="宋体" w:hAnsi="宋体" w:eastAsia="宋体" w:cs="宋体"/>
                <w:i w:val="0"/>
                <w:color w:val="000000"/>
                <w:kern w:val="0"/>
                <w:sz w:val="24"/>
                <w:szCs w:val="24"/>
                <w:u w:val="none"/>
                <w:lang w:val="en-US" w:eastAsia="zh-CN" w:bidi="ar-SA"/>
              </w:rPr>
              <w:br/>
            </w:r>
            <w:r>
              <w:rPr>
                <w:rFonts w:hint="eastAsia" w:ascii="宋体" w:hAnsi="宋体" w:eastAsia="宋体" w:cs="宋体"/>
                <w:i w:val="0"/>
                <w:color w:val="000000"/>
                <w:kern w:val="0"/>
                <w:sz w:val="24"/>
                <w:szCs w:val="24"/>
                <w:u w:val="none"/>
                <w:lang w:val="en-US" w:eastAsia="zh-CN" w:bidi="ar-SA"/>
              </w:rPr>
              <w:t>指标</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一级指标</w:t>
            </w:r>
          </w:p>
        </w:tc>
        <w:tc>
          <w:tcPr>
            <w:tcW w:w="40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二级指标</w:t>
            </w:r>
          </w:p>
        </w:tc>
        <w:tc>
          <w:tcPr>
            <w:tcW w:w="25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三级指标</w:t>
            </w:r>
          </w:p>
        </w:tc>
        <w:tc>
          <w:tcPr>
            <w:tcW w:w="192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年度指标值</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实际完成值</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指标分值</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自评得分</w:t>
            </w:r>
          </w:p>
        </w:tc>
        <w:tc>
          <w:tcPr>
            <w:tcW w:w="15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偏差原因分析及改进措施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产出指标</w:t>
            </w:r>
          </w:p>
        </w:tc>
        <w:tc>
          <w:tcPr>
            <w:tcW w:w="40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数量指标</w:t>
            </w:r>
          </w:p>
        </w:tc>
        <w:tc>
          <w:tcPr>
            <w:tcW w:w="25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防治性采伐面积</w:t>
            </w:r>
          </w:p>
        </w:tc>
        <w:tc>
          <w:tcPr>
            <w:tcW w:w="192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≥1258亩</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1258</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20</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20</w:t>
            </w:r>
          </w:p>
        </w:tc>
        <w:tc>
          <w:tcPr>
            <w:tcW w:w="155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40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质量指标</w:t>
            </w:r>
          </w:p>
        </w:tc>
        <w:tc>
          <w:tcPr>
            <w:tcW w:w="25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松材线虫病防控目标任务完成率</w:t>
            </w:r>
          </w:p>
        </w:tc>
        <w:tc>
          <w:tcPr>
            <w:tcW w:w="192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≥40%</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40</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55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40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时效指标</w:t>
            </w:r>
          </w:p>
        </w:tc>
        <w:tc>
          <w:tcPr>
            <w:tcW w:w="25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生物防治面积完成率</w:t>
            </w:r>
          </w:p>
        </w:tc>
        <w:tc>
          <w:tcPr>
            <w:tcW w:w="192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≥90%</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90</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55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成本指标</w:t>
            </w:r>
          </w:p>
        </w:tc>
        <w:tc>
          <w:tcPr>
            <w:tcW w:w="40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经济成本指标</w:t>
            </w:r>
          </w:p>
        </w:tc>
        <w:tc>
          <w:tcPr>
            <w:tcW w:w="25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死亡松树清理成本</w:t>
            </w:r>
          </w:p>
        </w:tc>
        <w:tc>
          <w:tcPr>
            <w:tcW w:w="192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≤600元/株</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600</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55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效益指标</w:t>
            </w:r>
          </w:p>
        </w:tc>
        <w:tc>
          <w:tcPr>
            <w:tcW w:w="40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生态效益指标</w:t>
            </w:r>
          </w:p>
        </w:tc>
        <w:tc>
          <w:tcPr>
            <w:tcW w:w="25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无公害防治率</w:t>
            </w:r>
          </w:p>
        </w:tc>
        <w:tc>
          <w:tcPr>
            <w:tcW w:w="192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≥90%</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90</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30</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30</w:t>
            </w:r>
          </w:p>
        </w:tc>
        <w:tc>
          <w:tcPr>
            <w:tcW w:w="155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满意度指标</w:t>
            </w:r>
          </w:p>
        </w:tc>
        <w:tc>
          <w:tcPr>
            <w:tcW w:w="40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服务对象满意度指标</w:t>
            </w:r>
          </w:p>
        </w:tc>
        <w:tc>
          <w:tcPr>
            <w:tcW w:w="25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项目涉及职工和周边群众满意度</w:t>
            </w:r>
          </w:p>
        </w:tc>
        <w:tc>
          <w:tcPr>
            <w:tcW w:w="192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≥90%</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90</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55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696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总分值、自评总得分（S）</w:t>
            </w:r>
          </w:p>
        </w:tc>
        <w:tc>
          <w:tcPr>
            <w:tcW w:w="28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0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评价等级</w:t>
            </w:r>
          </w:p>
        </w:tc>
        <w:tc>
          <w:tcPr>
            <w:tcW w:w="8710" w:type="dxa"/>
            <w:gridSpan w:val="9"/>
            <w:tcBorders>
              <w:top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优</w:t>
            </w:r>
          </w:p>
        </w:tc>
      </w:tr>
    </w:tbl>
    <w:p>
      <w:pPr>
        <w:pStyle w:val="26"/>
        <w:widowControl/>
        <w:numPr>
          <w:numId w:val="0"/>
        </w:numPr>
        <w:spacing w:before="240" w:after="240" w:line="560" w:lineRule="atLeast"/>
        <w:jc w:val="left"/>
        <w:rPr>
          <w:rFonts w:ascii="黑体" w:hAnsi="黑体" w:eastAsia="黑体" w:cs="黑体"/>
          <w:kern w:val="0"/>
          <w:sz w:val="32"/>
          <w:szCs w:val="32"/>
        </w:rPr>
      </w:pPr>
    </w:p>
    <w:tbl>
      <w:tblPr>
        <w:tblW w:w="977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534"/>
        <w:gridCol w:w="525"/>
        <w:gridCol w:w="402"/>
        <w:gridCol w:w="1264"/>
        <w:gridCol w:w="1254"/>
        <w:gridCol w:w="847"/>
        <w:gridCol w:w="1077"/>
        <w:gridCol w:w="1068"/>
        <w:gridCol w:w="623"/>
        <w:gridCol w:w="623"/>
        <w:gridCol w:w="155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450" w:hRule="atLeast"/>
        </w:trPr>
        <w:tc>
          <w:tcPr>
            <w:tcW w:w="977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b/>
                <w:i w:val="0"/>
                <w:color w:val="000000"/>
                <w:sz w:val="36"/>
                <w:szCs w:val="36"/>
                <w:u w:val="none"/>
              </w:rPr>
            </w:pPr>
            <w:r>
              <w:rPr>
                <w:rFonts w:hint="eastAsia" w:ascii="宋体" w:hAnsi="宋体" w:eastAsia="宋体" w:cs="宋体"/>
                <w:b/>
                <w:i w:val="0"/>
                <w:color w:val="000000"/>
                <w:kern w:val="0"/>
                <w:sz w:val="36"/>
                <w:szCs w:val="36"/>
                <w:u w:val="none"/>
                <w:lang w:val="en-US" w:eastAsia="zh-CN" w:bidi="ar-SA"/>
              </w:rPr>
              <w:t>项目支出绩效自评表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977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46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项目名称</w:t>
            </w:r>
          </w:p>
        </w:tc>
        <w:tc>
          <w:tcPr>
            <w:tcW w:w="8309"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林业有害生物防治(闽财资环指〔2024〕35号)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46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主管部门</w:t>
            </w:r>
          </w:p>
        </w:tc>
        <w:tc>
          <w:tcPr>
            <w:tcW w:w="33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漳平市人民政府菁城街道办事处</w:t>
            </w:r>
          </w:p>
        </w:tc>
        <w:tc>
          <w:tcPr>
            <w:tcW w:w="2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实施单位</w:t>
            </w:r>
          </w:p>
        </w:tc>
        <w:tc>
          <w:tcPr>
            <w:tcW w:w="279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漳平市人民政府菁城街道办事处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项目资金(万元)</w:t>
            </w:r>
          </w:p>
        </w:tc>
        <w:tc>
          <w:tcPr>
            <w:tcW w:w="9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26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年初预算数</w:t>
            </w:r>
          </w:p>
        </w:tc>
        <w:tc>
          <w:tcPr>
            <w:tcW w:w="21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全年预算数</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全年执行数</w:t>
            </w:r>
          </w:p>
        </w:tc>
        <w:tc>
          <w:tcPr>
            <w:tcW w:w="106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分值</w:t>
            </w:r>
          </w:p>
        </w:tc>
        <w:tc>
          <w:tcPr>
            <w:tcW w:w="12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执行率</w:t>
            </w: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40"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9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资金总额</w:t>
            </w:r>
          </w:p>
        </w:tc>
        <w:tc>
          <w:tcPr>
            <w:tcW w:w="126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21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10.52</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10.52</w:t>
            </w:r>
          </w:p>
        </w:tc>
        <w:tc>
          <w:tcPr>
            <w:tcW w:w="106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2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100.00</w:t>
            </w: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9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财政资金</w:t>
            </w:r>
          </w:p>
        </w:tc>
        <w:tc>
          <w:tcPr>
            <w:tcW w:w="126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21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10.52</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10.52</w:t>
            </w:r>
          </w:p>
        </w:tc>
        <w:tc>
          <w:tcPr>
            <w:tcW w:w="106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w:t>
            </w:r>
          </w:p>
        </w:tc>
        <w:tc>
          <w:tcPr>
            <w:tcW w:w="12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100.00</w:t>
            </w: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9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其他资金</w:t>
            </w:r>
          </w:p>
        </w:tc>
        <w:tc>
          <w:tcPr>
            <w:tcW w:w="126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21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106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w:t>
            </w:r>
          </w:p>
        </w:tc>
        <w:tc>
          <w:tcPr>
            <w:tcW w:w="12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年度总体目标</w:t>
            </w:r>
          </w:p>
        </w:tc>
        <w:tc>
          <w:tcPr>
            <w:tcW w:w="429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预期目标</w:t>
            </w:r>
          </w:p>
        </w:tc>
        <w:tc>
          <w:tcPr>
            <w:tcW w:w="494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实际完成情况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1380"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4292" w:type="dxa"/>
            <w:gridSpan w:val="5"/>
            <w:tcBorders>
              <w:top w:val="single" w:color="000000" w:sz="4" w:space="0"/>
              <w:left w:val="single" w:color="000000" w:sz="4" w:space="0"/>
              <w:bottom w:val="single" w:color="000000" w:sz="4" w:space="0"/>
              <w:right w:val="single" w:color="000000" w:sz="4" w:space="0"/>
            </w:tcBorders>
            <w:shd w:val="clear" w:color="auto" w:fill="auto"/>
            <w:vAlign w:val="top"/>
          </w:tcPr>
          <w:p>
            <w:pPr>
              <w:widowControl/>
              <w:jc w:val="left"/>
              <w:textAlignment w:val="top"/>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完成松材线虫病疫情发生区域实施疫情防治面积500亩</w:t>
            </w:r>
          </w:p>
        </w:tc>
        <w:tc>
          <w:tcPr>
            <w:tcW w:w="4944" w:type="dxa"/>
            <w:gridSpan w:val="5"/>
            <w:tcBorders>
              <w:top w:val="single" w:color="000000" w:sz="4" w:space="0"/>
              <w:left w:val="single" w:color="000000" w:sz="4" w:space="0"/>
              <w:bottom w:val="single" w:color="000000" w:sz="4" w:space="0"/>
              <w:right w:val="single" w:color="000000" w:sz="4" w:space="0"/>
            </w:tcBorders>
            <w:shd w:val="clear" w:color="auto" w:fill="auto"/>
            <w:vAlign w:val="top"/>
          </w:tcPr>
          <w:p>
            <w:pPr>
              <w:widowControl/>
              <w:jc w:val="left"/>
              <w:textAlignment w:val="top"/>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已完成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绩效</w:t>
            </w:r>
            <w:r>
              <w:rPr>
                <w:rFonts w:hint="eastAsia" w:ascii="宋体" w:hAnsi="宋体" w:eastAsia="宋体" w:cs="宋体"/>
                <w:i w:val="0"/>
                <w:color w:val="000000"/>
                <w:kern w:val="0"/>
                <w:sz w:val="24"/>
                <w:szCs w:val="24"/>
                <w:u w:val="none"/>
                <w:lang w:val="en-US" w:eastAsia="zh-CN" w:bidi="ar-SA"/>
              </w:rPr>
              <w:br/>
            </w:r>
            <w:r>
              <w:rPr>
                <w:rFonts w:hint="eastAsia" w:ascii="宋体" w:hAnsi="宋体" w:eastAsia="宋体" w:cs="宋体"/>
                <w:i w:val="0"/>
                <w:color w:val="000000"/>
                <w:kern w:val="0"/>
                <w:sz w:val="24"/>
                <w:szCs w:val="24"/>
                <w:u w:val="none"/>
                <w:lang w:val="en-US" w:eastAsia="zh-CN" w:bidi="ar-SA"/>
              </w:rPr>
              <w:t>指标</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一级指标</w:t>
            </w: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二级指标</w:t>
            </w:r>
          </w:p>
        </w:tc>
        <w:tc>
          <w:tcPr>
            <w:tcW w:w="251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三级指标</w:t>
            </w:r>
          </w:p>
        </w:tc>
        <w:tc>
          <w:tcPr>
            <w:tcW w:w="19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年度指标值</w:t>
            </w:r>
          </w:p>
        </w:tc>
        <w:tc>
          <w:tcPr>
            <w:tcW w:w="106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实际完成值</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指标分值</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自评得分</w:t>
            </w: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偏差原因分析及改进措施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产出指标</w:t>
            </w: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数量指标</w:t>
            </w:r>
          </w:p>
        </w:tc>
        <w:tc>
          <w:tcPr>
            <w:tcW w:w="251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实施省级以上公益林补助面积</w:t>
            </w:r>
          </w:p>
        </w:tc>
        <w:tc>
          <w:tcPr>
            <w:tcW w:w="19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≥0.05万亩</w:t>
            </w:r>
          </w:p>
        </w:tc>
        <w:tc>
          <w:tcPr>
            <w:tcW w:w="106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0.05</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20</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20</w:t>
            </w: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质量指标</w:t>
            </w:r>
          </w:p>
        </w:tc>
        <w:tc>
          <w:tcPr>
            <w:tcW w:w="251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生态公益林保有量</w:t>
            </w:r>
          </w:p>
        </w:tc>
        <w:tc>
          <w:tcPr>
            <w:tcW w:w="19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≥0.05万亩</w:t>
            </w:r>
          </w:p>
        </w:tc>
        <w:tc>
          <w:tcPr>
            <w:tcW w:w="106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0.05</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时效指标</w:t>
            </w:r>
          </w:p>
        </w:tc>
        <w:tc>
          <w:tcPr>
            <w:tcW w:w="251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省级以上生态公益林补助项目任务完成率</w:t>
            </w:r>
          </w:p>
        </w:tc>
        <w:tc>
          <w:tcPr>
            <w:tcW w:w="19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≥90%</w:t>
            </w:r>
          </w:p>
        </w:tc>
        <w:tc>
          <w:tcPr>
            <w:tcW w:w="106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90</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成本指标</w:t>
            </w: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经济成本指标</w:t>
            </w:r>
          </w:p>
        </w:tc>
        <w:tc>
          <w:tcPr>
            <w:tcW w:w="251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省级以上公益林补助</w:t>
            </w:r>
          </w:p>
        </w:tc>
        <w:tc>
          <w:tcPr>
            <w:tcW w:w="19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≤23元/亩</w:t>
            </w:r>
          </w:p>
        </w:tc>
        <w:tc>
          <w:tcPr>
            <w:tcW w:w="106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23</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效益指标</w:t>
            </w: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生态效益指标</w:t>
            </w:r>
          </w:p>
        </w:tc>
        <w:tc>
          <w:tcPr>
            <w:tcW w:w="251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公益林平均亩蓄积量变化</w:t>
            </w:r>
          </w:p>
        </w:tc>
        <w:tc>
          <w:tcPr>
            <w:tcW w:w="19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w:t>
            </w:r>
          </w:p>
        </w:tc>
        <w:tc>
          <w:tcPr>
            <w:tcW w:w="106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30</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30</w:t>
            </w: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满意度指标</w:t>
            </w: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服务对象满意度指标</w:t>
            </w:r>
          </w:p>
        </w:tc>
        <w:tc>
          <w:tcPr>
            <w:tcW w:w="251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公益林林权所有者满意度</w:t>
            </w:r>
          </w:p>
        </w:tc>
        <w:tc>
          <w:tcPr>
            <w:tcW w:w="19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≥90%</w:t>
            </w:r>
          </w:p>
        </w:tc>
        <w:tc>
          <w:tcPr>
            <w:tcW w:w="106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90</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697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总分值、自评总得分（S）</w:t>
            </w:r>
          </w:p>
        </w:tc>
        <w:tc>
          <w:tcPr>
            <w:tcW w:w="279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0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评价等级</w:t>
            </w:r>
          </w:p>
        </w:tc>
        <w:tc>
          <w:tcPr>
            <w:tcW w:w="8711" w:type="dxa"/>
            <w:gridSpan w:val="9"/>
            <w:tcBorders>
              <w:top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优</w:t>
            </w:r>
          </w:p>
        </w:tc>
      </w:tr>
    </w:tbl>
    <w:p>
      <w:pPr>
        <w:pStyle w:val="26"/>
        <w:widowControl/>
        <w:numPr>
          <w:numId w:val="0"/>
        </w:numPr>
        <w:spacing w:before="240" w:after="240" w:line="560" w:lineRule="atLeast"/>
        <w:jc w:val="left"/>
        <w:rPr>
          <w:rFonts w:ascii="黑体" w:hAnsi="黑体" w:eastAsia="黑体" w:cs="黑体"/>
          <w:kern w:val="0"/>
          <w:sz w:val="32"/>
          <w:szCs w:val="32"/>
        </w:rPr>
      </w:pPr>
    </w:p>
    <w:tbl>
      <w:tblPr>
        <w:tblW w:w="976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533"/>
        <w:gridCol w:w="525"/>
        <w:gridCol w:w="403"/>
        <w:gridCol w:w="1266"/>
        <w:gridCol w:w="1249"/>
        <w:gridCol w:w="854"/>
        <w:gridCol w:w="1069"/>
        <w:gridCol w:w="1060"/>
        <w:gridCol w:w="623"/>
        <w:gridCol w:w="623"/>
        <w:gridCol w:w="15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450" w:hRule="atLeast"/>
        </w:trPr>
        <w:tc>
          <w:tcPr>
            <w:tcW w:w="976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b/>
                <w:i w:val="0"/>
                <w:color w:val="000000"/>
                <w:sz w:val="36"/>
                <w:szCs w:val="36"/>
                <w:u w:val="none"/>
              </w:rPr>
            </w:pPr>
            <w:r>
              <w:rPr>
                <w:rFonts w:hint="eastAsia" w:ascii="宋体" w:hAnsi="宋体" w:eastAsia="宋体" w:cs="宋体"/>
                <w:b/>
                <w:i w:val="0"/>
                <w:color w:val="000000"/>
                <w:kern w:val="0"/>
                <w:sz w:val="36"/>
                <w:szCs w:val="36"/>
                <w:u w:val="none"/>
                <w:lang w:val="en-US" w:eastAsia="zh-CN" w:bidi="ar-SA"/>
              </w:rPr>
              <w:t>项目支出绩效自评表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976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46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项目名称</w:t>
            </w:r>
          </w:p>
        </w:tc>
        <w:tc>
          <w:tcPr>
            <w:tcW w:w="8299"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龙财预指[2024]1号下达2024年乡村振兴大专项（涉农项目整合）脱贫户及监测对象生产就业扶持资金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46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主管部门</w:t>
            </w:r>
          </w:p>
        </w:tc>
        <w:tc>
          <w:tcPr>
            <w:tcW w:w="336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漳平市人民政府菁城街道办事处</w:t>
            </w:r>
          </w:p>
        </w:tc>
        <w:tc>
          <w:tcPr>
            <w:tcW w:w="212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实施单位</w:t>
            </w:r>
          </w:p>
        </w:tc>
        <w:tc>
          <w:tcPr>
            <w:tcW w:w="28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漳平市人民政府菁城街道办事处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项目资金(万元)</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年初预算数</w:t>
            </w:r>
          </w:p>
        </w:tc>
        <w:tc>
          <w:tcPr>
            <w:tcW w:w="21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全年预算数</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全年执行数</w:t>
            </w:r>
          </w:p>
        </w:tc>
        <w:tc>
          <w:tcPr>
            <w:tcW w:w="10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分值</w:t>
            </w:r>
          </w:p>
        </w:tc>
        <w:tc>
          <w:tcPr>
            <w:tcW w:w="12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执行率</w:t>
            </w:r>
          </w:p>
        </w:tc>
        <w:tc>
          <w:tcPr>
            <w:tcW w:w="15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40" w:hRule="atLeast"/>
        </w:trPr>
        <w:tc>
          <w:tcPr>
            <w:tcW w:w="5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资金总额</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21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0.11</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0.11</w:t>
            </w:r>
          </w:p>
        </w:tc>
        <w:tc>
          <w:tcPr>
            <w:tcW w:w="10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2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100.00</w:t>
            </w:r>
          </w:p>
        </w:tc>
        <w:tc>
          <w:tcPr>
            <w:tcW w:w="15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财政资金</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21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0.11</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0.11</w:t>
            </w:r>
          </w:p>
        </w:tc>
        <w:tc>
          <w:tcPr>
            <w:tcW w:w="10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w:t>
            </w:r>
          </w:p>
        </w:tc>
        <w:tc>
          <w:tcPr>
            <w:tcW w:w="12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100.00</w:t>
            </w:r>
          </w:p>
        </w:tc>
        <w:tc>
          <w:tcPr>
            <w:tcW w:w="1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其他资金</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21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10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w:t>
            </w:r>
          </w:p>
        </w:tc>
        <w:tc>
          <w:tcPr>
            <w:tcW w:w="12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1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年度总体目标</w:t>
            </w:r>
          </w:p>
        </w:tc>
        <w:tc>
          <w:tcPr>
            <w:tcW w:w="429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预期目标</w:t>
            </w:r>
          </w:p>
        </w:tc>
        <w:tc>
          <w:tcPr>
            <w:tcW w:w="4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实际完成情况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1380" w:hRule="atLeast"/>
        </w:trPr>
        <w:tc>
          <w:tcPr>
            <w:tcW w:w="5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4297" w:type="dxa"/>
            <w:gridSpan w:val="5"/>
            <w:tcBorders>
              <w:top w:val="single" w:color="000000" w:sz="4" w:space="0"/>
              <w:left w:val="single" w:color="000000" w:sz="4" w:space="0"/>
              <w:bottom w:val="single" w:color="000000" w:sz="4" w:space="0"/>
              <w:right w:val="single" w:color="000000" w:sz="4" w:space="0"/>
            </w:tcBorders>
            <w:shd w:val="clear" w:color="auto" w:fill="auto"/>
            <w:vAlign w:val="top"/>
          </w:tcPr>
          <w:p>
            <w:pPr>
              <w:widowControl/>
              <w:jc w:val="left"/>
              <w:textAlignment w:val="top"/>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 xml:space="preserve">支持脱贫人口发展生产，稳定增收，重点支持产业发展，接续脱贫地区发展，巩固拓展脱贫攻坚成果，衔接推进乡村振兴。                </w:t>
            </w:r>
          </w:p>
        </w:tc>
        <w:tc>
          <w:tcPr>
            <w:tcW w:w="4930" w:type="dxa"/>
            <w:gridSpan w:val="5"/>
            <w:tcBorders>
              <w:top w:val="single" w:color="000000" w:sz="4" w:space="0"/>
              <w:left w:val="single" w:color="000000" w:sz="4" w:space="0"/>
              <w:bottom w:val="single" w:color="000000" w:sz="4" w:space="0"/>
              <w:right w:val="single" w:color="000000" w:sz="4" w:space="0"/>
            </w:tcBorders>
            <w:shd w:val="clear" w:color="auto" w:fill="auto"/>
            <w:vAlign w:val="top"/>
          </w:tcPr>
          <w:p>
            <w:pPr>
              <w:widowControl/>
              <w:jc w:val="left"/>
              <w:textAlignment w:val="top"/>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已完成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绩效</w:t>
            </w:r>
            <w:r>
              <w:rPr>
                <w:rFonts w:hint="eastAsia" w:ascii="宋体" w:hAnsi="宋体" w:eastAsia="宋体" w:cs="宋体"/>
                <w:i w:val="0"/>
                <w:color w:val="000000"/>
                <w:kern w:val="0"/>
                <w:sz w:val="24"/>
                <w:szCs w:val="24"/>
                <w:u w:val="none"/>
                <w:lang w:val="en-US" w:eastAsia="zh-CN" w:bidi="ar-SA"/>
              </w:rPr>
              <w:br/>
            </w:r>
            <w:r>
              <w:rPr>
                <w:rFonts w:hint="eastAsia" w:ascii="宋体" w:hAnsi="宋体" w:eastAsia="宋体" w:cs="宋体"/>
                <w:i w:val="0"/>
                <w:color w:val="000000"/>
                <w:kern w:val="0"/>
                <w:sz w:val="24"/>
                <w:szCs w:val="24"/>
                <w:u w:val="none"/>
                <w:lang w:val="en-US" w:eastAsia="zh-CN" w:bidi="ar-SA"/>
              </w:rPr>
              <w:t>指标</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一级指标</w:t>
            </w:r>
          </w:p>
        </w:tc>
        <w:tc>
          <w:tcPr>
            <w:tcW w:w="40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二级指标</w:t>
            </w:r>
          </w:p>
        </w:tc>
        <w:tc>
          <w:tcPr>
            <w:tcW w:w="25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三级指标</w:t>
            </w:r>
          </w:p>
        </w:tc>
        <w:tc>
          <w:tcPr>
            <w:tcW w:w="192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年度指标值</w:t>
            </w:r>
          </w:p>
        </w:tc>
        <w:tc>
          <w:tcPr>
            <w:tcW w:w="10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实际完成值</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指标分值</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自评得分</w:t>
            </w:r>
          </w:p>
        </w:tc>
        <w:tc>
          <w:tcPr>
            <w:tcW w:w="15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偏差原因分析及改进措施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产出指标</w:t>
            </w:r>
          </w:p>
        </w:tc>
        <w:tc>
          <w:tcPr>
            <w:tcW w:w="40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数量指标</w:t>
            </w:r>
          </w:p>
        </w:tc>
        <w:tc>
          <w:tcPr>
            <w:tcW w:w="25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2022年底脱贫户人数</w:t>
            </w:r>
          </w:p>
        </w:tc>
        <w:tc>
          <w:tcPr>
            <w:tcW w:w="192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&lt;160人</w:t>
            </w:r>
          </w:p>
        </w:tc>
        <w:tc>
          <w:tcPr>
            <w:tcW w:w="10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20</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20</w:t>
            </w:r>
          </w:p>
        </w:tc>
        <w:tc>
          <w:tcPr>
            <w:tcW w:w="155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40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质量指标</w:t>
            </w:r>
          </w:p>
        </w:tc>
        <w:tc>
          <w:tcPr>
            <w:tcW w:w="25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资金使用公开率</w:t>
            </w:r>
          </w:p>
        </w:tc>
        <w:tc>
          <w:tcPr>
            <w:tcW w:w="192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w:t>
            </w:r>
          </w:p>
        </w:tc>
        <w:tc>
          <w:tcPr>
            <w:tcW w:w="10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55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40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时效指标</w:t>
            </w:r>
          </w:p>
        </w:tc>
        <w:tc>
          <w:tcPr>
            <w:tcW w:w="25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乡村振兴任务完成及时率</w:t>
            </w:r>
          </w:p>
        </w:tc>
        <w:tc>
          <w:tcPr>
            <w:tcW w:w="192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≥90%</w:t>
            </w:r>
          </w:p>
        </w:tc>
        <w:tc>
          <w:tcPr>
            <w:tcW w:w="10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90</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55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成本指标</w:t>
            </w:r>
          </w:p>
        </w:tc>
        <w:tc>
          <w:tcPr>
            <w:tcW w:w="40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经济成本指标</w:t>
            </w:r>
          </w:p>
        </w:tc>
        <w:tc>
          <w:tcPr>
            <w:tcW w:w="25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脱贫户生产发展补助标准</w:t>
            </w:r>
          </w:p>
        </w:tc>
        <w:tc>
          <w:tcPr>
            <w:tcW w:w="192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&lt;10000元/户</w:t>
            </w:r>
          </w:p>
        </w:tc>
        <w:tc>
          <w:tcPr>
            <w:tcW w:w="10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55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效益指标</w:t>
            </w:r>
          </w:p>
        </w:tc>
        <w:tc>
          <w:tcPr>
            <w:tcW w:w="40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社会效益指标</w:t>
            </w:r>
          </w:p>
        </w:tc>
        <w:tc>
          <w:tcPr>
            <w:tcW w:w="25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资金使用重大违规违纪问题</w:t>
            </w:r>
          </w:p>
        </w:tc>
        <w:tc>
          <w:tcPr>
            <w:tcW w:w="192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=0个</w:t>
            </w:r>
          </w:p>
        </w:tc>
        <w:tc>
          <w:tcPr>
            <w:tcW w:w="10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30</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30</w:t>
            </w:r>
          </w:p>
        </w:tc>
        <w:tc>
          <w:tcPr>
            <w:tcW w:w="155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满意度指标</w:t>
            </w:r>
          </w:p>
        </w:tc>
        <w:tc>
          <w:tcPr>
            <w:tcW w:w="40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服务对象满意度指标</w:t>
            </w:r>
          </w:p>
        </w:tc>
        <w:tc>
          <w:tcPr>
            <w:tcW w:w="25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脱贫户满意度</w:t>
            </w:r>
          </w:p>
        </w:tc>
        <w:tc>
          <w:tcPr>
            <w:tcW w:w="192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≥90%</w:t>
            </w:r>
          </w:p>
        </w:tc>
        <w:tc>
          <w:tcPr>
            <w:tcW w:w="10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90</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55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50" w:hRule="atLeast"/>
        </w:trPr>
        <w:tc>
          <w:tcPr>
            <w:tcW w:w="6959"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总分值、自评总得分（S）</w:t>
            </w:r>
          </w:p>
        </w:tc>
        <w:tc>
          <w:tcPr>
            <w:tcW w:w="28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05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评价等级</w:t>
            </w:r>
          </w:p>
        </w:tc>
        <w:tc>
          <w:tcPr>
            <w:tcW w:w="8702" w:type="dxa"/>
            <w:gridSpan w:val="9"/>
            <w:tcBorders>
              <w:top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优</w:t>
            </w:r>
          </w:p>
        </w:tc>
      </w:tr>
    </w:tbl>
    <w:p>
      <w:pPr>
        <w:pStyle w:val="26"/>
        <w:widowControl/>
        <w:numPr>
          <w:numId w:val="0"/>
        </w:numPr>
        <w:spacing w:before="240" w:after="240" w:line="560" w:lineRule="atLeast"/>
        <w:jc w:val="left"/>
        <w:rPr>
          <w:rFonts w:ascii="黑体" w:hAnsi="黑体" w:eastAsia="黑体" w:cs="黑体"/>
          <w:kern w:val="0"/>
          <w:sz w:val="32"/>
          <w:szCs w:val="32"/>
        </w:rPr>
      </w:pPr>
    </w:p>
    <w:tbl>
      <w:tblPr>
        <w:tblW w:w="976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534"/>
        <w:gridCol w:w="526"/>
        <w:gridCol w:w="404"/>
        <w:gridCol w:w="1267"/>
        <w:gridCol w:w="1250"/>
        <w:gridCol w:w="845"/>
        <w:gridCol w:w="1070"/>
        <w:gridCol w:w="1070"/>
        <w:gridCol w:w="623"/>
        <w:gridCol w:w="623"/>
        <w:gridCol w:w="15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450" w:hRule="atLeast"/>
        </w:trPr>
        <w:tc>
          <w:tcPr>
            <w:tcW w:w="9767"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b/>
                <w:i w:val="0"/>
                <w:color w:val="000000"/>
                <w:sz w:val="36"/>
                <w:szCs w:val="36"/>
                <w:u w:val="none"/>
              </w:rPr>
            </w:pPr>
            <w:r>
              <w:rPr>
                <w:rFonts w:hint="eastAsia" w:ascii="宋体" w:hAnsi="宋体" w:eastAsia="宋体" w:cs="宋体"/>
                <w:b/>
                <w:i w:val="0"/>
                <w:color w:val="000000"/>
                <w:kern w:val="0"/>
                <w:sz w:val="36"/>
                <w:szCs w:val="36"/>
                <w:u w:val="none"/>
                <w:lang w:val="en-US" w:eastAsia="zh-CN" w:bidi="ar-SA"/>
              </w:rPr>
              <w:t>项目支出绩效自评表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9767"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项目名称</w:t>
            </w:r>
          </w:p>
        </w:tc>
        <w:tc>
          <w:tcPr>
            <w:tcW w:w="830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龙财预指[2024]1号下达2024年乡村振兴大专项（涉农项目整合）协理员资金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4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主管部门</w:t>
            </w:r>
          </w:p>
        </w:tc>
        <w:tc>
          <w:tcPr>
            <w:tcW w:w="336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漳平市人民政府菁城街道办事处</w:t>
            </w:r>
          </w:p>
        </w:tc>
        <w:tc>
          <w:tcPr>
            <w:tcW w:w="21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实施单位</w:t>
            </w:r>
          </w:p>
        </w:tc>
        <w:tc>
          <w:tcPr>
            <w:tcW w:w="28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漳平市人民政府菁城街道办事处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项目资金(万元)</w:t>
            </w:r>
          </w:p>
        </w:tc>
        <w:tc>
          <w:tcPr>
            <w:tcW w:w="9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年初预算数</w:t>
            </w:r>
          </w:p>
        </w:tc>
        <w:tc>
          <w:tcPr>
            <w:tcW w:w="20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全年预算数</w:t>
            </w:r>
          </w:p>
        </w:tc>
        <w:tc>
          <w:tcPr>
            <w:tcW w:w="10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全年执行数</w:t>
            </w:r>
          </w:p>
        </w:tc>
        <w:tc>
          <w:tcPr>
            <w:tcW w:w="10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分值</w:t>
            </w:r>
          </w:p>
        </w:tc>
        <w:tc>
          <w:tcPr>
            <w:tcW w:w="12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执行率</w:t>
            </w:r>
          </w:p>
        </w:tc>
        <w:tc>
          <w:tcPr>
            <w:tcW w:w="15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40"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9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资金总额</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20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0.72</w:t>
            </w:r>
          </w:p>
        </w:tc>
        <w:tc>
          <w:tcPr>
            <w:tcW w:w="10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0.72</w:t>
            </w:r>
          </w:p>
        </w:tc>
        <w:tc>
          <w:tcPr>
            <w:tcW w:w="10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2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100.00</w:t>
            </w:r>
          </w:p>
        </w:tc>
        <w:tc>
          <w:tcPr>
            <w:tcW w:w="15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9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财政资金</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20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0.72</w:t>
            </w:r>
          </w:p>
        </w:tc>
        <w:tc>
          <w:tcPr>
            <w:tcW w:w="10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0.72</w:t>
            </w:r>
          </w:p>
        </w:tc>
        <w:tc>
          <w:tcPr>
            <w:tcW w:w="10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w:t>
            </w:r>
          </w:p>
        </w:tc>
        <w:tc>
          <w:tcPr>
            <w:tcW w:w="12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100.00</w:t>
            </w:r>
          </w:p>
        </w:tc>
        <w:tc>
          <w:tcPr>
            <w:tcW w:w="1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9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其他资金</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20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10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10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w:t>
            </w:r>
          </w:p>
        </w:tc>
        <w:tc>
          <w:tcPr>
            <w:tcW w:w="12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1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年度总体目标</w:t>
            </w:r>
          </w:p>
        </w:tc>
        <w:tc>
          <w:tcPr>
            <w:tcW w:w="429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预期目标</w:t>
            </w:r>
          </w:p>
        </w:tc>
        <w:tc>
          <w:tcPr>
            <w:tcW w:w="49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实际完成情况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1380"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4292" w:type="dxa"/>
            <w:gridSpan w:val="5"/>
            <w:tcBorders>
              <w:top w:val="single" w:color="000000" w:sz="4" w:space="0"/>
              <w:left w:val="single" w:color="000000" w:sz="4" w:space="0"/>
              <w:bottom w:val="single" w:color="000000" w:sz="4" w:space="0"/>
              <w:right w:val="single" w:color="000000" w:sz="4" w:space="0"/>
            </w:tcBorders>
            <w:shd w:val="clear" w:color="auto" w:fill="auto"/>
            <w:vAlign w:val="top"/>
          </w:tcPr>
          <w:p>
            <w:pPr>
              <w:widowControl/>
              <w:jc w:val="left"/>
              <w:textAlignment w:val="top"/>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 xml:space="preserve">支持脱贫人口发展生产稳定增收，接续推进脱贫地区发展，提高特色现代农业发展水平。                </w:t>
            </w:r>
          </w:p>
        </w:tc>
        <w:tc>
          <w:tcPr>
            <w:tcW w:w="4941" w:type="dxa"/>
            <w:gridSpan w:val="5"/>
            <w:tcBorders>
              <w:top w:val="single" w:color="000000" w:sz="4" w:space="0"/>
              <w:left w:val="single" w:color="000000" w:sz="4" w:space="0"/>
              <w:bottom w:val="single" w:color="000000" w:sz="4" w:space="0"/>
              <w:right w:val="single" w:color="000000" w:sz="4" w:space="0"/>
            </w:tcBorders>
            <w:shd w:val="clear" w:color="auto" w:fill="auto"/>
            <w:vAlign w:val="top"/>
          </w:tcPr>
          <w:p>
            <w:pPr>
              <w:widowControl/>
              <w:jc w:val="left"/>
              <w:textAlignment w:val="top"/>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已完成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绩效</w:t>
            </w:r>
            <w:r>
              <w:rPr>
                <w:rFonts w:hint="eastAsia" w:ascii="宋体" w:hAnsi="宋体" w:eastAsia="宋体" w:cs="宋体"/>
                <w:i w:val="0"/>
                <w:color w:val="000000"/>
                <w:kern w:val="0"/>
                <w:sz w:val="24"/>
                <w:szCs w:val="24"/>
                <w:u w:val="none"/>
                <w:lang w:val="en-US" w:eastAsia="zh-CN" w:bidi="ar-SA"/>
              </w:rPr>
              <w:br/>
            </w:r>
            <w:r>
              <w:rPr>
                <w:rFonts w:hint="eastAsia" w:ascii="宋体" w:hAnsi="宋体" w:eastAsia="宋体" w:cs="宋体"/>
                <w:i w:val="0"/>
                <w:color w:val="000000"/>
                <w:kern w:val="0"/>
                <w:sz w:val="24"/>
                <w:szCs w:val="24"/>
                <w:u w:val="none"/>
                <w:lang w:val="en-US" w:eastAsia="zh-CN" w:bidi="ar-SA"/>
              </w:rPr>
              <w:t>指标</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一级指标</w:t>
            </w:r>
          </w:p>
        </w:tc>
        <w:tc>
          <w:tcPr>
            <w:tcW w:w="40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二级指标</w:t>
            </w:r>
          </w:p>
        </w:tc>
        <w:tc>
          <w:tcPr>
            <w:tcW w:w="25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三级指标</w:t>
            </w:r>
          </w:p>
        </w:tc>
        <w:tc>
          <w:tcPr>
            <w:tcW w:w="19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年度指标值</w:t>
            </w:r>
          </w:p>
        </w:tc>
        <w:tc>
          <w:tcPr>
            <w:tcW w:w="10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实际完成值</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指标分值</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自评得分</w:t>
            </w:r>
          </w:p>
        </w:tc>
        <w:tc>
          <w:tcPr>
            <w:tcW w:w="15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偏差原因分析及改进措施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5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产出指标</w:t>
            </w:r>
          </w:p>
        </w:tc>
        <w:tc>
          <w:tcPr>
            <w:tcW w:w="40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数量指标</w:t>
            </w:r>
          </w:p>
        </w:tc>
        <w:tc>
          <w:tcPr>
            <w:tcW w:w="25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聘用扶贫协理员人数</w:t>
            </w:r>
          </w:p>
        </w:tc>
        <w:tc>
          <w:tcPr>
            <w:tcW w:w="19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=4名</w:t>
            </w:r>
          </w:p>
        </w:tc>
        <w:tc>
          <w:tcPr>
            <w:tcW w:w="10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4</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20</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20</w:t>
            </w:r>
          </w:p>
        </w:tc>
        <w:tc>
          <w:tcPr>
            <w:tcW w:w="155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5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40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质量指标</w:t>
            </w:r>
          </w:p>
        </w:tc>
        <w:tc>
          <w:tcPr>
            <w:tcW w:w="25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细化项目目标完成率</w:t>
            </w:r>
          </w:p>
        </w:tc>
        <w:tc>
          <w:tcPr>
            <w:tcW w:w="19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w:t>
            </w:r>
          </w:p>
        </w:tc>
        <w:tc>
          <w:tcPr>
            <w:tcW w:w="10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55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5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40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时效指标</w:t>
            </w:r>
          </w:p>
        </w:tc>
        <w:tc>
          <w:tcPr>
            <w:tcW w:w="25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资金发放及时率</w:t>
            </w:r>
          </w:p>
        </w:tc>
        <w:tc>
          <w:tcPr>
            <w:tcW w:w="19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w:t>
            </w:r>
          </w:p>
        </w:tc>
        <w:tc>
          <w:tcPr>
            <w:tcW w:w="10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55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成本指标</w:t>
            </w:r>
          </w:p>
        </w:tc>
        <w:tc>
          <w:tcPr>
            <w:tcW w:w="40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经济成本指标</w:t>
            </w:r>
          </w:p>
        </w:tc>
        <w:tc>
          <w:tcPr>
            <w:tcW w:w="25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 xml:space="preserve">协理员工资补助标准 </w:t>
            </w:r>
          </w:p>
        </w:tc>
        <w:tc>
          <w:tcPr>
            <w:tcW w:w="19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=1800元/人</w:t>
            </w:r>
          </w:p>
        </w:tc>
        <w:tc>
          <w:tcPr>
            <w:tcW w:w="10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1800</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55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效益指标</w:t>
            </w:r>
          </w:p>
        </w:tc>
        <w:tc>
          <w:tcPr>
            <w:tcW w:w="40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社会效益指标</w:t>
            </w:r>
          </w:p>
        </w:tc>
        <w:tc>
          <w:tcPr>
            <w:tcW w:w="25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贫困发生率</w:t>
            </w:r>
          </w:p>
        </w:tc>
        <w:tc>
          <w:tcPr>
            <w:tcW w:w="19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&lt;3%</w:t>
            </w:r>
          </w:p>
        </w:tc>
        <w:tc>
          <w:tcPr>
            <w:tcW w:w="10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30</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30</w:t>
            </w:r>
          </w:p>
        </w:tc>
        <w:tc>
          <w:tcPr>
            <w:tcW w:w="155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满意度指标</w:t>
            </w:r>
          </w:p>
        </w:tc>
        <w:tc>
          <w:tcPr>
            <w:tcW w:w="40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服务对象满意度指标</w:t>
            </w:r>
          </w:p>
        </w:tc>
        <w:tc>
          <w:tcPr>
            <w:tcW w:w="25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扶贫协理员满意度</w:t>
            </w:r>
          </w:p>
        </w:tc>
        <w:tc>
          <w:tcPr>
            <w:tcW w:w="19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≥95%</w:t>
            </w:r>
          </w:p>
        </w:tc>
        <w:tc>
          <w:tcPr>
            <w:tcW w:w="10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95</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55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696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总分值、自评总得分（S）</w:t>
            </w:r>
          </w:p>
        </w:tc>
        <w:tc>
          <w:tcPr>
            <w:tcW w:w="28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评价等级</w:t>
            </w:r>
          </w:p>
        </w:tc>
        <w:tc>
          <w:tcPr>
            <w:tcW w:w="8707" w:type="dxa"/>
            <w:gridSpan w:val="9"/>
            <w:tcBorders>
              <w:top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优</w:t>
            </w:r>
          </w:p>
        </w:tc>
      </w:tr>
    </w:tbl>
    <w:p>
      <w:pPr>
        <w:pStyle w:val="26"/>
        <w:widowControl/>
        <w:numPr>
          <w:numId w:val="0"/>
        </w:numPr>
        <w:spacing w:before="240" w:after="240" w:line="560" w:lineRule="atLeast"/>
        <w:jc w:val="left"/>
        <w:rPr>
          <w:rFonts w:ascii="黑体" w:hAnsi="黑体" w:eastAsia="黑体" w:cs="黑体"/>
          <w:kern w:val="0"/>
          <w:sz w:val="32"/>
          <w:szCs w:val="32"/>
        </w:rPr>
      </w:pPr>
    </w:p>
    <w:tbl>
      <w:tblPr>
        <w:tblW w:w="976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533"/>
        <w:gridCol w:w="525"/>
        <w:gridCol w:w="403"/>
        <w:gridCol w:w="1266"/>
        <w:gridCol w:w="1249"/>
        <w:gridCol w:w="854"/>
        <w:gridCol w:w="1069"/>
        <w:gridCol w:w="1060"/>
        <w:gridCol w:w="623"/>
        <w:gridCol w:w="623"/>
        <w:gridCol w:w="15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450" w:hRule="atLeast"/>
        </w:trPr>
        <w:tc>
          <w:tcPr>
            <w:tcW w:w="976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b/>
                <w:i w:val="0"/>
                <w:color w:val="000000"/>
                <w:sz w:val="36"/>
                <w:szCs w:val="36"/>
                <w:u w:val="none"/>
              </w:rPr>
            </w:pPr>
            <w:r>
              <w:rPr>
                <w:rFonts w:hint="eastAsia" w:ascii="宋体" w:hAnsi="宋体" w:eastAsia="宋体" w:cs="宋体"/>
                <w:b/>
                <w:i w:val="0"/>
                <w:color w:val="000000"/>
                <w:kern w:val="0"/>
                <w:sz w:val="36"/>
                <w:szCs w:val="36"/>
                <w:u w:val="none"/>
                <w:lang w:val="en-US" w:eastAsia="zh-CN" w:bidi="ar-SA"/>
              </w:rPr>
              <w:t>项目支出绩效自评表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976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46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项目名称</w:t>
            </w:r>
          </w:p>
        </w:tc>
        <w:tc>
          <w:tcPr>
            <w:tcW w:w="8299"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中央支持地方公共文化服务体系建设补助资金（闽财教指〔2025〕24号）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46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主管部门</w:t>
            </w:r>
          </w:p>
        </w:tc>
        <w:tc>
          <w:tcPr>
            <w:tcW w:w="336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漳平市人民政府菁城街道办事处</w:t>
            </w:r>
          </w:p>
        </w:tc>
        <w:tc>
          <w:tcPr>
            <w:tcW w:w="212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实施单位</w:t>
            </w:r>
          </w:p>
        </w:tc>
        <w:tc>
          <w:tcPr>
            <w:tcW w:w="28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漳平市人民政府菁城街道办事处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项目资金(万元)</w:t>
            </w: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年初预算数</w:t>
            </w:r>
          </w:p>
        </w:tc>
        <w:tc>
          <w:tcPr>
            <w:tcW w:w="21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全年预算数</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全年执行数</w:t>
            </w:r>
          </w:p>
        </w:tc>
        <w:tc>
          <w:tcPr>
            <w:tcW w:w="10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分值</w:t>
            </w:r>
          </w:p>
        </w:tc>
        <w:tc>
          <w:tcPr>
            <w:tcW w:w="12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执行率</w:t>
            </w:r>
          </w:p>
        </w:tc>
        <w:tc>
          <w:tcPr>
            <w:tcW w:w="15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40" w:hRule="atLeast"/>
        </w:trPr>
        <w:tc>
          <w:tcPr>
            <w:tcW w:w="5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资金总额</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21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2.40</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2.40</w:t>
            </w:r>
          </w:p>
        </w:tc>
        <w:tc>
          <w:tcPr>
            <w:tcW w:w="10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2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100.00</w:t>
            </w:r>
          </w:p>
        </w:tc>
        <w:tc>
          <w:tcPr>
            <w:tcW w:w="15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财政资金</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21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2.40</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2.40</w:t>
            </w:r>
          </w:p>
        </w:tc>
        <w:tc>
          <w:tcPr>
            <w:tcW w:w="10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w:t>
            </w:r>
          </w:p>
        </w:tc>
        <w:tc>
          <w:tcPr>
            <w:tcW w:w="12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100.00</w:t>
            </w:r>
          </w:p>
        </w:tc>
        <w:tc>
          <w:tcPr>
            <w:tcW w:w="1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9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其他资金</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21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10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w:t>
            </w:r>
          </w:p>
        </w:tc>
        <w:tc>
          <w:tcPr>
            <w:tcW w:w="12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15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年度总体目标</w:t>
            </w:r>
          </w:p>
        </w:tc>
        <w:tc>
          <w:tcPr>
            <w:tcW w:w="429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预期目标</w:t>
            </w:r>
          </w:p>
        </w:tc>
        <w:tc>
          <w:tcPr>
            <w:tcW w:w="4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实际完成情况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1380" w:hRule="atLeast"/>
        </w:trPr>
        <w:tc>
          <w:tcPr>
            <w:tcW w:w="5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4297" w:type="dxa"/>
            <w:gridSpan w:val="5"/>
            <w:tcBorders>
              <w:top w:val="single" w:color="000000" w:sz="4" w:space="0"/>
              <w:left w:val="single" w:color="000000" w:sz="4" w:space="0"/>
              <w:bottom w:val="single" w:color="000000" w:sz="4" w:space="0"/>
              <w:right w:val="single" w:color="000000" w:sz="4" w:space="0"/>
            </w:tcBorders>
            <w:shd w:val="clear" w:color="auto" w:fill="auto"/>
            <w:vAlign w:val="top"/>
          </w:tcPr>
          <w:p>
            <w:pPr>
              <w:widowControl/>
              <w:jc w:val="left"/>
              <w:textAlignment w:val="top"/>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引导和支持地方提供基本公共服务项目，改善基层公共文化设施条件，加强基层公共文化服务人次队伍建设等，支持加快构建现代公共文化服务体系，促进基本公共文化服务标准化、均等化，保障广大群众进行文化鉴赏、开展文化活动基本文化权益。</w:t>
            </w:r>
          </w:p>
        </w:tc>
        <w:tc>
          <w:tcPr>
            <w:tcW w:w="4930" w:type="dxa"/>
            <w:gridSpan w:val="5"/>
            <w:tcBorders>
              <w:top w:val="single" w:color="000000" w:sz="4" w:space="0"/>
              <w:left w:val="single" w:color="000000" w:sz="4" w:space="0"/>
              <w:bottom w:val="single" w:color="000000" w:sz="4" w:space="0"/>
              <w:right w:val="single" w:color="000000" w:sz="4" w:space="0"/>
            </w:tcBorders>
            <w:shd w:val="clear" w:color="auto" w:fill="auto"/>
            <w:vAlign w:val="top"/>
          </w:tcPr>
          <w:p>
            <w:pPr>
              <w:widowControl/>
              <w:jc w:val="left"/>
              <w:textAlignment w:val="top"/>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已完成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绩效</w:t>
            </w:r>
            <w:r>
              <w:rPr>
                <w:rFonts w:hint="eastAsia" w:ascii="宋体" w:hAnsi="宋体" w:eastAsia="宋体" w:cs="宋体"/>
                <w:i w:val="0"/>
                <w:color w:val="000000"/>
                <w:kern w:val="0"/>
                <w:sz w:val="24"/>
                <w:szCs w:val="24"/>
                <w:u w:val="none"/>
                <w:lang w:val="en-US" w:eastAsia="zh-CN" w:bidi="ar-SA"/>
              </w:rPr>
              <w:br/>
            </w:r>
            <w:r>
              <w:rPr>
                <w:rFonts w:hint="eastAsia" w:ascii="宋体" w:hAnsi="宋体" w:eastAsia="宋体" w:cs="宋体"/>
                <w:i w:val="0"/>
                <w:color w:val="000000"/>
                <w:kern w:val="0"/>
                <w:sz w:val="24"/>
                <w:szCs w:val="24"/>
                <w:u w:val="none"/>
                <w:lang w:val="en-US" w:eastAsia="zh-CN" w:bidi="ar-SA"/>
              </w:rPr>
              <w:t>指标</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一级指标</w:t>
            </w:r>
          </w:p>
        </w:tc>
        <w:tc>
          <w:tcPr>
            <w:tcW w:w="40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二级指标</w:t>
            </w:r>
          </w:p>
        </w:tc>
        <w:tc>
          <w:tcPr>
            <w:tcW w:w="25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三级指标</w:t>
            </w:r>
          </w:p>
        </w:tc>
        <w:tc>
          <w:tcPr>
            <w:tcW w:w="192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年度指标值</w:t>
            </w:r>
          </w:p>
        </w:tc>
        <w:tc>
          <w:tcPr>
            <w:tcW w:w="10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实际完成值</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指标分值</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自评得分</w:t>
            </w:r>
          </w:p>
        </w:tc>
        <w:tc>
          <w:tcPr>
            <w:tcW w:w="15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偏差原因分析及改进措施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产出指标</w:t>
            </w:r>
          </w:p>
        </w:tc>
        <w:tc>
          <w:tcPr>
            <w:tcW w:w="40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数量指标</w:t>
            </w:r>
          </w:p>
        </w:tc>
        <w:tc>
          <w:tcPr>
            <w:tcW w:w="25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文化站按规定免费开放个数</w:t>
            </w:r>
          </w:p>
        </w:tc>
        <w:tc>
          <w:tcPr>
            <w:tcW w:w="192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=1个</w:t>
            </w:r>
          </w:p>
        </w:tc>
        <w:tc>
          <w:tcPr>
            <w:tcW w:w="10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20</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20</w:t>
            </w:r>
          </w:p>
        </w:tc>
        <w:tc>
          <w:tcPr>
            <w:tcW w:w="155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40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质量指标</w:t>
            </w:r>
          </w:p>
        </w:tc>
        <w:tc>
          <w:tcPr>
            <w:tcW w:w="25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全年陈列展览完成率</w:t>
            </w:r>
          </w:p>
        </w:tc>
        <w:tc>
          <w:tcPr>
            <w:tcW w:w="192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w:t>
            </w:r>
          </w:p>
        </w:tc>
        <w:tc>
          <w:tcPr>
            <w:tcW w:w="10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55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40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时效指标</w:t>
            </w:r>
          </w:p>
        </w:tc>
        <w:tc>
          <w:tcPr>
            <w:tcW w:w="25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公共文化站免费开放完成时间</w:t>
            </w:r>
          </w:p>
        </w:tc>
        <w:tc>
          <w:tcPr>
            <w:tcW w:w="192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=12月31日前12月31日前</w:t>
            </w:r>
          </w:p>
        </w:tc>
        <w:tc>
          <w:tcPr>
            <w:tcW w:w="10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12月31日前</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55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成本指标</w:t>
            </w:r>
          </w:p>
        </w:tc>
        <w:tc>
          <w:tcPr>
            <w:tcW w:w="40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经济成本指标</w:t>
            </w:r>
          </w:p>
        </w:tc>
        <w:tc>
          <w:tcPr>
            <w:tcW w:w="25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补助资金成本控制率</w:t>
            </w:r>
          </w:p>
        </w:tc>
        <w:tc>
          <w:tcPr>
            <w:tcW w:w="192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w:t>
            </w:r>
          </w:p>
        </w:tc>
        <w:tc>
          <w:tcPr>
            <w:tcW w:w="10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55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效益指标</w:t>
            </w:r>
          </w:p>
        </w:tc>
        <w:tc>
          <w:tcPr>
            <w:tcW w:w="40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社会效益指标</w:t>
            </w:r>
          </w:p>
        </w:tc>
        <w:tc>
          <w:tcPr>
            <w:tcW w:w="25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提高群众文化活动参加人次增长率</w:t>
            </w:r>
          </w:p>
        </w:tc>
        <w:tc>
          <w:tcPr>
            <w:tcW w:w="192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≥3%</w:t>
            </w:r>
          </w:p>
        </w:tc>
        <w:tc>
          <w:tcPr>
            <w:tcW w:w="10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3</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30</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30</w:t>
            </w:r>
          </w:p>
        </w:tc>
        <w:tc>
          <w:tcPr>
            <w:tcW w:w="155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满意度指标</w:t>
            </w:r>
          </w:p>
        </w:tc>
        <w:tc>
          <w:tcPr>
            <w:tcW w:w="40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服务对象满意度指标</w:t>
            </w:r>
          </w:p>
        </w:tc>
        <w:tc>
          <w:tcPr>
            <w:tcW w:w="25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群众对国家基本公共文化服务满意度</w:t>
            </w:r>
          </w:p>
        </w:tc>
        <w:tc>
          <w:tcPr>
            <w:tcW w:w="192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≥90%</w:t>
            </w:r>
          </w:p>
        </w:tc>
        <w:tc>
          <w:tcPr>
            <w:tcW w:w="10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90</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55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6959"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总分值、自评总得分（S）</w:t>
            </w:r>
          </w:p>
        </w:tc>
        <w:tc>
          <w:tcPr>
            <w:tcW w:w="28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05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评价等级</w:t>
            </w:r>
          </w:p>
        </w:tc>
        <w:tc>
          <w:tcPr>
            <w:tcW w:w="8702" w:type="dxa"/>
            <w:gridSpan w:val="9"/>
            <w:tcBorders>
              <w:top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优</w:t>
            </w:r>
          </w:p>
        </w:tc>
      </w:tr>
    </w:tbl>
    <w:p>
      <w:pPr>
        <w:pStyle w:val="26"/>
        <w:widowControl/>
        <w:numPr>
          <w:numId w:val="0"/>
        </w:numPr>
        <w:spacing w:before="240" w:after="240" w:line="560" w:lineRule="atLeast"/>
        <w:jc w:val="left"/>
        <w:rPr>
          <w:rFonts w:ascii="黑体" w:hAnsi="黑体" w:eastAsia="黑体" w:cs="黑体"/>
          <w:kern w:val="0"/>
          <w:sz w:val="32"/>
          <w:szCs w:val="32"/>
        </w:rPr>
      </w:pPr>
    </w:p>
    <w:tbl>
      <w:tblPr>
        <w:tblW w:w="976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532"/>
        <w:gridCol w:w="524"/>
        <w:gridCol w:w="402"/>
        <w:gridCol w:w="1260"/>
        <w:gridCol w:w="1250"/>
        <w:gridCol w:w="867"/>
        <w:gridCol w:w="1079"/>
        <w:gridCol w:w="1065"/>
        <w:gridCol w:w="621"/>
        <w:gridCol w:w="621"/>
        <w:gridCol w:w="154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450" w:hRule="atLeast"/>
        </w:trPr>
        <w:tc>
          <w:tcPr>
            <w:tcW w:w="9769"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b/>
                <w:i w:val="0"/>
                <w:color w:val="000000"/>
                <w:sz w:val="36"/>
                <w:szCs w:val="36"/>
                <w:u w:val="none"/>
              </w:rPr>
            </w:pPr>
            <w:r>
              <w:rPr>
                <w:rFonts w:hint="eastAsia" w:ascii="宋体" w:hAnsi="宋体" w:eastAsia="宋体" w:cs="宋体"/>
                <w:b/>
                <w:i w:val="0"/>
                <w:color w:val="000000"/>
                <w:kern w:val="0"/>
                <w:sz w:val="36"/>
                <w:szCs w:val="36"/>
                <w:u w:val="none"/>
                <w:lang w:val="en-US" w:eastAsia="zh-CN" w:bidi="ar-SA"/>
              </w:rPr>
              <w:t>项目支出绩效自评表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9769"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4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项目名称</w:t>
            </w:r>
          </w:p>
        </w:tc>
        <w:tc>
          <w:tcPr>
            <w:tcW w:w="831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朱阳墓保护修缮工程（龙财教指〔2023〕53号）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4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主管部门</w:t>
            </w:r>
          </w:p>
        </w:tc>
        <w:tc>
          <w:tcPr>
            <w:tcW w:w="33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漳平市人民政府菁城街道办事处</w:t>
            </w:r>
          </w:p>
        </w:tc>
        <w:tc>
          <w:tcPr>
            <w:tcW w:w="21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实施单位</w:t>
            </w:r>
          </w:p>
        </w:tc>
        <w:tc>
          <w:tcPr>
            <w:tcW w:w="27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漳平市人民政府菁城街道办事处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项目资金(万元)</w:t>
            </w:r>
          </w:p>
        </w:tc>
        <w:tc>
          <w:tcPr>
            <w:tcW w:w="9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年初预算数</w:t>
            </w:r>
          </w:p>
        </w:tc>
        <w:tc>
          <w:tcPr>
            <w:tcW w:w="21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全年预算数</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全年执行数</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分值</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执行率</w:t>
            </w:r>
          </w:p>
        </w:tc>
        <w:tc>
          <w:tcPr>
            <w:tcW w:w="15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40" w:hRule="atLeast"/>
        </w:trPr>
        <w:tc>
          <w:tcPr>
            <w:tcW w:w="5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9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资金总额</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21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10.00</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100.00</w:t>
            </w:r>
          </w:p>
        </w:tc>
        <w:tc>
          <w:tcPr>
            <w:tcW w:w="15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9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财政资金</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21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10.00</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100.00</w:t>
            </w:r>
          </w:p>
        </w:tc>
        <w:tc>
          <w:tcPr>
            <w:tcW w:w="15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9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其他资金</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21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15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年度总体目标</w:t>
            </w:r>
          </w:p>
        </w:tc>
        <w:tc>
          <w:tcPr>
            <w:tcW w:w="430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预期目标</w:t>
            </w:r>
          </w:p>
        </w:tc>
        <w:tc>
          <w:tcPr>
            <w:tcW w:w="493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实际完成情况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995" w:hRule="atLeast"/>
        </w:trPr>
        <w:tc>
          <w:tcPr>
            <w:tcW w:w="5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4303" w:type="dxa"/>
            <w:gridSpan w:val="5"/>
            <w:tcBorders>
              <w:top w:val="single" w:color="000000" w:sz="4" w:space="0"/>
              <w:left w:val="single" w:color="000000" w:sz="4" w:space="0"/>
              <w:bottom w:val="single" w:color="000000" w:sz="4" w:space="0"/>
              <w:right w:val="single" w:color="000000" w:sz="4" w:space="0"/>
            </w:tcBorders>
            <w:shd w:val="clear" w:color="auto" w:fill="auto"/>
            <w:vAlign w:val="top"/>
          </w:tcPr>
          <w:p>
            <w:pPr>
              <w:widowControl/>
              <w:jc w:val="left"/>
              <w:textAlignment w:val="top"/>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加强文物保护利用，提升文物安全水平，传承闽西红色文化，促进文物事业与经济社会和谐发展。</w:t>
            </w:r>
          </w:p>
        </w:tc>
        <w:tc>
          <w:tcPr>
            <w:tcW w:w="4934" w:type="dxa"/>
            <w:gridSpan w:val="5"/>
            <w:tcBorders>
              <w:top w:val="single" w:color="000000" w:sz="4" w:space="0"/>
              <w:left w:val="single" w:color="000000" w:sz="4" w:space="0"/>
              <w:bottom w:val="single" w:color="000000" w:sz="4" w:space="0"/>
              <w:right w:val="single" w:color="000000" w:sz="4" w:space="0"/>
            </w:tcBorders>
            <w:shd w:val="clear" w:color="auto" w:fill="auto"/>
            <w:vAlign w:val="top"/>
          </w:tcPr>
          <w:p>
            <w:pPr>
              <w:widowControl/>
              <w:jc w:val="left"/>
              <w:textAlignment w:val="top"/>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已完成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绩效</w:t>
            </w:r>
            <w:r>
              <w:rPr>
                <w:rFonts w:hint="eastAsia" w:ascii="宋体" w:hAnsi="宋体" w:eastAsia="宋体" w:cs="宋体"/>
                <w:i w:val="0"/>
                <w:color w:val="000000"/>
                <w:kern w:val="0"/>
                <w:sz w:val="24"/>
                <w:szCs w:val="24"/>
                <w:u w:val="none"/>
                <w:lang w:val="en-US" w:eastAsia="zh-CN" w:bidi="ar-SA"/>
              </w:rPr>
              <w:br/>
            </w:r>
            <w:r>
              <w:rPr>
                <w:rFonts w:hint="eastAsia" w:ascii="宋体" w:hAnsi="宋体" w:eastAsia="宋体" w:cs="宋体"/>
                <w:i w:val="0"/>
                <w:color w:val="000000"/>
                <w:kern w:val="0"/>
                <w:sz w:val="24"/>
                <w:szCs w:val="24"/>
                <w:u w:val="none"/>
                <w:lang w:val="en-US" w:eastAsia="zh-CN" w:bidi="ar-SA"/>
              </w:rPr>
              <w:t>指标</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一级指标</w:t>
            </w: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二级指标</w:t>
            </w:r>
          </w:p>
        </w:tc>
        <w:tc>
          <w:tcPr>
            <w:tcW w:w="25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三级指标</w:t>
            </w:r>
          </w:p>
        </w:tc>
        <w:tc>
          <w:tcPr>
            <w:tcW w:w="19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年度指标值</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实际完成值</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指标分值</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自评得分</w:t>
            </w:r>
          </w:p>
        </w:tc>
        <w:tc>
          <w:tcPr>
            <w:tcW w:w="15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偏差原因分析及改进措施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52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产出指标</w:t>
            </w: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数量指标</w:t>
            </w:r>
          </w:p>
        </w:tc>
        <w:tc>
          <w:tcPr>
            <w:tcW w:w="25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省级以上文保单位安全检查处数</w:t>
            </w:r>
          </w:p>
        </w:tc>
        <w:tc>
          <w:tcPr>
            <w:tcW w:w="19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≥8处</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8000</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20</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20</w:t>
            </w:r>
          </w:p>
        </w:tc>
        <w:tc>
          <w:tcPr>
            <w:tcW w:w="154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5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质量指标</w:t>
            </w:r>
          </w:p>
        </w:tc>
        <w:tc>
          <w:tcPr>
            <w:tcW w:w="25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安全事故发生情况</w:t>
            </w:r>
          </w:p>
        </w:tc>
        <w:tc>
          <w:tcPr>
            <w:tcW w:w="19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&lt;1项</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54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5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时效指标</w:t>
            </w:r>
          </w:p>
        </w:tc>
        <w:tc>
          <w:tcPr>
            <w:tcW w:w="25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文物保护项目验收及时率</w:t>
            </w:r>
          </w:p>
        </w:tc>
        <w:tc>
          <w:tcPr>
            <w:tcW w:w="19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≥90%</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90</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54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成本指标</w:t>
            </w: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经济成本指标</w:t>
            </w:r>
          </w:p>
        </w:tc>
        <w:tc>
          <w:tcPr>
            <w:tcW w:w="25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项目资金投入</w:t>
            </w:r>
          </w:p>
        </w:tc>
        <w:tc>
          <w:tcPr>
            <w:tcW w:w="19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≤11.76363万元</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54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效益指标</w:t>
            </w: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社会效益指标</w:t>
            </w:r>
          </w:p>
        </w:tc>
        <w:tc>
          <w:tcPr>
            <w:tcW w:w="25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重点文物保护保存率</w:t>
            </w:r>
          </w:p>
        </w:tc>
        <w:tc>
          <w:tcPr>
            <w:tcW w:w="19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≥90%</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90</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30</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30</w:t>
            </w:r>
          </w:p>
        </w:tc>
        <w:tc>
          <w:tcPr>
            <w:tcW w:w="154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5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满意度指标</w:t>
            </w: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服务对象满意度指标</w:t>
            </w:r>
          </w:p>
        </w:tc>
        <w:tc>
          <w:tcPr>
            <w:tcW w:w="25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文保资金安排情况满意度</w:t>
            </w:r>
          </w:p>
        </w:tc>
        <w:tc>
          <w:tcPr>
            <w:tcW w:w="19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≥90%</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90</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54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6979"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总分值、自评总得分（S）</w:t>
            </w:r>
          </w:p>
        </w:tc>
        <w:tc>
          <w:tcPr>
            <w:tcW w:w="27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0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评价等级</w:t>
            </w:r>
          </w:p>
        </w:tc>
        <w:tc>
          <w:tcPr>
            <w:tcW w:w="8713" w:type="dxa"/>
            <w:gridSpan w:val="9"/>
            <w:tcBorders>
              <w:top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优</w:t>
            </w:r>
          </w:p>
        </w:tc>
      </w:tr>
    </w:tbl>
    <w:p>
      <w:pPr>
        <w:pStyle w:val="26"/>
        <w:widowControl/>
        <w:numPr>
          <w:numId w:val="0"/>
        </w:numPr>
        <w:spacing w:before="240" w:after="240" w:line="560" w:lineRule="atLeast"/>
        <w:jc w:val="left"/>
        <w:rPr>
          <w:rFonts w:ascii="黑体" w:hAnsi="黑体" w:eastAsia="黑体" w:cs="黑体"/>
          <w:kern w:val="0"/>
          <w:sz w:val="32"/>
          <w:szCs w:val="32"/>
        </w:rPr>
      </w:pPr>
    </w:p>
    <w:p>
      <w:pPr>
        <w:pStyle w:val="26"/>
        <w:widowControl/>
        <w:numPr>
          <w:ilvl w:val="0"/>
          <w:numId w:val="2"/>
        </w:numPr>
        <w:spacing w:before="240" w:after="240" w:line="560" w:lineRule="atLeast"/>
        <w:ind w:firstLine="640"/>
        <w:jc w:val="left"/>
        <w:rPr>
          <w:rFonts w:ascii="黑体" w:hAnsi="黑体" w:eastAsia="黑体" w:cs="黑体"/>
          <w:kern w:val="0"/>
          <w:sz w:val="32"/>
          <w:szCs w:val="32"/>
        </w:rPr>
      </w:pPr>
      <w:r>
        <w:rPr>
          <w:rFonts w:ascii="黑体" w:hAnsi="黑体" w:eastAsia="黑体" w:cs="黑体"/>
          <w:kern w:val="0"/>
          <w:sz w:val="32"/>
          <w:szCs w:val="32"/>
        </w:rPr>
        <w:t>《项目支出绩效评价报告》</w:t>
      </w:r>
    </w:p>
    <w:p>
      <w:pPr>
        <w:pStyle w:val="26"/>
        <w:widowControl/>
        <w:numPr>
          <w:numId w:val="0"/>
        </w:numPr>
        <w:spacing w:before="240" w:after="240" w:line="560" w:lineRule="atLeast"/>
        <w:jc w:val="left"/>
        <w:rPr>
          <w:rFonts w:hint="eastAsia" w:ascii="黑体" w:hAnsi="黑体" w:eastAsia="黑体" w:cs="黑体"/>
          <w:kern w:val="0"/>
          <w:sz w:val="32"/>
          <w:szCs w:val="32"/>
          <w:lang w:eastAsia="zh-CN"/>
        </w:rPr>
      </w:pPr>
      <w:r>
        <w:rPr>
          <w:rFonts w:hint="eastAsia" w:ascii="黑体" w:hAnsi="黑体" w:eastAsia="黑体" w:cs="黑体"/>
          <w:kern w:val="0"/>
          <w:sz w:val="32"/>
          <w:szCs w:val="32"/>
          <w:lang w:val="en-US" w:eastAsia="zh-CN"/>
        </w:rPr>
        <w:t xml:space="preserve"> </w:t>
      </w:r>
      <w:r>
        <w:rPr>
          <w:rFonts w:hint="eastAsia" w:ascii="宋体" w:hAnsi="宋体" w:eastAsia="宋体" w:cs="宋体"/>
          <w:kern w:val="0"/>
          <w:sz w:val="32"/>
          <w:szCs w:val="32"/>
          <w:lang w:val="en-US" w:eastAsia="zh-CN"/>
        </w:rPr>
        <w:t xml:space="preserve"> </w:t>
      </w:r>
      <w:r>
        <w:rPr>
          <w:rFonts w:hint="eastAsia" w:ascii="宋体" w:hAnsi="宋体" w:eastAsia="宋体" w:cs="宋体"/>
          <w:kern w:val="0"/>
          <w:sz w:val="32"/>
          <w:szCs w:val="32"/>
          <w:lang w:eastAsia="zh-CN"/>
        </w:rPr>
        <w:t>无</w:t>
      </w:r>
    </w:p>
    <w:p>
      <w:pPr>
        <w:pStyle w:val="26"/>
        <w:widowControl/>
        <w:spacing w:before="240" w:after="240" w:line="560" w:lineRule="atLeast"/>
        <w:ind w:firstLine="640"/>
        <w:jc w:val="left"/>
        <w:rPr>
          <w:rFonts w:ascii="Times New Roman" w:hAnsi="Times New Roman" w:eastAsia="Times New Roman" w:cs="Times New Roman"/>
          <w:kern w:val="0"/>
          <w:sz w:val="24"/>
        </w:rPr>
      </w:pPr>
      <w:r>
        <w:rPr>
          <w:rFonts w:ascii="黑体" w:hAnsi="黑体" w:eastAsia="黑体" w:cs="黑体"/>
          <w:kern w:val="0"/>
          <w:sz w:val="32"/>
          <w:szCs w:val="32"/>
        </w:rPr>
        <w:t>三、部门整体支出绩效自评表</w:t>
      </w:r>
    </w:p>
    <w:bookmarkEnd w:id="0"/>
    <w:tbl>
      <w:tblPr>
        <w:tblStyle w:val="22"/>
        <w:tblW w:w="977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392"/>
        <w:gridCol w:w="542"/>
        <w:gridCol w:w="542"/>
        <w:gridCol w:w="1244"/>
        <w:gridCol w:w="1223"/>
        <w:gridCol w:w="686"/>
        <w:gridCol w:w="1111"/>
        <w:gridCol w:w="1155"/>
        <w:gridCol w:w="622"/>
        <w:gridCol w:w="634"/>
        <w:gridCol w:w="161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0" w:hRule="atLeast"/>
        </w:trPr>
        <w:tc>
          <w:tcPr>
            <w:tcW w:w="9770" w:type="dxa"/>
            <w:gridSpan w:val="11"/>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b/>
                <w:i w:val="0"/>
                <w:color w:val="000000"/>
                <w:sz w:val="36"/>
                <w:szCs w:val="36"/>
                <w:u w:val="none"/>
              </w:rPr>
            </w:pPr>
            <w:r>
              <w:rPr>
                <w:rFonts w:hint="eastAsia" w:ascii="宋体" w:hAnsi="宋体" w:eastAsia="宋体" w:cs="宋体"/>
                <w:b/>
                <w:i w:val="0"/>
                <w:color w:val="000000"/>
                <w:kern w:val="0"/>
                <w:sz w:val="36"/>
                <w:szCs w:val="36"/>
                <w:u w:val="none"/>
                <w:lang w:val="en-US" w:eastAsia="zh-CN" w:bidi="ar-SA"/>
              </w:rPr>
              <w:t>部门整体绩效自评表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9770" w:type="dxa"/>
            <w:gridSpan w:val="11"/>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476"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部门（单位）名称</w:t>
            </w:r>
          </w:p>
        </w:tc>
        <w:tc>
          <w:tcPr>
            <w:tcW w:w="3153"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漳平市人民政府菁城街道办事处</w:t>
            </w:r>
          </w:p>
        </w:tc>
        <w:tc>
          <w:tcPr>
            <w:tcW w:w="2266"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部门预算编码</w:t>
            </w:r>
          </w:p>
        </w:tc>
        <w:tc>
          <w:tcPr>
            <w:tcW w:w="2875"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801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392"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项目资金(万元)</w:t>
            </w:r>
          </w:p>
        </w:tc>
        <w:tc>
          <w:tcPr>
            <w:tcW w:w="1084"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124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年初预算数</w:t>
            </w:r>
          </w:p>
        </w:tc>
        <w:tc>
          <w:tcPr>
            <w:tcW w:w="1909"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全年预算数</w:t>
            </w:r>
          </w:p>
        </w:tc>
        <w:tc>
          <w:tcPr>
            <w:tcW w:w="111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全年执行数</w:t>
            </w:r>
          </w:p>
        </w:tc>
        <w:tc>
          <w:tcPr>
            <w:tcW w:w="115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分值</w:t>
            </w:r>
          </w:p>
        </w:tc>
        <w:tc>
          <w:tcPr>
            <w:tcW w:w="1256"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执行率</w:t>
            </w:r>
          </w:p>
        </w:tc>
        <w:tc>
          <w:tcPr>
            <w:tcW w:w="161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00" w:hRule="atLeast"/>
        </w:trPr>
        <w:tc>
          <w:tcPr>
            <w:tcW w:w="392"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1084"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资金总额</w:t>
            </w:r>
          </w:p>
        </w:tc>
        <w:tc>
          <w:tcPr>
            <w:tcW w:w="124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1405.05</w:t>
            </w:r>
          </w:p>
        </w:tc>
        <w:tc>
          <w:tcPr>
            <w:tcW w:w="1909"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2985.19</w:t>
            </w:r>
          </w:p>
        </w:tc>
        <w:tc>
          <w:tcPr>
            <w:tcW w:w="111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1661.68</w:t>
            </w:r>
          </w:p>
        </w:tc>
        <w:tc>
          <w:tcPr>
            <w:tcW w:w="115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w:t>
            </w:r>
          </w:p>
        </w:tc>
        <w:tc>
          <w:tcPr>
            <w:tcW w:w="1256"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55.66</w:t>
            </w:r>
          </w:p>
        </w:tc>
        <w:tc>
          <w:tcPr>
            <w:tcW w:w="161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392"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1084"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财政资金</w:t>
            </w:r>
          </w:p>
        </w:tc>
        <w:tc>
          <w:tcPr>
            <w:tcW w:w="124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1405.05</w:t>
            </w:r>
          </w:p>
        </w:tc>
        <w:tc>
          <w:tcPr>
            <w:tcW w:w="1909"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2985.19</w:t>
            </w:r>
          </w:p>
        </w:tc>
        <w:tc>
          <w:tcPr>
            <w:tcW w:w="111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1661.68</w:t>
            </w:r>
          </w:p>
        </w:tc>
        <w:tc>
          <w:tcPr>
            <w:tcW w:w="1155"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2"/>
                <w:szCs w:val="22"/>
                <w:u w:val="none"/>
              </w:rPr>
            </w:pPr>
          </w:p>
        </w:tc>
        <w:tc>
          <w:tcPr>
            <w:tcW w:w="1256"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55.66</w:t>
            </w:r>
          </w:p>
        </w:tc>
        <w:tc>
          <w:tcPr>
            <w:tcW w:w="1619"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392"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1084"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其他资金</w:t>
            </w:r>
          </w:p>
        </w:tc>
        <w:tc>
          <w:tcPr>
            <w:tcW w:w="124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1909"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111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1155"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1256"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0.00</w:t>
            </w:r>
          </w:p>
        </w:tc>
        <w:tc>
          <w:tcPr>
            <w:tcW w:w="1619"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392"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年度总体目标</w:t>
            </w:r>
          </w:p>
        </w:tc>
        <w:tc>
          <w:tcPr>
            <w:tcW w:w="5348" w:type="dxa"/>
            <w:gridSpan w:val="6"/>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预期目标</w:t>
            </w:r>
          </w:p>
        </w:tc>
        <w:tc>
          <w:tcPr>
            <w:tcW w:w="4030" w:type="dxa"/>
            <w:gridSpan w:val="4"/>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目标实际完成情况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392"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5348" w:type="dxa"/>
            <w:gridSpan w:val="6"/>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 xml:space="preserve">保障菁城街道党委政府及三大中心部门履职，日常工作正常进行             </w:t>
            </w:r>
          </w:p>
        </w:tc>
        <w:tc>
          <w:tcPr>
            <w:tcW w:w="4030" w:type="dxa"/>
            <w:gridSpan w:val="4"/>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 xml:space="preserve">保障菁城街道党委政府及三大中心部门履职，日常工作正常进行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392"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绩效</w:t>
            </w:r>
            <w:r>
              <w:rPr>
                <w:rFonts w:hint="eastAsia" w:ascii="宋体" w:hAnsi="宋体" w:eastAsia="宋体" w:cs="宋体"/>
                <w:i w:val="0"/>
                <w:color w:val="000000"/>
                <w:kern w:val="0"/>
                <w:sz w:val="24"/>
                <w:szCs w:val="24"/>
                <w:u w:val="none"/>
                <w:lang w:val="en-US" w:eastAsia="zh-CN" w:bidi="ar-SA"/>
              </w:rPr>
              <w:br/>
            </w:r>
            <w:r>
              <w:rPr>
                <w:rFonts w:hint="eastAsia" w:ascii="宋体" w:hAnsi="宋体" w:eastAsia="宋体" w:cs="宋体"/>
                <w:i w:val="0"/>
                <w:color w:val="000000"/>
                <w:kern w:val="0"/>
                <w:sz w:val="24"/>
                <w:szCs w:val="24"/>
                <w:u w:val="none"/>
                <w:lang w:val="en-US" w:eastAsia="zh-CN" w:bidi="ar-SA"/>
              </w:rPr>
              <w:t>指标</w:t>
            </w:r>
          </w:p>
        </w:tc>
        <w:tc>
          <w:tcPr>
            <w:tcW w:w="54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一级指标</w:t>
            </w:r>
          </w:p>
        </w:tc>
        <w:tc>
          <w:tcPr>
            <w:tcW w:w="54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二级指标</w:t>
            </w:r>
          </w:p>
        </w:tc>
        <w:tc>
          <w:tcPr>
            <w:tcW w:w="2467"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三级指标</w:t>
            </w:r>
          </w:p>
        </w:tc>
        <w:tc>
          <w:tcPr>
            <w:tcW w:w="1797"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年度指标值</w:t>
            </w:r>
          </w:p>
        </w:tc>
        <w:tc>
          <w:tcPr>
            <w:tcW w:w="115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实际完成值</w:t>
            </w:r>
          </w:p>
        </w:tc>
        <w:tc>
          <w:tcPr>
            <w:tcW w:w="62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指标分值</w:t>
            </w:r>
          </w:p>
        </w:tc>
        <w:tc>
          <w:tcPr>
            <w:tcW w:w="63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自评得分</w:t>
            </w:r>
          </w:p>
        </w:tc>
        <w:tc>
          <w:tcPr>
            <w:tcW w:w="161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偏差原因分析及改进措施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392" w:type="dxa"/>
            <w:vMerge w:val="continue"/>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c>
          <w:tcPr>
            <w:tcW w:w="542"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一般性支出情况</w:t>
            </w:r>
          </w:p>
        </w:tc>
        <w:tc>
          <w:tcPr>
            <w:tcW w:w="542"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一般性支出情况</w:t>
            </w:r>
          </w:p>
        </w:tc>
        <w:tc>
          <w:tcPr>
            <w:tcW w:w="2467"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“三公”经费控制率</w:t>
            </w:r>
          </w:p>
        </w:tc>
        <w:tc>
          <w:tcPr>
            <w:tcW w:w="1797"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w:t>
            </w:r>
          </w:p>
        </w:tc>
        <w:tc>
          <w:tcPr>
            <w:tcW w:w="115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w:t>
            </w:r>
          </w:p>
        </w:tc>
        <w:tc>
          <w:tcPr>
            <w:tcW w:w="62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w:t>
            </w:r>
          </w:p>
        </w:tc>
        <w:tc>
          <w:tcPr>
            <w:tcW w:w="63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w:t>
            </w:r>
          </w:p>
        </w:tc>
        <w:tc>
          <w:tcPr>
            <w:tcW w:w="1619"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392" w:type="dxa"/>
            <w:vMerge w:val="continue"/>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c>
          <w:tcPr>
            <w:tcW w:w="542" w:type="dxa"/>
            <w:vMerge w:val="continue"/>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2"/>
                <w:szCs w:val="22"/>
                <w:u w:val="none"/>
              </w:rPr>
            </w:pPr>
          </w:p>
        </w:tc>
        <w:tc>
          <w:tcPr>
            <w:tcW w:w="542" w:type="dxa"/>
            <w:vMerge w:val="continue"/>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2"/>
                <w:szCs w:val="22"/>
                <w:u w:val="none"/>
              </w:rPr>
            </w:pPr>
          </w:p>
        </w:tc>
        <w:tc>
          <w:tcPr>
            <w:tcW w:w="2467"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“三公”经费违规使用次数</w:t>
            </w:r>
          </w:p>
        </w:tc>
        <w:tc>
          <w:tcPr>
            <w:tcW w:w="1797"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≤0次</w:t>
            </w:r>
          </w:p>
        </w:tc>
        <w:tc>
          <w:tcPr>
            <w:tcW w:w="115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w:t>
            </w:r>
          </w:p>
        </w:tc>
        <w:tc>
          <w:tcPr>
            <w:tcW w:w="62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w:t>
            </w:r>
          </w:p>
        </w:tc>
        <w:tc>
          <w:tcPr>
            <w:tcW w:w="63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w:t>
            </w:r>
          </w:p>
        </w:tc>
        <w:tc>
          <w:tcPr>
            <w:tcW w:w="1619"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392" w:type="dxa"/>
            <w:vMerge w:val="continue"/>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c>
          <w:tcPr>
            <w:tcW w:w="542" w:type="dxa"/>
            <w:vMerge w:val="continue"/>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2"/>
                <w:szCs w:val="22"/>
                <w:u w:val="none"/>
              </w:rPr>
            </w:pPr>
          </w:p>
        </w:tc>
        <w:tc>
          <w:tcPr>
            <w:tcW w:w="542" w:type="dxa"/>
            <w:vMerge w:val="continue"/>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2"/>
                <w:szCs w:val="22"/>
                <w:u w:val="none"/>
              </w:rPr>
            </w:pPr>
          </w:p>
        </w:tc>
        <w:tc>
          <w:tcPr>
            <w:tcW w:w="2467"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会议费、差旅费超标准使用次数</w:t>
            </w:r>
          </w:p>
        </w:tc>
        <w:tc>
          <w:tcPr>
            <w:tcW w:w="1797"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≤0次</w:t>
            </w:r>
          </w:p>
        </w:tc>
        <w:tc>
          <w:tcPr>
            <w:tcW w:w="115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0</w:t>
            </w:r>
          </w:p>
        </w:tc>
        <w:tc>
          <w:tcPr>
            <w:tcW w:w="62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w:t>
            </w:r>
          </w:p>
        </w:tc>
        <w:tc>
          <w:tcPr>
            <w:tcW w:w="63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2</w:t>
            </w:r>
          </w:p>
        </w:tc>
        <w:tc>
          <w:tcPr>
            <w:tcW w:w="1619"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392" w:type="dxa"/>
            <w:vMerge w:val="continue"/>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c>
          <w:tcPr>
            <w:tcW w:w="542"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产出指标</w:t>
            </w:r>
          </w:p>
        </w:tc>
        <w:tc>
          <w:tcPr>
            <w:tcW w:w="542"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数量指标</w:t>
            </w:r>
          </w:p>
        </w:tc>
        <w:tc>
          <w:tcPr>
            <w:tcW w:w="2467"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社会保障缴费覆盖率</w:t>
            </w:r>
          </w:p>
        </w:tc>
        <w:tc>
          <w:tcPr>
            <w:tcW w:w="1797"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w:t>
            </w:r>
          </w:p>
        </w:tc>
        <w:tc>
          <w:tcPr>
            <w:tcW w:w="115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w:t>
            </w:r>
          </w:p>
        </w:tc>
        <w:tc>
          <w:tcPr>
            <w:tcW w:w="62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18</w:t>
            </w:r>
          </w:p>
        </w:tc>
        <w:tc>
          <w:tcPr>
            <w:tcW w:w="63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18</w:t>
            </w:r>
          </w:p>
        </w:tc>
        <w:tc>
          <w:tcPr>
            <w:tcW w:w="1619"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392" w:type="dxa"/>
            <w:vMerge w:val="continue"/>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c>
          <w:tcPr>
            <w:tcW w:w="542" w:type="dxa"/>
            <w:vMerge w:val="continue"/>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2"/>
                <w:szCs w:val="22"/>
                <w:u w:val="none"/>
              </w:rPr>
            </w:pPr>
          </w:p>
        </w:tc>
        <w:tc>
          <w:tcPr>
            <w:tcW w:w="542" w:type="dxa"/>
            <w:vMerge w:val="continue"/>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2"/>
                <w:szCs w:val="22"/>
                <w:u w:val="none"/>
              </w:rPr>
            </w:pPr>
          </w:p>
        </w:tc>
        <w:tc>
          <w:tcPr>
            <w:tcW w:w="2467"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采购完成个数</w:t>
            </w:r>
          </w:p>
        </w:tc>
        <w:tc>
          <w:tcPr>
            <w:tcW w:w="1797"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≤6项</w:t>
            </w:r>
          </w:p>
        </w:tc>
        <w:tc>
          <w:tcPr>
            <w:tcW w:w="115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3</w:t>
            </w:r>
          </w:p>
        </w:tc>
        <w:tc>
          <w:tcPr>
            <w:tcW w:w="62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18</w:t>
            </w:r>
          </w:p>
        </w:tc>
        <w:tc>
          <w:tcPr>
            <w:tcW w:w="63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18</w:t>
            </w:r>
          </w:p>
        </w:tc>
        <w:tc>
          <w:tcPr>
            <w:tcW w:w="1619"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392" w:type="dxa"/>
            <w:vMerge w:val="continue"/>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c>
          <w:tcPr>
            <w:tcW w:w="542" w:type="dxa"/>
            <w:vMerge w:val="continue"/>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2"/>
                <w:szCs w:val="22"/>
                <w:u w:val="none"/>
              </w:rPr>
            </w:pPr>
          </w:p>
        </w:tc>
        <w:tc>
          <w:tcPr>
            <w:tcW w:w="542"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质量指标</w:t>
            </w:r>
          </w:p>
        </w:tc>
        <w:tc>
          <w:tcPr>
            <w:tcW w:w="2467"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资金使用合规性</w:t>
            </w:r>
          </w:p>
        </w:tc>
        <w:tc>
          <w:tcPr>
            <w:tcW w:w="1797"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w:t>
            </w:r>
          </w:p>
        </w:tc>
        <w:tc>
          <w:tcPr>
            <w:tcW w:w="1155"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c>
          <w:tcPr>
            <w:tcW w:w="622"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c>
          <w:tcPr>
            <w:tcW w:w="634"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c>
          <w:tcPr>
            <w:tcW w:w="1619"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392" w:type="dxa"/>
            <w:vMerge w:val="continue"/>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c>
          <w:tcPr>
            <w:tcW w:w="542" w:type="dxa"/>
            <w:vMerge w:val="continue"/>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2"/>
                <w:szCs w:val="22"/>
                <w:u w:val="none"/>
              </w:rPr>
            </w:pPr>
          </w:p>
        </w:tc>
        <w:tc>
          <w:tcPr>
            <w:tcW w:w="542" w:type="dxa"/>
            <w:vMerge w:val="continue"/>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2"/>
                <w:szCs w:val="22"/>
                <w:u w:val="none"/>
              </w:rPr>
            </w:pPr>
          </w:p>
        </w:tc>
        <w:tc>
          <w:tcPr>
            <w:tcW w:w="2467"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自有资金采购项目质量合格率</w:t>
            </w:r>
          </w:p>
        </w:tc>
        <w:tc>
          <w:tcPr>
            <w:tcW w:w="1797"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w:t>
            </w:r>
          </w:p>
        </w:tc>
        <w:tc>
          <w:tcPr>
            <w:tcW w:w="1155"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c>
          <w:tcPr>
            <w:tcW w:w="622"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c>
          <w:tcPr>
            <w:tcW w:w="634"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c>
          <w:tcPr>
            <w:tcW w:w="1619"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392" w:type="dxa"/>
            <w:vMerge w:val="continue"/>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c>
          <w:tcPr>
            <w:tcW w:w="542" w:type="dxa"/>
            <w:vMerge w:val="continue"/>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2"/>
                <w:szCs w:val="22"/>
                <w:u w:val="none"/>
              </w:rPr>
            </w:pPr>
          </w:p>
        </w:tc>
        <w:tc>
          <w:tcPr>
            <w:tcW w:w="542"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时效指标</w:t>
            </w:r>
          </w:p>
        </w:tc>
        <w:tc>
          <w:tcPr>
            <w:tcW w:w="2467"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发放工作人员薪酬的及时率</w:t>
            </w:r>
          </w:p>
        </w:tc>
        <w:tc>
          <w:tcPr>
            <w:tcW w:w="1797"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w:t>
            </w:r>
          </w:p>
        </w:tc>
        <w:tc>
          <w:tcPr>
            <w:tcW w:w="1155"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c>
          <w:tcPr>
            <w:tcW w:w="622"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c>
          <w:tcPr>
            <w:tcW w:w="634"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c>
          <w:tcPr>
            <w:tcW w:w="1619"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392" w:type="dxa"/>
            <w:vMerge w:val="continue"/>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c>
          <w:tcPr>
            <w:tcW w:w="542" w:type="dxa"/>
            <w:vMerge w:val="continue"/>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2"/>
                <w:szCs w:val="22"/>
                <w:u w:val="none"/>
              </w:rPr>
            </w:pPr>
          </w:p>
        </w:tc>
        <w:tc>
          <w:tcPr>
            <w:tcW w:w="542" w:type="dxa"/>
            <w:vMerge w:val="continue"/>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2"/>
                <w:szCs w:val="22"/>
                <w:u w:val="none"/>
              </w:rPr>
            </w:pPr>
          </w:p>
        </w:tc>
        <w:tc>
          <w:tcPr>
            <w:tcW w:w="2467"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自有资金采购项目投入使用及时率</w:t>
            </w:r>
          </w:p>
        </w:tc>
        <w:tc>
          <w:tcPr>
            <w:tcW w:w="1797"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≥100%</w:t>
            </w:r>
          </w:p>
        </w:tc>
        <w:tc>
          <w:tcPr>
            <w:tcW w:w="1155"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c>
          <w:tcPr>
            <w:tcW w:w="622"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c>
          <w:tcPr>
            <w:tcW w:w="634"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c>
          <w:tcPr>
            <w:tcW w:w="1619"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392" w:type="dxa"/>
            <w:vMerge w:val="continue"/>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c>
          <w:tcPr>
            <w:tcW w:w="542"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成本指标</w:t>
            </w:r>
          </w:p>
        </w:tc>
        <w:tc>
          <w:tcPr>
            <w:tcW w:w="542"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经济成本指标</w:t>
            </w:r>
          </w:p>
        </w:tc>
        <w:tc>
          <w:tcPr>
            <w:tcW w:w="2467"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部门开展年度基本履职功能所需投入资金</w:t>
            </w:r>
          </w:p>
        </w:tc>
        <w:tc>
          <w:tcPr>
            <w:tcW w:w="1797"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≥1398.0549万元</w:t>
            </w:r>
          </w:p>
        </w:tc>
        <w:tc>
          <w:tcPr>
            <w:tcW w:w="115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1398.0549</w:t>
            </w:r>
          </w:p>
        </w:tc>
        <w:tc>
          <w:tcPr>
            <w:tcW w:w="62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4</w:t>
            </w:r>
          </w:p>
        </w:tc>
        <w:tc>
          <w:tcPr>
            <w:tcW w:w="63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4</w:t>
            </w:r>
          </w:p>
        </w:tc>
        <w:tc>
          <w:tcPr>
            <w:tcW w:w="1619"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392" w:type="dxa"/>
            <w:vMerge w:val="continue"/>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c>
          <w:tcPr>
            <w:tcW w:w="542" w:type="dxa"/>
            <w:vMerge w:val="continue"/>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2"/>
                <w:szCs w:val="22"/>
                <w:u w:val="none"/>
              </w:rPr>
            </w:pPr>
          </w:p>
        </w:tc>
        <w:tc>
          <w:tcPr>
            <w:tcW w:w="542" w:type="dxa"/>
            <w:vMerge w:val="continue"/>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2"/>
                <w:szCs w:val="22"/>
                <w:u w:val="none"/>
              </w:rPr>
            </w:pPr>
          </w:p>
        </w:tc>
        <w:tc>
          <w:tcPr>
            <w:tcW w:w="2467"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采购项目经费投入</w:t>
            </w:r>
          </w:p>
        </w:tc>
        <w:tc>
          <w:tcPr>
            <w:tcW w:w="1797"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≤7万元</w:t>
            </w:r>
          </w:p>
        </w:tc>
        <w:tc>
          <w:tcPr>
            <w:tcW w:w="115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7</w:t>
            </w:r>
          </w:p>
        </w:tc>
        <w:tc>
          <w:tcPr>
            <w:tcW w:w="62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4</w:t>
            </w:r>
          </w:p>
        </w:tc>
        <w:tc>
          <w:tcPr>
            <w:tcW w:w="63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4</w:t>
            </w:r>
          </w:p>
        </w:tc>
        <w:tc>
          <w:tcPr>
            <w:tcW w:w="1619"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392" w:type="dxa"/>
            <w:vMerge w:val="continue"/>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c>
          <w:tcPr>
            <w:tcW w:w="542"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效益指标</w:t>
            </w:r>
          </w:p>
        </w:tc>
        <w:tc>
          <w:tcPr>
            <w:tcW w:w="542"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社会效益指标</w:t>
            </w:r>
          </w:p>
        </w:tc>
        <w:tc>
          <w:tcPr>
            <w:tcW w:w="2467"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巩固部门事务服务保障</w:t>
            </w:r>
          </w:p>
        </w:tc>
        <w:tc>
          <w:tcPr>
            <w:tcW w:w="1797"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≥90%</w:t>
            </w:r>
          </w:p>
        </w:tc>
        <w:tc>
          <w:tcPr>
            <w:tcW w:w="115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90</w:t>
            </w:r>
          </w:p>
        </w:tc>
        <w:tc>
          <w:tcPr>
            <w:tcW w:w="62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15</w:t>
            </w:r>
          </w:p>
        </w:tc>
        <w:tc>
          <w:tcPr>
            <w:tcW w:w="63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15</w:t>
            </w:r>
          </w:p>
        </w:tc>
        <w:tc>
          <w:tcPr>
            <w:tcW w:w="1619"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392" w:type="dxa"/>
            <w:vMerge w:val="continue"/>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c>
          <w:tcPr>
            <w:tcW w:w="542" w:type="dxa"/>
            <w:vMerge w:val="continue"/>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2"/>
                <w:szCs w:val="22"/>
                <w:u w:val="none"/>
              </w:rPr>
            </w:pPr>
          </w:p>
        </w:tc>
        <w:tc>
          <w:tcPr>
            <w:tcW w:w="542" w:type="dxa"/>
            <w:vMerge w:val="continue"/>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2"/>
                <w:szCs w:val="22"/>
                <w:u w:val="none"/>
              </w:rPr>
            </w:pPr>
          </w:p>
        </w:tc>
        <w:tc>
          <w:tcPr>
            <w:tcW w:w="2467"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自有资金采购项目提高工作效率</w:t>
            </w:r>
          </w:p>
        </w:tc>
        <w:tc>
          <w:tcPr>
            <w:tcW w:w="1797"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≥90%</w:t>
            </w:r>
          </w:p>
        </w:tc>
        <w:tc>
          <w:tcPr>
            <w:tcW w:w="115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90</w:t>
            </w:r>
          </w:p>
        </w:tc>
        <w:tc>
          <w:tcPr>
            <w:tcW w:w="62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15</w:t>
            </w:r>
          </w:p>
        </w:tc>
        <w:tc>
          <w:tcPr>
            <w:tcW w:w="63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15</w:t>
            </w:r>
          </w:p>
        </w:tc>
        <w:tc>
          <w:tcPr>
            <w:tcW w:w="1619"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392" w:type="dxa"/>
            <w:vMerge w:val="continue"/>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c>
          <w:tcPr>
            <w:tcW w:w="542"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满意度指标</w:t>
            </w:r>
          </w:p>
        </w:tc>
        <w:tc>
          <w:tcPr>
            <w:tcW w:w="542"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服务对象满意度指标</w:t>
            </w:r>
          </w:p>
        </w:tc>
        <w:tc>
          <w:tcPr>
            <w:tcW w:w="2467"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服务对象满意度</w:t>
            </w:r>
          </w:p>
        </w:tc>
        <w:tc>
          <w:tcPr>
            <w:tcW w:w="1797"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≥90%</w:t>
            </w:r>
          </w:p>
        </w:tc>
        <w:tc>
          <w:tcPr>
            <w:tcW w:w="115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90</w:t>
            </w:r>
          </w:p>
        </w:tc>
        <w:tc>
          <w:tcPr>
            <w:tcW w:w="62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5</w:t>
            </w:r>
          </w:p>
        </w:tc>
        <w:tc>
          <w:tcPr>
            <w:tcW w:w="63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5</w:t>
            </w:r>
          </w:p>
        </w:tc>
        <w:tc>
          <w:tcPr>
            <w:tcW w:w="1619"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392" w:type="dxa"/>
            <w:vMerge w:val="continue"/>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4"/>
                <w:szCs w:val="24"/>
                <w:u w:val="none"/>
              </w:rPr>
            </w:pPr>
          </w:p>
        </w:tc>
        <w:tc>
          <w:tcPr>
            <w:tcW w:w="542" w:type="dxa"/>
            <w:vMerge w:val="continue"/>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2"/>
                <w:szCs w:val="22"/>
                <w:u w:val="none"/>
              </w:rPr>
            </w:pPr>
          </w:p>
        </w:tc>
        <w:tc>
          <w:tcPr>
            <w:tcW w:w="542" w:type="dxa"/>
            <w:vMerge w:val="continue"/>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i w:val="0"/>
                <w:color w:val="000000"/>
                <w:sz w:val="22"/>
                <w:szCs w:val="22"/>
                <w:u w:val="none"/>
              </w:rPr>
            </w:pPr>
          </w:p>
        </w:tc>
        <w:tc>
          <w:tcPr>
            <w:tcW w:w="2467"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自有资金采购项目领用人满意度</w:t>
            </w:r>
          </w:p>
        </w:tc>
        <w:tc>
          <w:tcPr>
            <w:tcW w:w="1797" w:type="dxa"/>
            <w:gridSpan w:val="2"/>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≥90%</w:t>
            </w:r>
          </w:p>
        </w:tc>
        <w:tc>
          <w:tcPr>
            <w:tcW w:w="1155"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90</w:t>
            </w:r>
          </w:p>
        </w:tc>
        <w:tc>
          <w:tcPr>
            <w:tcW w:w="622"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5</w:t>
            </w:r>
          </w:p>
        </w:tc>
        <w:tc>
          <w:tcPr>
            <w:tcW w:w="634"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5</w:t>
            </w:r>
          </w:p>
        </w:tc>
        <w:tc>
          <w:tcPr>
            <w:tcW w:w="1619"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6895" w:type="dxa"/>
            <w:gridSpan w:val="8"/>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总分</w:t>
            </w:r>
          </w:p>
        </w:tc>
        <w:tc>
          <w:tcPr>
            <w:tcW w:w="2875"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SA"/>
              </w:rPr>
              <w:t>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60" w:hRule="atLeast"/>
        </w:trPr>
        <w:tc>
          <w:tcPr>
            <w:tcW w:w="934"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评价等级</w:t>
            </w:r>
          </w:p>
        </w:tc>
        <w:tc>
          <w:tcPr>
            <w:tcW w:w="8836" w:type="dxa"/>
            <w:gridSpan w:val="9"/>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SA"/>
              </w:rPr>
              <w:t>优（S≧90）</w:t>
            </w:r>
          </w:p>
        </w:tc>
      </w:tr>
    </w:tbl>
    <w:p>
      <w:pPr>
        <w:widowControl w:val="0"/>
        <w:tabs>
          <w:tab w:val="left" w:pos="8415"/>
        </w:tabs>
        <w:wordWrap/>
        <w:adjustRightInd/>
        <w:snapToGrid/>
        <w:textAlignment w:val="auto"/>
      </w:pPr>
    </w:p>
    <w:sectPr>
      <w:footerReference r:id="rId23" w:type="default"/>
      <w:pgSz w:w="11906" w:h="16838"/>
      <w:pgMar w:top="1984" w:right="1083" w:bottom="1984" w:left="1083" w:header="0" w:footer="720" w:gutter="0"/>
      <w:cols w:space="720" w:num="1"/>
      <w:rtlGutter w:val="0"/>
      <w:docGrid w:type="lines"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auto"/>
    <w:pitch w:val="default"/>
    <w:sig w:usb0="E00002FF" w:usb1="400004FF" w:usb2="00000000" w:usb3="00000000" w:csb0="2000019F" w:csb1="00000000"/>
  </w:font>
  <w:font w:name="仿宋_GB2312">
    <w:altName w:val="仿宋"/>
    <w:panose1 w:val="02010609030101010101"/>
    <w:charset w:val="86"/>
    <w:family w:val="auto"/>
    <w:pitch w:val="default"/>
    <w:sig w:usb0="00000000" w:usb1="00000000" w:usb2="00000010" w:usb3="00000000" w:csb0="00040000" w:csb1="00000000"/>
  </w:font>
  <w:font w:name="Calibri">
    <w:panose1 w:val="020F0502020204030204"/>
    <w:charset w:val="00"/>
    <w:family w:val="auto"/>
    <w:pitch w:val="default"/>
    <w:sig w:usb0="E10002FF" w:usb1="4000ACFF" w:usb2="00000009" w:usb3="00000000" w:csb0="2000019F" w:csb1="00000000"/>
  </w:font>
  <w:font w:name="FangSong_GB2312">
    <w:altName w:val="仿宋"/>
    <w:panose1 w:val="00000000000000000000"/>
    <w:charset w:val="00"/>
    <w:family w:val="auto"/>
    <w:pitch w:val="default"/>
    <w:sig w:usb0="00000000" w:usb1="00000000" w:usb2="00000000" w:usb3="00000000" w:csb0="00040001" w:csb1="00000000"/>
  </w:font>
  <w:font w:name="楷体_GB2312">
    <w:altName w:val="楷体"/>
    <w:panose1 w:val="02010609030101010101"/>
    <w:charset w:val="86"/>
    <w:family w:val="auto"/>
    <w:pitch w:val="default"/>
    <w:sig w:usb0="00000000" w:usb1="00000000" w:usb2="00000000"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2</w:t>
    </w:r>
    <w:r>
      <w:rPr>
        <w:rFonts w:ascii="宋体" w:hAnsi="宋体" w:eastAsia="宋体" w:cs="宋体"/>
        <w:sz w:val="1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1</w:t>
    </w:r>
    <w:r>
      <w:rPr>
        <w:rFonts w:ascii="宋体" w:hAnsi="宋体" w:eastAsia="宋体" w:cs="宋体"/>
        <w:sz w:val="18"/>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2</w:t>
    </w:r>
    <w:r>
      <w:rPr>
        <w:rFonts w:ascii="宋体" w:hAnsi="宋体" w:eastAsia="宋体" w:cs="宋体"/>
        <w:sz w:val="18"/>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3</w:t>
    </w:r>
    <w:r>
      <w:rPr>
        <w:rFonts w:ascii="宋体" w:hAnsi="宋体" w:eastAsia="宋体" w:cs="宋体"/>
        <w:sz w:val="18"/>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5</w:t>
    </w:r>
    <w:r>
      <w:rPr>
        <w:rFonts w:ascii="宋体" w:hAnsi="宋体" w:eastAsia="宋体" w:cs="宋体"/>
        <w:sz w:val="18"/>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8</w:t>
    </w:r>
    <w:r>
      <w:rPr>
        <w:rFonts w:ascii="宋体" w:hAnsi="宋体" w:eastAsia="宋体" w:cs="宋体"/>
        <w:sz w:val="18"/>
      </w:rP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11</w:t>
    </w:r>
    <w:r>
      <w:rPr>
        <w:rFonts w:ascii="宋体" w:hAnsi="宋体" w:eastAsia="宋体" w:cs="宋体"/>
        <w:sz w:val="18"/>
      </w:rP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14</w:t>
    </w:r>
    <w:r>
      <w:rPr>
        <w:rFonts w:ascii="宋体" w:hAnsi="宋体" w:eastAsia="宋体" w:cs="宋体"/>
        <w:sz w:val="18"/>
      </w:rPr>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16</w:t>
    </w:r>
    <w:r>
      <w:rPr>
        <w:rFonts w:ascii="宋体" w:hAnsi="宋体" w:eastAsia="宋体" w:cs="宋体"/>
        <w:sz w:val="18"/>
      </w:rP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19</w:t>
    </w:r>
    <w:r>
      <w:rPr>
        <w:rFonts w:ascii="宋体" w:hAnsi="宋体" w:eastAsia="宋体" w:cs="宋体"/>
        <w:sz w:val="18"/>
      </w:rPr>
      <w:fldChar w:fldCharType="end"/>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20</w:t>
    </w:r>
    <w:r>
      <w:rPr>
        <w:rFonts w:ascii="宋体" w:hAnsi="宋体" w:eastAsia="宋体" w:cs="宋体"/>
        <w:sz w:val="18"/>
      </w:rPr>
      <w:fldChar w:fldCharType="end"/>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21</w:t>
    </w:r>
    <w:r>
      <w:rPr>
        <w:rFonts w:ascii="宋体" w:hAnsi="宋体" w:eastAsia="宋体" w:cs="宋体"/>
        <w:sz w:val="18"/>
      </w:rPr>
      <w:fldChar w:fldCharType="end"/>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22</w:t>
    </w:r>
    <w:r>
      <w:rPr>
        <w:rFonts w:ascii="宋体" w:hAnsi="宋体" w:eastAsia="宋体" w:cs="宋体"/>
        <w:sz w:val="18"/>
      </w:rPr>
      <w:fldChar w:fldCharType="end"/>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23</w:t>
    </w:r>
    <w:r>
      <w:rPr>
        <w:rFonts w:ascii="宋体" w:hAnsi="宋体" w:eastAsia="宋体" w:cs="宋体"/>
        <w:sz w:val="18"/>
      </w:rPr>
      <w:fldChar w:fldCharType="end"/>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29</w:t>
    </w:r>
    <w:r>
      <w:rPr>
        <w:rFonts w:ascii="宋体" w:hAnsi="宋体" w:eastAsia="宋体" w:cs="宋体"/>
        <w:sz w:val="18"/>
      </w:rPr>
      <w:fldChar w:fldCharType="end"/>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30</w:t>
    </w:r>
    <w:r>
      <w:rPr>
        <w:rFonts w:ascii="宋体" w:hAnsi="宋体" w:eastAsia="宋体" w:cs="宋体"/>
        <w:sz w:val="18"/>
      </w:rPr>
      <w:fldChar w:fldCharType="end"/>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32</w:t>
    </w:r>
    <w:r>
      <w:rPr>
        <w:rFonts w:ascii="宋体" w:hAnsi="宋体" w:eastAsia="宋体" w:cs="宋体"/>
        <w:sz w:val="18"/>
      </w:rPr>
      <w:fldChar w:fldCharType="end"/>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33</w:t>
    </w:r>
    <w:r>
      <w:rPr>
        <w:rFonts w:ascii="宋体" w:hAnsi="宋体" w:eastAsia="宋体" w:cs="宋体"/>
        <w:sz w:val="18"/>
      </w:rPr>
      <w:fldChar w:fldCharType="end"/>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34</w:t>
    </w:r>
    <w:r>
      <w:rPr>
        <w:rFonts w:ascii="宋体" w:hAnsi="宋体" w:eastAsia="宋体" w:cs="宋体"/>
        <w:sz w:val="18"/>
      </w:rP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1788313031">
    <w:nsid w:val="6A977DC7"/>
    <w:multiLevelType w:val="singleLevel"/>
    <w:tmpl w:val="6A977DC7"/>
    <w:lvl w:ilvl="0" w:tentative="1">
      <w:start w:val="2"/>
      <w:numFmt w:val="chineseCounting"/>
      <w:suff w:val="nothing"/>
      <w:lvlText w:val="%1、"/>
      <w:lvlJc w:val="left"/>
    </w:lvl>
  </w:abstractNum>
  <w:abstractNum w:abstractNumId="1788312637">
    <w:nsid w:val="6A977C3D"/>
    <w:multiLevelType w:val="singleLevel"/>
    <w:tmpl w:val="6A977C3D"/>
    <w:lvl w:ilvl="0" w:tentative="1">
      <w:start w:val="1"/>
      <w:numFmt w:val="chineseCounting"/>
      <w:suff w:val="nothing"/>
      <w:lvlText w:val="%1、"/>
      <w:lvlJc w:val="left"/>
    </w:lvl>
  </w:abstractNum>
  <w:num w:numId="1">
    <w:abstractNumId w:val="1788312637"/>
  </w:num>
  <w:num w:numId="2">
    <w:abstractNumId w:val="17883130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BreakWrappedTables/>
    <w:doNotWrapTextWithPunct/>
    <w:doNotUseEastAsianBreakRules/>
    <w:useFELayout/>
    <w:doNotUseIndentAsNumberingTabStop/>
    <w:useNormalStyleForList/>
    <w:useAltKinsokuLineBreakRules/>
    <w:allowSpaceOfSameStyleInTable/>
    <w:doNotSuppressIndentation/>
    <w:doNotAutofitConstrainedTables/>
    <w:autofitToFirstFixedWidthCell/>
    <w:displayHangulFixedWidth/>
    <w:doNotVertAlignCellWithSp/>
    <w:doNotBreakConstrainedForcedTable/>
    <w:doNotVertAlignInTxbx/>
    <w:useAnsiKerningPairs/>
    <w:cachedColBalance/>
  </w:compat>
  <w:rsids>
    <w:rsidRoot w:val="00172A27"/>
    <w:rsid w:val="0199142D"/>
    <w:rsid w:val="06A716B2"/>
    <w:rsid w:val="14131C7C"/>
    <w:rsid w:val="27D150E1"/>
    <w:rsid w:val="4E00234B"/>
    <w:rsid w:val="60A00B94"/>
    <w:rsid w:val="6B5D01B3"/>
    <w:rsid w:val="7F886DF8"/>
  </w:rsids>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lang w:val="en-US" w:eastAsia="zh-CN" w:bidi="ar-SA"/>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semiHidden="0"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semiHidden="0"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rFonts w:eastAsia="仿宋"/>
      <w:bCs/>
      <w:kern w:val="44"/>
      <w:sz w:val="32"/>
      <w:szCs w:val="44"/>
    </w:rPr>
  </w:style>
  <w:style w:type="paragraph" w:styleId="3">
    <w:name w:val="heading 2"/>
    <w:basedOn w:val="4"/>
    <w:next w:val="4"/>
    <w:qFormat/>
    <w:uiPriority w:val="0"/>
    <w:pPr>
      <w:keepNext/>
      <w:keepLines/>
      <w:spacing w:before="260" w:after="260" w:line="416" w:lineRule="auto"/>
      <w:outlineLvl w:val="1"/>
    </w:pPr>
    <w:rPr>
      <w:rFonts w:ascii="Arial" w:hAnsi="Arial" w:eastAsia="仿宋"/>
      <w:bCs/>
      <w:sz w:val="32"/>
      <w:szCs w:val="32"/>
    </w:rPr>
  </w:style>
  <w:style w:type="paragraph" w:styleId="5">
    <w:name w:val="heading 3"/>
    <w:basedOn w:val="4"/>
    <w:next w:val="4"/>
    <w:link w:val="28"/>
    <w:qFormat/>
    <w:uiPriority w:val="0"/>
    <w:pPr>
      <w:keepNext/>
      <w:keepLines/>
      <w:spacing w:before="260" w:after="260" w:line="416" w:lineRule="auto"/>
      <w:outlineLvl w:val="2"/>
    </w:pPr>
    <w:rPr>
      <w:rFonts w:eastAsia="仿宋"/>
      <w:bCs/>
      <w:sz w:val="32"/>
      <w:szCs w:val="32"/>
    </w:rPr>
  </w:style>
  <w:style w:type="paragraph" w:styleId="6">
    <w:name w:val="heading 4"/>
    <w:basedOn w:val="4"/>
    <w:next w:val="4"/>
    <w:link w:val="29"/>
    <w:qFormat/>
    <w:uiPriority w:val="0"/>
    <w:pPr>
      <w:keepNext/>
      <w:keepLines/>
      <w:spacing w:before="280" w:after="290" w:line="376" w:lineRule="auto"/>
      <w:outlineLvl w:val="3"/>
    </w:pPr>
    <w:rPr>
      <w:rFonts w:ascii="Cambria" w:hAnsi="Cambria" w:eastAsia="仿宋"/>
      <w:bCs/>
      <w:sz w:val="32"/>
      <w:szCs w:val="28"/>
    </w:rPr>
  </w:style>
  <w:style w:type="character" w:default="1" w:styleId="19">
    <w:name w:val="Default Paragraph Font"/>
    <w:unhideWhenUsed/>
    <w:qFormat/>
    <w:uiPriority w:val="1"/>
  </w:style>
  <w:style w:type="table" w:default="1" w:styleId="22">
    <w:name w:val="Normal Table"/>
    <w:unhideWhenUsed/>
    <w:qFormat/>
    <w:uiPriority w:val="99"/>
    <w:tblPr>
      <w:tblStyle w:val="22"/>
      <w:tblLayout w:type="fixed"/>
      <w:tblCellMar>
        <w:top w:w="0" w:type="dxa"/>
        <w:left w:w="108" w:type="dxa"/>
        <w:bottom w:w="0" w:type="dxa"/>
        <w:right w:w="108" w:type="dxa"/>
      </w:tblCellMar>
    </w:tblPr>
    <w:tcPr>
      <w:textDirection w:val="lrTb"/>
    </w:tcPr>
  </w:style>
  <w:style w:type="paragraph" w:customStyle="1" w:styleId="4">
    <w:name w:val="No Spacing"/>
    <w:link w:val="30"/>
    <w:qFormat/>
    <w:uiPriority w:val="0"/>
    <w:pPr>
      <w:ind w:firstLine="200" w:firstLineChars="200"/>
    </w:pPr>
    <w:rPr>
      <w:rFonts w:ascii="Times New Roman" w:hAnsi="Times New Roman" w:eastAsia="仿宋_GB2312" w:cs="Times New Roman"/>
      <w:sz w:val="30"/>
      <w:szCs w:val="22"/>
      <w:lang w:val="en-US" w:eastAsia="zh-CN" w:bidi="ar-SA"/>
    </w:rPr>
  </w:style>
  <w:style w:type="paragraph" w:styleId="7">
    <w:name w:val="toc 7"/>
    <w:basedOn w:val="1"/>
    <w:next w:val="1"/>
    <w:qFormat/>
    <w:uiPriority w:val="0"/>
    <w:pPr>
      <w:ind w:left="1260"/>
      <w:jc w:val="left"/>
    </w:pPr>
    <w:rPr>
      <w:sz w:val="20"/>
      <w:szCs w:val="20"/>
    </w:rPr>
  </w:style>
  <w:style w:type="paragraph" w:styleId="8">
    <w:name w:val="Document Map"/>
    <w:basedOn w:val="1"/>
    <w:qFormat/>
    <w:uiPriority w:val="0"/>
    <w:pPr>
      <w:shd w:val="clear" w:color="auto" w:fill="000080"/>
    </w:pPr>
  </w:style>
  <w:style w:type="paragraph" w:styleId="9">
    <w:name w:val="toc 5"/>
    <w:basedOn w:val="1"/>
    <w:next w:val="1"/>
    <w:qFormat/>
    <w:uiPriority w:val="0"/>
    <w:pPr>
      <w:ind w:left="840"/>
      <w:jc w:val="left"/>
    </w:pPr>
    <w:rPr>
      <w:sz w:val="20"/>
      <w:szCs w:val="20"/>
    </w:rPr>
  </w:style>
  <w:style w:type="paragraph" w:styleId="10">
    <w:name w:val="toc 3"/>
    <w:next w:val="5"/>
    <w:qFormat/>
    <w:uiPriority w:val="0"/>
    <w:pPr>
      <w:adjustRightInd w:val="0"/>
      <w:snapToGrid w:val="0"/>
      <w:spacing w:line="360" w:lineRule="auto"/>
      <w:ind w:firstLine="400" w:firstLineChars="400"/>
      <w:jc w:val="left"/>
    </w:pPr>
    <w:rPr>
      <w:rFonts w:ascii="Times New Roman" w:hAnsi="Times New Roman" w:eastAsia="仿宋" w:cs="Times New Roman"/>
      <w:sz w:val="32"/>
      <w:szCs w:val="20"/>
      <w:lang w:val="en-US" w:eastAsia="en-US" w:bidi="ar-SA"/>
    </w:rPr>
  </w:style>
  <w:style w:type="paragraph" w:styleId="11">
    <w:name w:val="toc 8"/>
    <w:basedOn w:val="1"/>
    <w:next w:val="1"/>
    <w:qFormat/>
    <w:uiPriority w:val="0"/>
    <w:pPr>
      <w:ind w:left="1470"/>
      <w:jc w:val="left"/>
    </w:pPr>
    <w:rPr>
      <w:sz w:val="20"/>
      <w:szCs w:val="20"/>
    </w:rPr>
  </w:style>
  <w:style w:type="paragraph" w:styleId="12">
    <w:name w:val="footer"/>
    <w:basedOn w:val="1"/>
    <w:link w:val="31"/>
    <w:qFormat/>
    <w:uiPriority w:val="0"/>
    <w:pPr>
      <w:tabs>
        <w:tab w:val="center" w:pos="4153"/>
        <w:tab w:val="right" w:pos="8306"/>
      </w:tabs>
      <w:snapToGrid w:val="0"/>
      <w:jc w:val="left"/>
    </w:pPr>
    <w:rPr>
      <w:sz w:val="18"/>
      <w:szCs w:val="18"/>
    </w:rPr>
  </w:style>
  <w:style w:type="paragraph" w:styleId="1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4">
    <w:name w:val="toc 1"/>
    <w:next w:val="4"/>
    <w:qFormat/>
    <w:uiPriority w:val="0"/>
    <w:pPr>
      <w:adjustRightInd w:val="0"/>
      <w:snapToGrid w:val="0"/>
      <w:spacing w:line="360" w:lineRule="auto"/>
      <w:jc w:val="left"/>
    </w:pPr>
    <w:rPr>
      <w:rFonts w:ascii="Times New Roman" w:hAnsi="Times New Roman" w:eastAsia="仿宋" w:cs="Times New Roman"/>
      <w:bCs/>
      <w:sz w:val="32"/>
      <w:szCs w:val="20"/>
      <w:lang w:val="en-US" w:eastAsia="en-US" w:bidi="ar-SA"/>
    </w:rPr>
  </w:style>
  <w:style w:type="paragraph" w:styleId="15">
    <w:name w:val="toc 4"/>
    <w:basedOn w:val="1"/>
    <w:next w:val="1"/>
    <w:qFormat/>
    <w:uiPriority w:val="0"/>
    <w:pPr>
      <w:ind w:left="630"/>
      <w:jc w:val="left"/>
    </w:pPr>
    <w:rPr>
      <w:sz w:val="20"/>
      <w:szCs w:val="20"/>
    </w:rPr>
  </w:style>
  <w:style w:type="paragraph" w:styleId="16">
    <w:name w:val="toc 6"/>
    <w:basedOn w:val="1"/>
    <w:next w:val="1"/>
    <w:qFormat/>
    <w:uiPriority w:val="0"/>
    <w:pPr>
      <w:ind w:left="1050"/>
      <w:jc w:val="left"/>
    </w:pPr>
    <w:rPr>
      <w:sz w:val="20"/>
      <w:szCs w:val="20"/>
    </w:rPr>
  </w:style>
  <w:style w:type="paragraph" w:styleId="17">
    <w:name w:val="toc 2"/>
    <w:next w:val="4"/>
    <w:qFormat/>
    <w:uiPriority w:val="0"/>
    <w:pPr>
      <w:adjustRightInd w:val="0"/>
      <w:snapToGrid w:val="0"/>
      <w:spacing w:line="360" w:lineRule="auto"/>
      <w:ind w:firstLine="200" w:firstLineChars="200"/>
      <w:jc w:val="left"/>
    </w:pPr>
    <w:rPr>
      <w:rFonts w:ascii="Times New Roman" w:hAnsi="Times New Roman" w:eastAsia="仿宋" w:cs="Times New Roman"/>
      <w:b/>
      <w:iCs/>
      <w:sz w:val="32"/>
      <w:szCs w:val="20"/>
      <w:lang w:val="en-US" w:eastAsia="en-US" w:bidi="ar-SA"/>
    </w:rPr>
  </w:style>
  <w:style w:type="paragraph" w:styleId="18">
    <w:name w:val="toc 9"/>
    <w:basedOn w:val="1"/>
    <w:next w:val="1"/>
    <w:qFormat/>
    <w:uiPriority w:val="0"/>
    <w:pPr>
      <w:ind w:left="1680"/>
      <w:jc w:val="left"/>
    </w:pPr>
    <w:rPr>
      <w:sz w:val="20"/>
      <w:szCs w:val="20"/>
    </w:rPr>
  </w:style>
  <w:style w:type="character" w:styleId="20">
    <w:name w:val="page number"/>
    <w:basedOn w:val="19"/>
    <w:qFormat/>
    <w:uiPriority w:val="0"/>
    <w:rPr/>
  </w:style>
  <w:style w:type="character" w:styleId="21">
    <w:name w:val="Hyperlink"/>
    <w:qFormat/>
    <w:uiPriority w:val="0"/>
    <w:rPr>
      <w:rFonts w:ascii="宋体" w:hAnsi="宋体" w:eastAsia="仿宋" w:cs="Times New Roman"/>
      <w:kern w:val="2"/>
      <w:sz w:val="32"/>
      <w:szCs w:val="32"/>
      <w:lang w:val="en-US" w:eastAsia="zh-CN" w:bidi="ar-SA"/>
    </w:rPr>
  </w:style>
  <w:style w:type="paragraph" w:customStyle="1" w:styleId="23">
    <w:name w:val="List Paragraph"/>
    <w:basedOn w:val="1"/>
    <w:qFormat/>
    <w:uiPriority w:val="0"/>
    <w:pPr>
      <w:ind w:firstLine="420" w:firstLineChars="200"/>
    </w:pPr>
  </w:style>
  <w:style w:type="paragraph" w:customStyle="1" w:styleId="24">
    <w:name w:val="MsoNormal"/>
    <w:basedOn w:val="1"/>
    <w:uiPriority w:val="0"/>
  </w:style>
  <w:style w:type="paragraph" w:customStyle="1" w:styleId="25">
    <w:name w:val="p"/>
    <w:basedOn w:val="1"/>
    <w:uiPriority w:val="0"/>
  </w:style>
  <w:style w:type="paragraph" w:customStyle="1" w:styleId="26">
    <w:name w:val="15"/>
    <w:basedOn w:val="1"/>
    <w:uiPriority w:val="0"/>
  </w:style>
  <w:style w:type="paragraph" w:customStyle="1" w:styleId="27">
    <w:name w:val="NormalIndent"/>
    <w:basedOn w:val="1"/>
    <w:qFormat/>
    <w:uiPriority w:val="0"/>
    <w:pPr>
      <w:ind w:firstLine="420" w:firstLineChars="200"/>
      <w:textAlignment w:val="baseline"/>
    </w:pPr>
    <w:rPr>
      <w:sz w:val="24"/>
    </w:rPr>
  </w:style>
  <w:style w:type="character" w:customStyle="1" w:styleId="28">
    <w:name w:val="标题 3 字符"/>
    <w:basedOn w:val="19"/>
    <w:link w:val="5"/>
    <w:qFormat/>
    <w:uiPriority w:val="0"/>
    <w:rPr>
      <w:rFonts w:eastAsia="仿宋"/>
      <w:bCs/>
      <w:kern w:val="2"/>
      <w:sz w:val="32"/>
      <w:szCs w:val="32"/>
    </w:rPr>
  </w:style>
  <w:style w:type="character" w:customStyle="1" w:styleId="29">
    <w:name w:val="标题 4 字符"/>
    <w:basedOn w:val="19"/>
    <w:link w:val="6"/>
    <w:qFormat/>
    <w:uiPriority w:val="0"/>
    <w:rPr>
      <w:rFonts w:ascii="Cambria" w:hAnsi="Cambria" w:eastAsia="仿宋"/>
      <w:bCs/>
      <w:kern w:val="2"/>
      <w:sz w:val="32"/>
      <w:szCs w:val="28"/>
    </w:rPr>
  </w:style>
  <w:style w:type="character" w:customStyle="1" w:styleId="30">
    <w:name w:val="无间隔 字符"/>
    <w:link w:val="4"/>
    <w:qFormat/>
    <w:locked/>
    <w:uiPriority w:val="0"/>
    <w:rPr>
      <w:rFonts w:eastAsia="仿宋_GB2312"/>
      <w:sz w:val="30"/>
      <w:szCs w:val="22"/>
      <w:lang w:bidi="ar-SA"/>
    </w:rPr>
  </w:style>
  <w:style w:type="character" w:customStyle="1" w:styleId="31">
    <w:name w:val="页脚 字符"/>
    <w:basedOn w:val="19"/>
    <w:link w:val="1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settings" Target="settings.xml"/><Relationship Id="rId26" Type="http://schemas.openxmlformats.org/officeDocument/2006/relationships/numbering" Target="numbering.xml"/><Relationship Id="rId25" Type="http://schemas.openxmlformats.org/officeDocument/2006/relationships/customXml" Target="../customXml/item1.xml"/><Relationship Id="rId24" Type="http://schemas.openxmlformats.org/officeDocument/2006/relationships/theme" Target="theme/theme1.xml"/><Relationship Id="rId23" Type="http://schemas.openxmlformats.org/officeDocument/2006/relationships/footer" Target="footer20.xml"/><Relationship Id="rId22" Type="http://schemas.openxmlformats.org/officeDocument/2006/relationships/footer" Target="footer19.xml"/><Relationship Id="rId21" Type="http://schemas.openxmlformats.org/officeDocument/2006/relationships/footer" Target="footer18.xml"/><Relationship Id="rId20" Type="http://schemas.openxmlformats.org/officeDocument/2006/relationships/footer" Target="footer17.xml"/><Relationship Id="rId2" Type="http://schemas.openxmlformats.org/officeDocument/2006/relationships/styles" Target="styles.xml"/><Relationship Id="rId19" Type="http://schemas.openxmlformats.org/officeDocument/2006/relationships/footer" Target="footer16.xml"/><Relationship Id="rId18" Type="http://schemas.openxmlformats.org/officeDocument/2006/relationships/footer" Target="footer15.xml"/><Relationship Id="rId17" Type="http://schemas.openxmlformats.org/officeDocument/2006/relationships/footer" Target="footer14.xml"/><Relationship Id="rId16" Type="http://schemas.openxmlformats.org/officeDocument/2006/relationships/footer" Target="footer13.xml"/><Relationship Id="rId15" Type="http://schemas.openxmlformats.org/officeDocument/2006/relationships/footer" Target="footer12.xml"/><Relationship Id="rId14" Type="http://schemas.openxmlformats.org/officeDocument/2006/relationships/footer" Target="footer11.xml"/><Relationship Id="rId13" Type="http://schemas.openxmlformats.org/officeDocument/2006/relationships/footer" Target="footer10.xml"/><Relationship Id="rId12" Type="http://schemas.openxmlformats.org/officeDocument/2006/relationships/footer" Target="footer9.xml"/><Relationship Id="rId11" Type="http://schemas.openxmlformats.org/officeDocument/2006/relationships/footer" Target="footer8.xml"/><Relationship Id="rId10" Type="http://schemas.openxmlformats.org/officeDocument/2006/relationships/footer" Target="footer7.xml"/><Relationship Id="rId1"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37</Pages>
  <Words>20</Words>
  <Characters>35</Characters>
  <Lines>1</Lines>
  <Paragraphs>1</Paragraphs>
  <ScaleCrop>false</ScaleCrop>
  <LinksUpToDate>false</LinksUpToDate>
  <CharactersWithSpaces>0</CharactersWithSpaces>
  <Application>WPS Office_9.1.0.5113_F1E327BC-269C-435d-A152-05C5408002CA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2022-03-23T12:40:00Z</dcterms:created>
  <dc:creator>Administrator</dc:creator>
  <cp:lastModifiedBy>lenovo</cp:lastModifiedBy>
  <cp:lastPrinted>2021-04-16T00:45:00Z</cp:lastPrinted>
  <dcterms:modified xsi:type="dcterms:W3CDTF">2026-09-02T01:35:26Z</dcterms:modified>
  <dc:title>××年度××部门/单位</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432A2B29825044B2829BE3A0156B93DD_13</vt:lpwstr>
  </property>
  <property fmtid="{D5CDD505-2E9C-101B-9397-08002B2CF9AE}" pid="3" name="KSOProductBuildVer">
    <vt:lpwstr>2052-9.1.0.5113</vt:lpwstr>
  </property>
  <property fmtid="{D5CDD505-2E9C-101B-9397-08002B2CF9AE}" pid="4" name="KSOTemplateDocerSaveRecord">
    <vt:lpwstr>eyJoZGlkIjoiMjBmNzFhNTE2ODA4NWNjMzY3MDUyM2Q1MGJjODVmODYiLCJ1c2VySWQiOiIzNzI5MDg1NDQifQ==</vt:lpwstr>
  </property>
</Properties>
</file>