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7"/>
        </w:tabs>
        <w:spacing w:line="580" w:lineRule="exact"/>
        <w:jc w:val="center"/>
        <w:rPr>
          <w:rFonts w:ascii="黑体" w:hAnsi="黑体" w:eastAsia="黑体" w:cs="宋体"/>
          <w:color w:val="065FA3"/>
          <w:kern w:val="0"/>
          <w:sz w:val="32"/>
          <w:szCs w:val="32"/>
        </w:rPr>
      </w:pPr>
      <w:r>
        <w:rPr>
          <w:rFonts w:hint="eastAsia" w:ascii="黑体" w:hAnsi="黑体" w:eastAsia="黑体" w:cs="宋体"/>
          <w:color w:val="065FA3"/>
          <w:kern w:val="0"/>
          <w:sz w:val="32"/>
          <w:szCs w:val="32"/>
        </w:rPr>
        <w:t>中共漳平市委精神文明建设办公室文明城市创建活动经费项目绩效评价</w:t>
      </w:r>
    </w:p>
    <w:p>
      <w:pPr>
        <w:rPr>
          <w:rFonts w:asciiTheme="minorEastAsia" w:hAnsiTheme="minorEastAsia"/>
          <w:kern w:val="0"/>
          <w:sz w:val="28"/>
          <w:szCs w:val="28"/>
        </w:rPr>
      </w:pPr>
      <w:r>
        <w:rPr>
          <w:rFonts w:asciiTheme="minorEastAsia" w:hAnsiTheme="minorEastAsia"/>
          <w:kern w:val="0"/>
          <w:sz w:val="28"/>
          <w:szCs w:val="28"/>
        </w:rPr>
        <w:t>　　</w:t>
      </w:r>
    </w:p>
    <w:p>
      <w:pPr>
        <w:spacing w:line="460" w:lineRule="exact"/>
        <w:ind w:firstLine="600" w:firstLineChars="200"/>
        <w:rPr>
          <w:rFonts w:asciiTheme="minorEastAsia" w:hAnsiTheme="minorEastAsia"/>
          <w:sz w:val="30"/>
          <w:szCs w:val="30"/>
        </w:rPr>
      </w:pPr>
      <w:r>
        <w:rPr>
          <w:rFonts w:asciiTheme="minorEastAsia" w:hAnsiTheme="minorEastAsia"/>
          <w:kern w:val="0"/>
          <w:sz w:val="30"/>
          <w:szCs w:val="30"/>
        </w:rPr>
        <w:t>202</w:t>
      </w:r>
      <w:r>
        <w:rPr>
          <w:rFonts w:hint="eastAsia" w:asciiTheme="minorEastAsia" w:hAnsiTheme="minorEastAsia"/>
          <w:kern w:val="0"/>
          <w:sz w:val="30"/>
          <w:szCs w:val="30"/>
        </w:rPr>
        <w:t>2</w:t>
      </w:r>
      <w:r>
        <w:rPr>
          <w:rFonts w:asciiTheme="minorEastAsia" w:hAnsiTheme="minorEastAsia"/>
          <w:kern w:val="0"/>
          <w:sz w:val="30"/>
          <w:szCs w:val="30"/>
        </w:rPr>
        <w:t>年度预算安排</w:t>
      </w:r>
      <w:r>
        <w:rPr>
          <w:rFonts w:hint="eastAsia" w:asciiTheme="minorEastAsia" w:hAnsiTheme="minorEastAsia"/>
          <w:sz w:val="30"/>
          <w:szCs w:val="30"/>
        </w:rPr>
        <w:t>中共漳平市委精神文明建设办公室的文明城市创建活动经费年初预算</w:t>
      </w:r>
      <w:r>
        <w:rPr>
          <w:rFonts w:hint="eastAsia" w:asciiTheme="minorEastAsia" w:hAnsiTheme="minorEastAsia"/>
          <w:kern w:val="0"/>
          <w:sz w:val="30"/>
          <w:szCs w:val="30"/>
        </w:rPr>
        <w:t>100万元，年中追加260万元，实际执行数</w:t>
      </w:r>
      <w:r>
        <w:rPr>
          <w:rFonts w:hint="eastAsia" w:asciiTheme="minorEastAsia" w:hAnsiTheme="minorEastAsia"/>
          <w:sz w:val="30"/>
          <w:szCs w:val="30"/>
        </w:rPr>
        <w:t>360</w:t>
      </w:r>
      <w:r>
        <w:rPr>
          <w:rFonts w:hint="eastAsia" w:asciiTheme="minorEastAsia" w:hAnsiTheme="minorEastAsia"/>
          <w:kern w:val="0"/>
          <w:sz w:val="30"/>
          <w:szCs w:val="30"/>
        </w:rPr>
        <w:t>万元。</w:t>
      </w:r>
    </w:p>
    <w:p>
      <w:pPr>
        <w:spacing w:line="460" w:lineRule="exact"/>
        <w:rPr>
          <w:rFonts w:asciiTheme="minorEastAsia" w:hAnsiTheme="minorEastAsia"/>
          <w:kern w:val="0"/>
          <w:sz w:val="30"/>
          <w:szCs w:val="30"/>
        </w:rPr>
      </w:pPr>
      <w:r>
        <w:rPr>
          <w:rFonts w:asciiTheme="minorEastAsia" w:hAnsiTheme="minorEastAsia"/>
          <w:kern w:val="0"/>
          <w:sz w:val="30"/>
          <w:szCs w:val="30"/>
        </w:rPr>
        <w:t>　　一、绩效评价等级“优”</w:t>
      </w:r>
    </w:p>
    <w:p>
      <w:pPr>
        <w:spacing w:line="460" w:lineRule="exact"/>
        <w:rPr>
          <w:rFonts w:asciiTheme="minorEastAsia" w:hAnsiTheme="minorEastAsia"/>
          <w:kern w:val="0"/>
          <w:sz w:val="30"/>
          <w:szCs w:val="30"/>
        </w:rPr>
      </w:pPr>
      <w:r>
        <w:rPr>
          <w:rFonts w:hint="eastAsia" w:asciiTheme="minorEastAsia" w:hAnsiTheme="minorEastAsia"/>
          <w:kern w:val="0"/>
          <w:sz w:val="30"/>
          <w:szCs w:val="30"/>
        </w:rPr>
        <w:t xml:space="preserve">    </w:t>
      </w:r>
      <w:r>
        <w:rPr>
          <w:rFonts w:asciiTheme="minorEastAsia" w:hAnsiTheme="minorEastAsia"/>
          <w:kern w:val="0"/>
          <w:sz w:val="30"/>
          <w:szCs w:val="30"/>
        </w:rPr>
        <w:t>经评价，</w:t>
      </w:r>
      <w:r>
        <w:rPr>
          <w:rFonts w:hint="eastAsia" w:asciiTheme="minorEastAsia" w:hAnsiTheme="minorEastAsia"/>
          <w:sz w:val="30"/>
          <w:szCs w:val="30"/>
        </w:rPr>
        <w:t>中共漳平市委精神文明建设办公室文明城市创建活动经费项目</w:t>
      </w:r>
      <w:r>
        <w:rPr>
          <w:rFonts w:asciiTheme="minorEastAsia" w:hAnsiTheme="minorEastAsia"/>
          <w:kern w:val="0"/>
          <w:sz w:val="30"/>
          <w:szCs w:val="30"/>
        </w:rPr>
        <w:t>绩效评价得分</w:t>
      </w:r>
      <w:r>
        <w:rPr>
          <w:rFonts w:hint="eastAsia" w:asciiTheme="minorEastAsia" w:hAnsiTheme="minorEastAsia"/>
          <w:kern w:val="0"/>
          <w:sz w:val="30"/>
          <w:szCs w:val="30"/>
        </w:rPr>
        <w:t>90.85</w:t>
      </w:r>
      <w:r>
        <w:rPr>
          <w:rFonts w:asciiTheme="minorEastAsia" w:hAnsiTheme="minorEastAsia"/>
          <w:kern w:val="0"/>
          <w:sz w:val="30"/>
          <w:szCs w:val="30"/>
        </w:rPr>
        <w:t>分，绩效等级为“优”。</w:t>
      </w:r>
    </w:p>
    <w:p>
      <w:pPr>
        <w:spacing w:line="460" w:lineRule="exact"/>
        <w:rPr>
          <w:rFonts w:asciiTheme="minorEastAsia" w:hAnsiTheme="minorEastAsia"/>
          <w:kern w:val="0"/>
          <w:sz w:val="30"/>
          <w:szCs w:val="30"/>
        </w:rPr>
      </w:pPr>
      <w:r>
        <w:rPr>
          <w:rFonts w:hint="eastAsia" w:asciiTheme="minorEastAsia" w:hAnsiTheme="minorEastAsia"/>
          <w:kern w:val="0"/>
          <w:sz w:val="30"/>
          <w:szCs w:val="30"/>
        </w:rPr>
        <w:t xml:space="preserve">    </w:t>
      </w:r>
      <w:r>
        <w:rPr>
          <w:rFonts w:asciiTheme="minorEastAsia" w:hAnsiTheme="minorEastAsia"/>
          <w:kern w:val="0"/>
          <w:sz w:val="30"/>
          <w:szCs w:val="30"/>
        </w:rPr>
        <w:t>二、评价发现的主要问题</w:t>
      </w:r>
    </w:p>
    <w:p>
      <w:pPr>
        <w:spacing w:line="460" w:lineRule="exact"/>
        <w:rPr>
          <w:rFonts w:asciiTheme="minorEastAsia" w:hAnsiTheme="minorEastAsia"/>
          <w:sz w:val="30"/>
          <w:szCs w:val="30"/>
        </w:rPr>
      </w:pPr>
      <w:r>
        <w:rPr>
          <w:rFonts w:hint="eastAsia" w:asciiTheme="minorEastAsia" w:hAnsiTheme="minorEastAsia"/>
          <w:kern w:val="0"/>
          <w:sz w:val="30"/>
          <w:szCs w:val="30"/>
        </w:rPr>
        <w:t xml:space="preserve">    </w:t>
      </w:r>
      <w:r>
        <w:rPr>
          <w:rFonts w:asciiTheme="minorEastAsia" w:hAnsiTheme="minorEastAsia"/>
          <w:sz w:val="30"/>
          <w:szCs w:val="30"/>
        </w:rPr>
        <w:t>1．预算编制不准确，预算执行不到位</w:t>
      </w:r>
      <w:r>
        <w:rPr>
          <w:rFonts w:hint="eastAsia" w:asciiTheme="minorEastAsia" w:hAnsiTheme="minorEastAsia"/>
          <w:sz w:val="30"/>
          <w:szCs w:val="30"/>
        </w:rPr>
        <w:t>。</w:t>
      </w:r>
      <w:r>
        <w:rPr>
          <w:rFonts w:asciiTheme="minorEastAsia" w:hAnsiTheme="minorEastAsia"/>
          <w:sz w:val="30"/>
          <w:szCs w:val="30"/>
        </w:rPr>
        <w:t>2022年度创建全国文明城市预算工作经费为360万元，实际支出经费为256.67万元，预算执行率为71.30%，实际实施情况与计划存在一定偏差。主要原因：一是压缩了部分宣传费用，将城区主次干道精神文明创建宣传栏支出由各级文明共建单位承担，同时将创城专题宣传片结合新时代文明实践活动宣传一起制作。二是由于资金下达较迟，部分工作未能及时开展，背街小巷治理费用尚未列支。</w:t>
      </w:r>
    </w:p>
    <w:p>
      <w:pPr>
        <w:spacing w:line="460" w:lineRule="exact"/>
        <w:ind w:firstLine="600" w:firstLineChars="200"/>
        <w:rPr>
          <w:rFonts w:asciiTheme="minorEastAsia" w:hAnsiTheme="minorEastAsia"/>
          <w:sz w:val="30"/>
          <w:szCs w:val="30"/>
        </w:rPr>
      </w:pPr>
      <w:r>
        <w:rPr>
          <w:rFonts w:asciiTheme="minorEastAsia" w:hAnsiTheme="minorEastAsia"/>
          <w:sz w:val="30"/>
          <w:szCs w:val="30"/>
        </w:rPr>
        <w:t>2．测评规则不通透，工作方向不明确</w:t>
      </w:r>
      <w:r>
        <w:rPr>
          <w:rFonts w:hint="eastAsia" w:asciiTheme="minorEastAsia" w:hAnsiTheme="minorEastAsia"/>
          <w:sz w:val="30"/>
          <w:szCs w:val="30"/>
        </w:rPr>
        <w:t>。</w:t>
      </w:r>
      <w:r>
        <w:rPr>
          <w:rFonts w:asciiTheme="minorEastAsia" w:hAnsiTheme="minorEastAsia"/>
          <w:sz w:val="30"/>
          <w:szCs w:val="30"/>
        </w:rPr>
        <w:t>各乡镇（街道）、各成员单位未深入研读《全国文明城市测评体系》的测评内容，未结合当前实际真正学懂弄通背后的工作指向、逻辑关系、测评重点、评分标准，清单化管理工作不彻底，责任不清、工作不清、台账不清，导致抓不住每一个得分点、加分点，工作措施事倍功半，效果不够显著。</w:t>
      </w:r>
    </w:p>
    <w:p>
      <w:pPr>
        <w:spacing w:line="460" w:lineRule="exact"/>
        <w:ind w:firstLine="600" w:firstLineChars="200"/>
        <w:rPr>
          <w:rFonts w:asciiTheme="minorEastAsia" w:hAnsiTheme="minorEastAsia"/>
          <w:sz w:val="30"/>
          <w:szCs w:val="30"/>
        </w:rPr>
      </w:pPr>
      <w:r>
        <w:rPr>
          <w:rFonts w:asciiTheme="minorEastAsia" w:hAnsiTheme="minorEastAsia"/>
          <w:sz w:val="30"/>
          <w:szCs w:val="30"/>
        </w:rPr>
        <w:t>3．公共环境管理不够</w:t>
      </w:r>
      <w:r>
        <w:rPr>
          <w:rFonts w:hint="eastAsia" w:asciiTheme="minorEastAsia" w:hAnsiTheme="minorEastAsia"/>
          <w:sz w:val="30"/>
          <w:szCs w:val="30"/>
        </w:rPr>
        <w:t>。</w:t>
      </w:r>
      <w:r>
        <w:rPr>
          <w:rFonts w:asciiTheme="minorEastAsia" w:hAnsiTheme="minorEastAsia"/>
          <w:sz w:val="30"/>
          <w:szCs w:val="30"/>
        </w:rPr>
        <w:t>城市建设作为创城工作重中之重，投入了大量的资金用于市容整治、环境整治等，城市建设的效果得到了居民的认可，但仍存在一些问题，集贸市场脏乱差，背街小巷环境整治不彻底、沿街商贩占道经营、主次干道车辆违停现象仍然存在。一些公园、公厕等基础设施建设完成后，后续管理不到位，存在建管脱节现象，导致相关设施未能充分发挥应有作用。</w:t>
      </w:r>
    </w:p>
    <w:p>
      <w:pPr>
        <w:spacing w:line="460" w:lineRule="exact"/>
        <w:ind w:firstLine="600" w:firstLineChars="200"/>
        <w:rPr>
          <w:rFonts w:asciiTheme="minorEastAsia" w:hAnsiTheme="minorEastAsia"/>
          <w:sz w:val="30"/>
          <w:szCs w:val="30"/>
        </w:rPr>
      </w:pPr>
      <w:r>
        <w:rPr>
          <w:rFonts w:hint="eastAsia" w:asciiTheme="minorEastAsia" w:hAnsiTheme="minorEastAsia"/>
          <w:sz w:val="30"/>
          <w:szCs w:val="30"/>
        </w:rPr>
        <w:t>4</w:t>
      </w:r>
      <w:r>
        <w:rPr>
          <w:rFonts w:asciiTheme="minorEastAsia" w:hAnsiTheme="minorEastAsia"/>
          <w:sz w:val="30"/>
          <w:szCs w:val="30"/>
        </w:rPr>
        <w:t>．群众对创城工作的参与度有待提升</w:t>
      </w:r>
      <w:r>
        <w:rPr>
          <w:rFonts w:hint="eastAsia" w:asciiTheme="minorEastAsia" w:hAnsiTheme="minorEastAsia"/>
          <w:sz w:val="30"/>
          <w:szCs w:val="30"/>
        </w:rPr>
        <w:t>。</w:t>
      </w:r>
      <w:r>
        <w:rPr>
          <w:rFonts w:asciiTheme="minorEastAsia" w:hAnsiTheme="minorEastAsia"/>
          <w:sz w:val="30"/>
          <w:szCs w:val="30"/>
        </w:rPr>
        <w:t>本次评价问卷调查统计结果显示群众参加本市文明城市创建活动率为68.26 %，广大群众对创城的重要性认识不够</w:t>
      </w:r>
      <w:r>
        <w:rPr>
          <w:rFonts w:hint="eastAsia" w:asciiTheme="minorEastAsia" w:hAnsiTheme="minorEastAsia"/>
          <w:sz w:val="30"/>
          <w:szCs w:val="30"/>
        </w:rPr>
        <w:t>，宣传手段</w:t>
      </w:r>
      <w:r>
        <w:rPr>
          <w:rFonts w:asciiTheme="minorEastAsia" w:hAnsiTheme="minorEastAsia"/>
          <w:sz w:val="30"/>
          <w:szCs w:val="30"/>
        </w:rPr>
        <w:t>单一，</w:t>
      </w:r>
      <w:r>
        <w:rPr>
          <w:rFonts w:hint="eastAsia" w:asciiTheme="minorEastAsia" w:hAnsiTheme="minorEastAsia"/>
          <w:sz w:val="30"/>
          <w:szCs w:val="30"/>
        </w:rPr>
        <w:t>宣传造势</w:t>
      </w:r>
      <w:r>
        <w:rPr>
          <w:rFonts w:asciiTheme="minorEastAsia" w:hAnsiTheme="minorEastAsia"/>
          <w:sz w:val="30"/>
          <w:szCs w:val="30"/>
        </w:rPr>
        <w:t>氛围不</w:t>
      </w:r>
      <w:r>
        <w:rPr>
          <w:rFonts w:hint="eastAsia" w:asciiTheme="minorEastAsia" w:hAnsiTheme="minorEastAsia"/>
          <w:sz w:val="30"/>
          <w:szCs w:val="30"/>
        </w:rPr>
        <w:t>够浓烈，未充分鼓励、引导市民主动参与创城工作</w:t>
      </w:r>
      <w:r>
        <w:rPr>
          <w:rFonts w:asciiTheme="minorEastAsia" w:hAnsiTheme="minorEastAsia"/>
          <w:sz w:val="30"/>
          <w:szCs w:val="30"/>
        </w:rPr>
        <w:t>，</w:t>
      </w:r>
      <w:r>
        <w:rPr>
          <w:rFonts w:hint="eastAsia" w:asciiTheme="minorEastAsia" w:hAnsiTheme="minorEastAsia"/>
          <w:sz w:val="30"/>
          <w:szCs w:val="30"/>
        </w:rPr>
        <w:t>“全员、全过程、全天候、全要素”创城的工作格局未形成</w:t>
      </w:r>
      <w:r>
        <w:rPr>
          <w:rFonts w:asciiTheme="minorEastAsia" w:hAnsiTheme="minorEastAsia"/>
          <w:sz w:val="30"/>
          <w:szCs w:val="30"/>
        </w:rPr>
        <w:t>。</w:t>
      </w:r>
    </w:p>
    <w:p>
      <w:pPr>
        <w:spacing w:line="460" w:lineRule="exact"/>
        <w:rPr>
          <w:rFonts w:asciiTheme="minorEastAsia" w:hAnsiTheme="minorEastAsia"/>
          <w:kern w:val="0"/>
          <w:sz w:val="30"/>
          <w:szCs w:val="30"/>
        </w:rPr>
      </w:pPr>
      <w:r>
        <w:rPr>
          <w:rFonts w:asciiTheme="minorEastAsia" w:hAnsiTheme="minorEastAsia"/>
          <w:kern w:val="0"/>
          <w:sz w:val="30"/>
          <w:szCs w:val="30"/>
        </w:rPr>
        <w:t>　　三、相关建议</w:t>
      </w:r>
    </w:p>
    <w:p>
      <w:pPr>
        <w:spacing w:line="460" w:lineRule="exact"/>
        <w:ind w:firstLine="450" w:firstLineChars="150"/>
        <w:rPr>
          <w:rFonts w:asciiTheme="minorEastAsia" w:hAnsiTheme="minorEastAsia"/>
          <w:sz w:val="30"/>
          <w:szCs w:val="30"/>
        </w:rPr>
      </w:pPr>
      <w:r>
        <w:rPr>
          <w:rFonts w:asciiTheme="minorEastAsia" w:hAnsiTheme="minorEastAsia"/>
          <w:sz w:val="30"/>
          <w:szCs w:val="30"/>
        </w:rPr>
        <w:t>（一）加强预算编制管理，严格预算执行力度</w:t>
      </w:r>
      <w:r>
        <w:rPr>
          <w:rFonts w:hint="eastAsia" w:asciiTheme="minorEastAsia" w:hAnsiTheme="minorEastAsia"/>
          <w:sz w:val="30"/>
          <w:szCs w:val="30"/>
        </w:rPr>
        <w:t>。</w:t>
      </w:r>
      <w:r>
        <w:rPr>
          <w:rFonts w:asciiTheme="minorEastAsia" w:hAnsiTheme="minorEastAsia"/>
          <w:sz w:val="30"/>
          <w:szCs w:val="30"/>
        </w:rPr>
        <w:t>单位应强化预算编制的科学性、合理性，项目具体支出测算须依据实际或计划的基础数据运用科学、合理的方法进行测算，保障预算的准确性。严格预算执行，对项目执行进行有效监控，强化项目预算的约束力，提高项目资金使用效益。</w:t>
      </w:r>
    </w:p>
    <w:p>
      <w:pPr>
        <w:spacing w:line="460" w:lineRule="exact"/>
        <w:ind w:firstLine="450" w:firstLineChars="150"/>
        <w:rPr>
          <w:rFonts w:asciiTheme="minorEastAsia" w:hAnsiTheme="minorEastAsia"/>
          <w:sz w:val="30"/>
          <w:szCs w:val="30"/>
        </w:rPr>
      </w:pPr>
      <w:r>
        <w:rPr>
          <w:rFonts w:asciiTheme="minorEastAsia" w:hAnsiTheme="minorEastAsia"/>
          <w:sz w:val="30"/>
          <w:szCs w:val="30"/>
        </w:rPr>
        <w:t>（二）要凝聚合力，把责任措施落实到位</w:t>
      </w:r>
      <w:r>
        <w:rPr>
          <w:rFonts w:hint="eastAsia" w:asciiTheme="minorEastAsia" w:hAnsiTheme="minorEastAsia"/>
          <w:sz w:val="30"/>
          <w:szCs w:val="30"/>
        </w:rPr>
        <w:t>。</w:t>
      </w:r>
      <w:r>
        <w:rPr>
          <w:rFonts w:asciiTheme="minorEastAsia" w:hAnsiTheme="minorEastAsia"/>
          <w:sz w:val="30"/>
          <w:szCs w:val="30"/>
        </w:rPr>
        <w:t>市文明办作为创</w:t>
      </w:r>
      <w:r>
        <w:rPr>
          <w:rFonts w:hint="eastAsia" w:asciiTheme="minorEastAsia" w:hAnsiTheme="minorEastAsia"/>
          <w:sz w:val="30"/>
          <w:szCs w:val="30"/>
        </w:rPr>
        <w:t>城</w:t>
      </w:r>
      <w:r>
        <w:rPr>
          <w:rFonts w:asciiTheme="minorEastAsia" w:hAnsiTheme="minorEastAsia"/>
          <w:sz w:val="30"/>
          <w:szCs w:val="30"/>
        </w:rPr>
        <w:t>办的总协调机构，要发挥好牵头抓总的作用，加大对各项工作的统筹协调力度</w:t>
      </w:r>
      <w:r>
        <w:rPr>
          <w:rFonts w:hint="eastAsia" w:asciiTheme="minorEastAsia" w:hAnsiTheme="minorEastAsia"/>
          <w:sz w:val="30"/>
          <w:szCs w:val="30"/>
        </w:rPr>
        <w:t>，组织学习好、掌握好、运用好《全国文明城市测评体系》</w:t>
      </w:r>
      <w:r>
        <w:rPr>
          <w:rFonts w:asciiTheme="minorEastAsia" w:hAnsiTheme="minorEastAsia"/>
          <w:sz w:val="30"/>
          <w:szCs w:val="30"/>
        </w:rPr>
        <w:t>。各级各部门要高度重视创城工作，“一把手”要亲自过问、亲自抓，要明确职责，细化分解工作任务，坚持问题导向，绝不能推诿扯皮、敷衍塞，切实把各项创城任务落到实处</w:t>
      </w:r>
      <w:r>
        <w:rPr>
          <w:rFonts w:hint="eastAsia" w:asciiTheme="minorEastAsia" w:hAnsiTheme="minorEastAsia"/>
          <w:sz w:val="30"/>
          <w:szCs w:val="30"/>
        </w:rPr>
        <w:t>，</w:t>
      </w:r>
      <w:r>
        <w:rPr>
          <w:rFonts w:asciiTheme="minorEastAsia" w:hAnsiTheme="minorEastAsia"/>
          <w:sz w:val="30"/>
          <w:szCs w:val="30"/>
        </w:rPr>
        <w:t>形成齐抓共管、合力共为的工作格局。</w:t>
      </w:r>
    </w:p>
    <w:p>
      <w:pPr>
        <w:spacing w:line="460" w:lineRule="exact"/>
        <w:ind w:firstLine="450" w:firstLineChars="150"/>
        <w:jc w:val="left"/>
        <w:rPr>
          <w:rFonts w:asciiTheme="minorEastAsia" w:hAnsiTheme="minorEastAsia"/>
          <w:sz w:val="30"/>
          <w:szCs w:val="30"/>
        </w:rPr>
      </w:pPr>
      <w:r>
        <w:rPr>
          <w:rFonts w:asciiTheme="minorEastAsia" w:hAnsiTheme="minorEastAsia"/>
          <w:sz w:val="30"/>
          <w:szCs w:val="30"/>
        </w:rPr>
        <w:t>（三）要靶向施策，把问题矛盾整治到位</w:t>
      </w:r>
      <w:r>
        <w:rPr>
          <w:rFonts w:hint="eastAsia" w:asciiTheme="minorEastAsia" w:hAnsiTheme="minorEastAsia"/>
          <w:sz w:val="30"/>
          <w:szCs w:val="30"/>
        </w:rPr>
        <w:t>。</w:t>
      </w:r>
      <w:r>
        <w:rPr>
          <w:rFonts w:asciiTheme="minorEastAsia" w:hAnsiTheme="minorEastAsia"/>
          <w:sz w:val="30"/>
          <w:szCs w:val="30"/>
        </w:rPr>
        <w:t>各级各部门要明确创城中的重点、难点和堵点，狠抓落实、提质增效。大力完善市政设施，重点整治顽瘴痼疾问题，通过项目化、清单化，开展集中整治和专项攻坚，加快解决创城工作中的突出问题和薄弱环节。</w:t>
      </w:r>
    </w:p>
    <w:p>
      <w:pPr>
        <w:spacing w:line="460" w:lineRule="exact"/>
        <w:rPr>
          <w:rFonts w:asciiTheme="minorEastAsia" w:hAnsiTheme="minorEastAsia"/>
          <w:sz w:val="30"/>
          <w:szCs w:val="30"/>
        </w:rPr>
      </w:pPr>
      <w:r>
        <w:rPr>
          <w:rFonts w:asciiTheme="minorEastAsia" w:hAnsiTheme="minorEastAsia"/>
          <w:sz w:val="30"/>
          <w:szCs w:val="30"/>
        </w:rPr>
        <w:t xml:space="preserve">   （四）要加强宣传，把社会氛围营造到位</w:t>
      </w:r>
      <w:r>
        <w:rPr>
          <w:rFonts w:hint="eastAsia" w:asciiTheme="minorEastAsia" w:hAnsiTheme="minorEastAsia"/>
          <w:sz w:val="30"/>
          <w:szCs w:val="30"/>
        </w:rPr>
        <w:t>。</w:t>
      </w:r>
      <w:r>
        <w:rPr>
          <w:rFonts w:asciiTheme="minorEastAsia" w:hAnsiTheme="minorEastAsia"/>
          <w:sz w:val="30"/>
          <w:szCs w:val="30"/>
        </w:rPr>
        <w:t>创建氛围是一个城市精神风貌的展示，我们要通过创建氛围的营造，使群众能够充分感受到城市文明教育、引领的力度，感受到整个城市的文明气息。一是要积极发挥主流媒体的作用，市创建办要对前期全市的公益广告宣传布置再次进行梳理，确保主次干道的广告媒介和电子显示屏社区、公园、公交站台、建筑围挡公益广告实现全覆盖</w:t>
      </w:r>
      <w:r>
        <w:rPr>
          <w:rFonts w:hint="eastAsia" w:asciiTheme="minorEastAsia" w:hAnsiTheme="minorEastAsia"/>
          <w:sz w:val="30"/>
          <w:szCs w:val="30"/>
          <w:lang w:eastAsia="zh-CN"/>
        </w:rPr>
        <w:t>；</w:t>
      </w:r>
      <w:r>
        <w:rPr>
          <w:rFonts w:asciiTheme="minorEastAsia" w:hAnsiTheme="minorEastAsia"/>
          <w:sz w:val="30"/>
          <w:szCs w:val="30"/>
        </w:rPr>
        <w:t>二是积极引导广大市民群众了解文明常识、践行文明行为、知晓和支持创城工作</w:t>
      </w:r>
      <w:r>
        <w:rPr>
          <w:rFonts w:hint="eastAsia" w:asciiTheme="minorEastAsia" w:hAnsiTheme="minorEastAsia"/>
          <w:sz w:val="30"/>
          <w:szCs w:val="30"/>
          <w:lang w:eastAsia="zh-CN"/>
        </w:rPr>
        <w:t>；</w:t>
      </w:r>
      <w:r>
        <w:rPr>
          <w:rFonts w:asciiTheme="minorEastAsia" w:hAnsiTheme="minorEastAsia"/>
          <w:sz w:val="30"/>
          <w:szCs w:val="30"/>
        </w:rPr>
        <w:t>三是以秩序整治和行为整治为重点共抓共促，加强管理，严肃惩罚公共不文明行为。</w:t>
      </w:r>
    </w:p>
    <w:p>
      <w:pPr>
        <w:spacing w:line="460" w:lineRule="exact"/>
        <w:rPr>
          <w:rFonts w:asciiTheme="minorEastAsia" w:hAnsiTheme="minorEastAsia"/>
          <w:kern w:val="0"/>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5105"/>
    <w:rsid w:val="0009371D"/>
    <w:rsid w:val="00177312"/>
    <w:rsid w:val="0018145D"/>
    <w:rsid w:val="00191020"/>
    <w:rsid w:val="001C4511"/>
    <w:rsid w:val="001E5105"/>
    <w:rsid w:val="00210D1D"/>
    <w:rsid w:val="00395F83"/>
    <w:rsid w:val="003D4AD5"/>
    <w:rsid w:val="0043439E"/>
    <w:rsid w:val="00487164"/>
    <w:rsid w:val="004B0D6F"/>
    <w:rsid w:val="004D145B"/>
    <w:rsid w:val="004E050A"/>
    <w:rsid w:val="00672F69"/>
    <w:rsid w:val="006C5CA3"/>
    <w:rsid w:val="007045D1"/>
    <w:rsid w:val="00715387"/>
    <w:rsid w:val="00746C1D"/>
    <w:rsid w:val="00814892"/>
    <w:rsid w:val="008A437F"/>
    <w:rsid w:val="008B604B"/>
    <w:rsid w:val="009A7186"/>
    <w:rsid w:val="009E362C"/>
    <w:rsid w:val="00A11A16"/>
    <w:rsid w:val="00A25539"/>
    <w:rsid w:val="00A41AD5"/>
    <w:rsid w:val="00AC58AE"/>
    <w:rsid w:val="00AC59E8"/>
    <w:rsid w:val="00B41997"/>
    <w:rsid w:val="00B969F5"/>
    <w:rsid w:val="00BF6D14"/>
    <w:rsid w:val="00CC351D"/>
    <w:rsid w:val="00CC5014"/>
    <w:rsid w:val="00CD539C"/>
    <w:rsid w:val="00D05D10"/>
    <w:rsid w:val="00D973E8"/>
    <w:rsid w:val="00E00CA8"/>
    <w:rsid w:val="00E90712"/>
    <w:rsid w:val="00EC2B84"/>
    <w:rsid w:val="00F9178C"/>
    <w:rsid w:val="00FB38CD"/>
    <w:rsid w:val="059B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Times New Roman" w:hAnsi="Times New Roman" w:eastAsia="仿宋_GB2312" w:cs="Times New Roman"/>
      <w:b/>
      <w:bCs/>
      <w:kern w:val="44"/>
      <w:sz w:val="44"/>
      <w:szCs w:val="44"/>
    </w:rPr>
  </w:style>
  <w:style w:type="paragraph" w:styleId="3">
    <w:name w:val="heading 3"/>
    <w:basedOn w:val="1"/>
    <w:next w:val="1"/>
    <w:link w:val="13"/>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39"/>
    <w:rPr>
      <w:rFonts w:ascii="Times New Roman" w:hAnsi="Times New Roman" w:eastAsia="仿宋_GB2312" w:cs="Times New Roman"/>
      <w:sz w:val="30"/>
      <w:szCs w:val="24"/>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标题 3 Char"/>
    <w:basedOn w:val="8"/>
    <w:link w:val="3"/>
    <w:qFormat/>
    <w:uiPriority w:val="0"/>
    <w:rPr>
      <w:rFonts w:ascii="宋体" w:hAnsi="宋体" w:eastAsia="宋体" w:cs="Times New Roman"/>
      <w:b/>
      <w:bCs/>
      <w:kern w:val="0"/>
      <w:sz w:val="27"/>
      <w:szCs w:val="27"/>
    </w:rPr>
  </w:style>
  <w:style w:type="paragraph" w:styleId="14">
    <w:name w:val="List Paragraph"/>
    <w:basedOn w:val="1"/>
    <w:qFormat/>
    <w:uiPriority w:val="34"/>
    <w:pPr>
      <w:ind w:firstLine="420" w:firstLineChars="200"/>
    </w:pPr>
  </w:style>
  <w:style w:type="character" w:customStyle="1" w:styleId="15">
    <w:name w:val="标题 1 Char"/>
    <w:basedOn w:val="8"/>
    <w:link w:val="2"/>
    <w:qFormat/>
    <w:uiPriority w:val="0"/>
    <w:rPr>
      <w:rFonts w:ascii="Times New Roman" w:hAnsi="Times New Roman" w:eastAsia="仿宋_GB2312" w:cs="Times New Roman"/>
      <w:b/>
      <w:bCs/>
      <w:kern w:val="44"/>
      <w:sz w:val="44"/>
      <w:szCs w:val="44"/>
    </w:rPr>
  </w:style>
  <w:style w:type="paragraph" w:customStyle="1" w:styleId="16">
    <w:name w:val="标题 #2"/>
    <w:basedOn w:val="1"/>
    <w:link w:val="17"/>
    <w:unhideWhenUsed/>
    <w:qFormat/>
    <w:uiPriority w:val="99"/>
    <w:pPr>
      <w:spacing w:line="600" w:lineRule="exact"/>
      <w:ind w:firstLine="660"/>
      <w:outlineLvl w:val="1"/>
    </w:pPr>
    <w:rPr>
      <w:rFonts w:ascii="宋体" w:hAnsi="宋体" w:eastAsia="宋体" w:cs="Times New Roman"/>
      <w:b/>
      <w:sz w:val="36"/>
      <w:szCs w:val="36"/>
      <w:lang w:val="zh-CN"/>
    </w:rPr>
  </w:style>
  <w:style w:type="character" w:customStyle="1" w:styleId="17">
    <w:name w:val="标题 #2_"/>
    <w:basedOn w:val="8"/>
    <w:link w:val="16"/>
    <w:unhideWhenUsed/>
    <w:qFormat/>
    <w:uiPriority w:val="99"/>
    <w:rPr>
      <w:rFonts w:ascii="宋体" w:hAnsi="宋体" w:eastAsia="宋体" w:cs="Times New Roman"/>
      <w:b/>
      <w:sz w:val="36"/>
      <w:szCs w:val="36"/>
      <w:lang w:val="zh-CN"/>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NYDN</Company>
  <Pages>3</Pages>
  <Words>228</Words>
  <Characters>1302</Characters>
  <Lines>10</Lines>
  <Paragraphs>3</Paragraphs>
  <TotalTime>0</TotalTime>
  <ScaleCrop>false</ScaleCrop>
  <LinksUpToDate>false</LinksUpToDate>
  <CharactersWithSpaces>1527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2022-09-15T00:53:00Z</dcterms:created>
  <dc:creator>DIY</dc:creator>
  <cp:lastModifiedBy>Administrator</cp:lastModifiedBy>
  <dcterms:modified xsi:type="dcterms:W3CDTF">2023-07-16T03:08:58Z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