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黑体" w:hAnsi="黑体" w:eastAsia="黑体" w:cs="宋体"/>
          <w:color w:val="065FA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65FA3"/>
          <w:kern w:val="0"/>
          <w:sz w:val="32"/>
          <w:szCs w:val="32"/>
        </w:rPr>
        <w:t>漳平市农业农村局（乡村振兴局）2022年度省级乡村振兴</w:t>
      </w:r>
    </w:p>
    <w:p>
      <w:pPr>
        <w:widowControl/>
        <w:spacing w:line="450" w:lineRule="atLeast"/>
        <w:jc w:val="center"/>
        <w:rPr>
          <w:rFonts w:ascii="黑体" w:hAnsi="黑体" w:eastAsia="黑体" w:cs="宋体"/>
          <w:color w:val="065FA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65FA3"/>
          <w:kern w:val="0"/>
          <w:sz w:val="32"/>
          <w:szCs w:val="32"/>
        </w:rPr>
        <w:t>示范村补助县级配套项目绩效评价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/>
          <w:kern w:val="0"/>
        </w:rPr>
        <w:t xml:space="preserve"> </w:t>
      </w:r>
      <w:r>
        <w:rPr>
          <w:rFonts w:hint="eastAsia" w:asciiTheme="minorEastAsia" w:hAnsiTheme="minorEastAsia"/>
          <w:kern w:val="0"/>
          <w:sz w:val="30"/>
          <w:szCs w:val="30"/>
        </w:rPr>
        <w:t xml:space="preserve">    </w:t>
      </w:r>
      <w:r>
        <w:rPr>
          <w:rFonts w:asciiTheme="minorEastAsia" w:hAnsiTheme="minorEastAsia"/>
          <w:kern w:val="0"/>
          <w:sz w:val="30"/>
          <w:szCs w:val="30"/>
        </w:rPr>
        <w:t>202</w:t>
      </w:r>
      <w:r>
        <w:rPr>
          <w:rFonts w:hint="eastAsia" w:asciiTheme="minorEastAsia" w:hAnsiTheme="minorEastAsia"/>
          <w:kern w:val="0"/>
          <w:sz w:val="30"/>
          <w:szCs w:val="30"/>
        </w:rPr>
        <w:t>2</w:t>
      </w:r>
      <w:r>
        <w:rPr>
          <w:rFonts w:asciiTheme="minorEastAsia" w:hAnsiTheme="minorEastAsia"/>
          <w:kern w:val="0"/>
          <w:sz w:val="30"/>
          <w:szCs w:val="30"/>
        </w:rPr>
        <w:t>年度预算安排</w:t>
      </w:r>
      <w:r>
        <w:rPr>
          <w:rFonts w:hint="eastAsia" w:asciiTheme="minorEastAsia" w:hAnsiTheme="minorEastAsia"/>
          <w:sz w:val="30"/>
          <w:szCs w:val="30"/>
        </w:rPr>
        <w:t>省级试点示范资金合计2</w:t>
      </w:r>
      <w:r>
        <w:rPr>
          <w:rFonts w:asciiTheme="minorEastAsia" w:hAnsiTheme="minorEastAsia"/>
          <w:sz w:val="30"/>
          <w:szCs w:val="30"/>
        </w:rPr>
        <w:t>,</w:t>
      </w:r>
      <w:r>
        <w:rPr>
          <w:rFonts w:hint="eastAsia"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t>91.71</w:t>
      </w:r>
      <w:r>
        <w:rPr>
          <w:rFonts w:hint="eastAsia" w:asciiTheme="minorEastAsia" w:hAnsiTheme="minorEastAsia"/>
          <w:sz w:val="30"/>
          <w:szCs w:val="30"/>
        </w:rPr>
        <w:t>万元(其中，省级部门整合资金1</w:t>
      </w:r>
      <w:r>
        <w:rPr>
          <w:rFonts w:asciiTheme="minorEastAsia" w:hAnsiTheme="minorEastAsia"/>
          <w:sz w:val="30"/>
          <w:szCs w:val="30"/>
        </w:rPr>
        <w:t>,230.41</w:t>
      </w:r>
      <w:r>
        <w:rPr>
          <w:rFonts w:hint="eastAsia" w:asciiTheme="minorEastAsia" w:hAnsiTheme="minorEastAsia"/>
          <w:sz w:val="30"/>
          <w:szCs w:val="30"/>
        </w:rPr>
        <w:t>万元、省</w:t>
      </w:r>
      <w:r>
        <w:rPr>
          <w:rFonts w:hint="eastAsia" w:asciiTheme="minorEastAsia" w:hAnsiTheme="minorEastAsia"/>
          <w:sz w:val="30"/>
          <w:szCs w:val="30"/>
          <w:lang w:eastAsia="zh-CN"/>
        </w:rPr>
        <w:t>级</w:t>
      </w:r>
      <w:r>
        <w:rPr>
          <w:rFonts w:hint="eastAsia" w:asciiTheme="minorEastAsia" w:hAnsiTheme="minorEastAsia"/>
          <w:sz w:val="30"/>
          <w:szCs w:val="30"/>
        </w:rPr>
        <w:t>财政预算安排资金400万元、龙岩市资金3</w:t>
      </w:r>
      <w:r>
        <w:rPr>
          <w:rFonts w:asciiTheme="minorEastAsia" w:hAnsiTheme="minorEastAsia"/>
          <w:sz w:val="30"/>
          <w:szCs w:val="30"/>
        </w:rPr>
        <w:t>30</w:t>
      </w:r>
      <w:r>
        <w:rPr>
          <w:rFonts w:hint="eastAsia" w:asciiTheme="minorEastAsia" w:hAnsiTheme="minorEastAsia"/>
          <w:sz w:val="30"/>
          <w:szCs w:val="30"/>
        </w:rPr>
        <w:t>万元、漳平资金5</w:t>
      </w:r>
      <w:r>
        <w:rPr>
          <w:rFonts w:asciiTheme="minorEastAsia" w:hAnsiTheme="minorEastAsia"/>
          <w:sz w:val="30"/>
          <w:szCs w:val="30"/>
        </w:rPr>
        <w:t>31.30</w:t>
      </w:r>
      <w:r>
        <w:rPr>
          <w:rFonts w:hint="eastAsia" w:asciiTheme="minorEastAsia" w:hAnsiTheme="minorEastAsia"/>
          <w:sz w:val="30"/>
          <w:szCs w:val="30"/>
        </w:rPr>
        <w:t>万元),</w:t>
      </w:r>
      <w:r>
        <w:rPr>
          <w:rFonts w:asciiTheme="minorEastAsia" w:hAnsiTheme="minorEastAsia"/>
          <w:kern w:val="0"/>
          <w:sz w:val="30"/>
          <w:szCs w:val="30"/>
        </w:rPr>
        <w:t>实际执行数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,</w:t>
      </w:r>
      <w:r>
        <w:rPr>
          <w:rFonts w:hint="eastAsia"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t>91.71</w:t>
      </w:r>
      <w:r>
        <w:rPr>
          <w:rFonts w:asciiTheme="minorEastAsia" w:hAnsiTheme="minorEastAsia"/>
          <w:kern w:val="0"/>
          <w:sz w:val="30"/>
          <w:szCs w:val="30"/>
        </w:rPr>
        <w:t>万元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　　一、绩效评价等级“优”</w:t>
      </w:r>
    </w:p>
    <w:p>
      <w:pPr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　　经评价，</w:t>
      </w:r>
      <w:r>
        <w:rPr>
          <w:rFonts w:hint="eastAsia" w:asciiTheme="minorEastAsia" w:hAnsiTheme="minorEastAsia"/>
          <w:kern w:val="0"/>
          <w:sz w:val="30"/>
          <w:szCs w:val="30"/>
        </w:rPr>
        <w:t>农业农村局(乡村振兴局)2022年度省级乡村振兴示范村补助县级配套项目</w:t>
      </w:r>
      <w:r>
        <w:rPr>
          <w:rFonts w:asciiTheme="minorEastAsia" w:hAnsiTheme="minorEastAsia"/>
          <w:kern w:val="0"/>
          <w:sz w:val="30"/>
          <w:szCs w:val="30"/>
        </w:rPr>
        <w:t>绩效评价得分9</w:t>
      </w:r>
      <w:r>
        <w:rPr>
          <w:rFonts w:hint="eastAsia" w:asciiTheme="minorEastAsia" w:hAnsiTheme="minorEastAsia"/>
          <w:kern w:val="0"/>
          <w:sz w:val="30"/>
          <w:szCs w:val="30"/>
        </w:rPr>
        <w:t>1.38</w:t>
      </w:r>
      <w:r>
        <w:rPr>
          <w:rFonts w:asciiTheme="minorEastAsia" w:hAnsiTheme="minorEastAsia"/>
          <w:kern w:val="0"/>
          <w:sz w:val="30"/>
          <w:szCs w:val="30"/>
        </w:rPr>
        <w:t>分，绩效等级为“优”。</w:t>
      </w:r>
    </w:p>
    <w:p>
      <w:pPr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 xml:space="preserve">    </w:t>
      </w:r>
      <w:r>
        <w:rPr>
          <w:rFonts w:asciiTheme="minorEastAsia" w:hAnsiTheme="minorEastAsia"/>
          <w:kern w:val="0"/>
          <w:sz w:val="30"/>
          <w:szCs w:val="30"/>
        </w:rPr>
        <w:t>二、评价发现的主要问题</w:t>
      </w:r>
    </w:p>
    <w:p>
      <w:pPr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 xml:space="preserve">    </w:t>
      </w:r>
      <w:r>
        <w:rPr>
          <w:rFonts w:asciiTheme="minorEastAsia" w:hAnsiTheme="minorEastAsia"/>
          <w:kern w:val="0"/>
          <w:sz w:val="30"/>
          <w:szCs w:val="30"/>
        </w:rPr>
        <w:t>1</w:t>
      </w:r>
      <w:r>
        <w:rPr>
          <w:rFonts w:hint="eastAsia" w:asciiTheme="minorEastAsia" w:hAnsiTheme="minorEastAsia"/>
          <w:kern w:val="0"/>
          <w:sz w:val="30"/>
          <w:szCs w:val="30"/>
        </w:rPr>
        <w:t>．项目可研论证不够严谨，项目进度缓慢，项目执行力需提升</w:t>
      </w:r>
      <w:r>
        <w:rPr>
          <w:rFonts w:hint="eastAsia" w:asciiTheme="minorEastAsia" w:hAnsi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/>
          <w:kern w:val="0"/>
          <w:sz w:val="30"/>
          <w:szCs w:val="30"/>
        </w:rPr>
        <w:t>部分试点村年初谋划安排2</w:t>
      </w:r>
      <w:r>
        <w:rPr>
          <w:rFonts w:asciiTheme="minorEastAsia" w:hAnsiTheme="minorEastAsia"/>
          <w:kern w:val="0"/>
          <w:sz w:val="30"/>
          <w:szCs w:val="30"/>
        </w:rPr>
        <w:t>02</w:t>
      </w:r>
      <w:r>
        <w:rPr>
          <w:rFonts w:hint="eastAsia" w:asciiTheme="minorEastAsia" w:hAnsiTheme="minorEastAsia"/>
          <w:kern w:val="0"/>
          <w:sz w:val="30"/>
          <w:szCs w:val="30"/>
        </w:rPr>
        <w:t>2年项目时，前期未进行可研论证，项目策划不够严谨，项目安排不够精准，导致项目无法实施。</w:t>
      </w:r>
    </w:p>
    <w:p>
      <w:pPr>
        <w:ind w:firstLine="600" w:firstLineChars="2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2</w:t>
      </w:r>
      <w:r>
        <w:rPr>
          <w:rFonts w:hint="eastAsia" w:asciiTheme="minorEastAsia" w:hAnsiTheme="minorEastAsia"/>
          <w:kern w:val="0"/>
          <w:sz w:val="30"/>
          <w:szCs w:val="30"/>
        </w:rPr>
        <w:t>．长效管护和运维机制不健全，制度建立需强化。项目管理办法中规定，乡镇（街道）要建立健全项目运行管护制度，落实管护责任，保证项目竣工验收后正常运转。经抽样检查15个项目的相关档案资料，仅有12个有制定管护制度，3个项目未制定相关后续管护制度，后续缺乏管理维护，缺少可持续产业支撑，容易造成项目建成后“晒太阳”、利用率不高等问题。乡村振兴资金主要依赖财政资金投入，资金筹措渠道有待拓宽，发挥社会资本、金额资本作用不足。</w:t>
      </w:r>
    </w:p>
    <w:p>
      <w:pPr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</w:t>
      </w:r>
      <w:r>
        <w:rPr>
          <w:rFonts w:asciiTheme="minorEastAsia" w:hAnsiTheme="minorEastAsia"/>
          <w:kern w:val="0"/>
          <w:sz w:val="30"/>
          <w:szCs w:val="30"/>
        </w:rPr>
        <w:t>三、相关建议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（一）提高对绩效管理工作的认识。提高政治站位，强化绩效意识，将绩效管理的理念贯穿到预算管理全过程，形成事前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事中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事后的闭环管理系统，推动绩效管理和预算执行实行“双监控”，同时要转变“重资金，轻绩效”的理念，从消极被动的不想管，不愿管转变为积极主动的管得了，管得好的绩效责任意识。让利益相关方了解到预算绩效管理是一个全员参与，全预算覆盖，全过程的工作，从根本认识到绩效管理的重要性。</w:t>
      </w:r>
    </w:p>
    <w:p>
      <w:pPr>
        <w:ind w:firstLine="435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pacing w:val="-5"/>
          <w:sz w:val="30"/>
          <w:szCs w:val="30"/>
        </w:rPr>
        <w:t>（二）</w:t>
      </w:r>
      <w:r>
        <w:rPr>
          <w:rFonts w:hint="eastAsia" w:asciiTheme="minorEastAsia" w:hAnsiTheme="minorEastAsia"/>
          <w:sz w:val="30"/>
          <w:szCs w:val="30"/>
        </w:rPr>
        <w:t>加强绩效管理监管力度，利用大数据和云平台实时监控。出台相关的绩效自评管理办法，规范自评填报流程，建立自评抽查和不合格通报机制，将抽查结果和自评质量作为部门预算安排的重要参考依据，从源头提高绩效管理的科学性。同时要加强对预算绩效的动态监管，建立动态跟踪机制，利用大数据和云平台实时监控项目开展情况，实现常态化的数据</w:t>
      </w:r>
      <w:r>
        <w:rPr>
          <w:rFonts w:hint="eastAsia" w:asciiTheme="minorEastAsia" w:hAnsiTheme="minorEastAsia"/>
          <w:sz w:val="30"/>
          <w:szCs w:val="30"/>
          <w:lang w:eastAsia="zh-CN"/>
        </w:rPr>
        <w:t>异常预警</w:t>
      </w:r>
      <w:r>
        <w:rPr>
          <w:rFonts w:hint="eastAsia" w:asciiTheme="minorEastAsia" w:hAnsiTheme="minorEastAsia"/>
          <w:sz w:val="30"/>
          <w:szCs w:val="30"/>
        </w:rPr>
        <w:t>机制，尽早发现倾向性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苗头性</w:t>
      </w:r>
      <w:r>
        <w:rPr>
          <w:rFonts w:hint="eastAsia" w:asciiTheme="minorEastAsia" w:hAnsi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sz w:val="30"/>
          <w:szCs w:val="30"/>
        </w:rPr>
        <w:t>潜在性的问题，为预算支出提供全天候保驾护航。</w:t>
      </w:r>
    </w:p>
    <w:p>
      <w:pPr>
        <w:ind w:firstLine="450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（三）建立健全绩效结果共享机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制，引导公众参与。一是要建立健全绩效信息系统，利用部门官方网站、政府门户网站、微信公众号等平台设置绩效评价信息专栏，主动、及时公开重大项目和政策相关的预算绩效信息，引导公众参与绩效管理，充分发挥群众监督和舆论监督作用，提升预算绩效公信力，促进政务信息公开。二是搭建数字化绩效评价智能系统，利用大数据自动进行数据采集、分类和系统分析，如利用聚类挖掘、分类挖掘等技术和关联分析、综合分析等方式对数据进行个性化筛选，为高效、科学的绩效管理提供决策依据。同时可利用大数据破除数据壁垒，联动部门信息，扩大信息共享范围。</w:t>
      </w:r>
    </w:p>
    <w:p>
      <w:pPr>
        <w:ind w:firstLine="450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四）加强对相关人员的素质培养，注重人才队伍的培养，激发绩效管理活力。一是提高从事绩效管理工作的准入门槛。完善绩效管理的人才储备制度，引入高质量人才参与到绩效管理工作中，优化人才培养机制，有针对性地安排一些预算绩效管理方面培养计划，通过视频培训，学术交流自学网课等方式，提高相关人员的业务水平</w:t>
      </w:r>
      <w:r>
        <w:rPr>
          <w:rFonts w:hint="eastAsia" w:asciiTheme="minorEastAsia" w:hAnsi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/>
          <w:sz w:val="30"/>
          <w:szCs w:val="30"/>
        </w:rPr>
        <w:t>二是强化业务与财务的深度融合，加强部门内部之间的协调合作，促进业务能手和财务人员之间的沟通交流，达到互相协同，共融共进的效果。</w:t>
      </w:r>
    </w:p>
    <w:p>
      <w:pPr>
        <w:ind w:firstLine="450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五）落实巩固脱贫成果同乡村振兴有效衔接。统筹开展乡村振兴战略实绩考核、巩固拓展脱贫攻坚成果同乡村振兴有效衔接考核评估。增强发展动力，推动乡村产业高质量发展。按照“土特产”三个字要求，依托农业农村特色资源，开发农业多种功能，挖掘乡村多元价值，完善联农带农利益联结机制，把增值收益更多留给农民。因地制宜培育特色优势主导产业，乡村振兴补助资金用于产业发展的比重加大，补上短板要全面，含技术、设施、营销等。</w:t>
      </w:r>
    </w:p>
    <w:p>
      <w:pPr>
        <w:ind w:firstLine="450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(六)强化党建引领，提升乡村治理。围绕逐步使农村基本具备现代生活条件这个目标，就必须扎实推进乡村硬件建设和软件建设，推动乡村由表及里、形神兼备的全面提升，让农民就地能够过上现代文明生活，就需要健全党组织领导的乡村治理体系，用好传统治理资源和现代治理手段，提升乡村治理效能；创新农村精神文明建设的抓手、平台和载体，大力弘扬和践行社会主义核心价值观，深入推进农村移风易俗，塑造乡村文明新风尚。</w:t>
      </w:r>
    </w:p>
    <w:p>
      <w:pPr>
        <w:spacing w:line="460" w:lineRule="exact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105"/>
    <w:rsid w:val="0000768B"/>
    <w:rsid w:val="00080227"/>
    <w:rsid w:val="00081EE3"/>
    <w:rsid w:val="000907D9"/>
    <w:rsid w:val="0018145D"/>
    <w:rsid w:val="001D2A17"/>
    <w:rsid w:val="001D2D45"/>
    <w:rsid w:val="001E45C9"/>
    <w:rsid w:val="001E5105"/>
    <w:rsid w:val="00230442"/>
    <w:rsid w:val="00307953"/>
    <w:rsid w:val="00485A0C"/>
    <w:rsid w:val="00491EB4"/>
    <w:rsid w:val="004B3015"/>
    <w:rsid w:val="004D145B"/>
    <w:rsid w:val="004F0655"/>
    <w:rsid w:val="00565C40"/>
    <w:rsid w:val="005855AA"/>
    <w:rsid w:val="005A3772"/>
    <w:rsid w:val="005B2691"/>
    <w:rsid w:val="006068D3"/>
    <w:rsid w:val="006226C8"/>
    <w:rsid w:val="00686E0E"/>
    <w:rsid w:val="0077103C"/>
    <w:rsid w:val="00775D49"/>
    <w:rsid w:val="007D00EA"/>
    <w:rsid w:val="008414B7"/>
    <w:rsid w:val="008661D5"/>
    <w:rsid w:val="0088337A"/>
    <w:rsid w:val="009743E2"/>
    <w:rsid w:val="009A259B"/>
    <w:rsid w:val="009F31BA"/>
    <w:rsid w:val="00A21982"/>
    <w:rsid w:val="00A44826"/>
    <w:rsid w:val="00B12EFE"/>
    <w:rsid w:val="00B143EA"/>
    <w:rsid w:val="00B51BA5"/>
    <w:rsid w:val="00BC531B"/>
    <w:rsid w:val="00BE547D"/>
    <w:rsid w:val="00BF6D14"/>
    <w:rsid w:val="00C71109"/>
    <w:rsid w:val="00E52C0D"/>
    <w:rsid w:val="00E95DDF"/>
    <w:rsid w:val="00EA0B94"/>
    <w:rsid w:val="00EC2B84"/>
    <w:rsid w:val="00ED570F"/>
    <w:rsid w:val="00ED6CAB"/>
    <w:rsid w:val="00F0436B"/>
    <w:rsid w:val="00F71C32"/>
    <w:rsid w:val="00FD67F1"/>
    <w:rsid w:val="493B6D66"/>
    <w:rsid w:val="7FB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rPr>
      <w:rFonts w:ascii="Times New Roman" w:hAnsi="Times New Roman" w:eastAsia="仿宋_GB2312" w:cs="Times New Roman"/>
      <w:sz w:val="30"/>
      <w:szCs w:val="24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NYDN</Company>
  <Pages>4</Pages>
  <Words>273</Words>
  <Characters>1560</Characters>
  <Lines>13</Lines>
  <Paragraphs>3</Paragraphs>
  <ScaleCrop>false</ScaleCrop>
  <LinksUpToDate>false</LinksUpToDate>
  <CharactersWithSpaces>1830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2022-09-15T00:53:00Z</dcterms:created>
  <dc:creator>DIY</dc:creator>
  <cp:lastModifiedBy>Administrator</cp:lastModifiedBy>
  <dcterms:modified xsi:type="dcterms:W3CDTF">2023-07-17T00:04:42Z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