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8E154C">
      <w:pPr>
        <w:pStyle w:val="14"/>
        <w:rPr>
          <w:rFonts w:ascii="黑体" w:hAnsi="黑体" w:eastAsia="黑体"/>
          <w:sz w:val="32"/>
          <w:szCs w:val="32"/>
        </w:rPr>
      </w:pPr>
    </w:p>
    <w:p w14:paraId="30FDE7EF">
      <w:pPr>
        <w:widowControl/>
        <w:rPr>
          <w:sz w:val="32"/>
          <w:szCs w:val="32"/>
        </w:rPr>
      </w:pPr>
    </w:p>
    <w:p w14:paraId="41A01591">
      <w:pPr>
        <w:widowControl/>
        <w:jc w:val="center"/>
        <w:rPr>
          <w:sz w:val="84"/>
          <w:szCs w:val="84"/>
        </w:rPr>
      </w:pPr>
    </w:p>
    <w:p w14:paraId="46E91A12">
      <w:pPr>
        <w:widowControl/>
        <w:jc w:val="center"/>
        <w:rPr>
          <w:sz w:val="84"/>
          <w:szCs w:val="84"/>
        </w:rPr>
      </w:pPr>
    </w:p>
    <w:p w14:paraId="012D0E4F">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4F2BBBAC">
      <w:pPr>
        <w:widowControl/>
        <w:rPr>
          <w:rFonts w:asciiTheme="minorEastAsia" w:hAnsiTheme="minorEastAsia"/>
          <w:sz w:val="84"/>
          <w:szCs w:val="84"/>
        </w:rPr>
      </w:pPr>
      <w:r>
        <w:rPr>
          <w:rFonts w:hint="eastAsia" w:ascii="方正小标宋简体" w:eastAsia="方正小标宋简体"/>
          <w:sz w:val="84"/>
          <w:szCs w:val="84"/>
        </w:rPr>
        <w:t>漳平市</w:t>
      </w:r>
      <w:r>
        <w:rPr>
          <w:rFonts w:hint="eastAsia" w:ascii="方正小标宋简体" w:eastAsia="方正小标宋简体"/>
          <w:sz w:val="84"/>
          <w:szCs w:val="84"/>
          <w:lang w:eastAsia="zh-CN"/>
        </w:rPr>
        <w:t>双洋</w:t>
      </w:r>
      <w:r>
        <w:rPr>
          <w:rFonts w:hint="eastAsia" w:ascii="方正小标宋简体" w:eastAsia="方正小标宋简体"/>
          <w:sz w:val="84"/>
          <w:szCs w:val="84"/>
        </w:rPr>
        <w:t>中心学校</w:t>
      </w:r>
    </w:p>
    <w:p w14:paraId="79859502">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4792ECEF">
      <w:pPr>
        <w:widowControl/>
        <w:rPr>
          <w:sz w:val="84"/>
          <w:szCs w:val="84"/>
        </w:rPr>
      </w:pPr>
      <w:r>
        <w:rPr>
          <w:sz w:val="84"/>
          <w:szCs w:val="84"/>
        </w:rPr>
        <w:br w:type="page"/>
      </w:r>
    </w:p>
    <w:sdt>
      <w:sdtPr>
        <w:rPr>
          <w:rFonts w:ascii="宋体" w:hAnsi="宋体" w:eastAsia="宋体" w:cstheme="minorBidi"/>
          <w:kern w:val="2"/>
          <w:sz w:val="21"/>
          <w:szCs w:val="22"/>
          <w:lang w:val="en-US" w:eastAsia="zh-CN" w:bidi="ar-SA"/>
        </w:rPr>
        <w:id w:val="147465225"/>
        <w15:color w:val="DBDBDB"/>
        <w:docPartObj>
          <w:docPartGallery w:val="Table of Contents"/>
          <w:docPartUnique/>
        </w:docPartObj>
      </w:sdtPr>
      <w:sdtContent>
        <w:p w14:paraId="2B258845">
          <w:pPr>
            <w:spacing w:before="0" w:beforeLines="0" w:after="0" w:afterLines="0" w:line="240" w:lineRule="auto"/>
            <w:ind w:left="0" w:leftChars="0" w:right="0" w:rightChars="0" w:firstLine="0" w:firstLineChars="0"/>
            <w:jc w:val="center"/>
          </w:pPr>
          <w:bookmarkStart w:id="36" w:name="_GoBack"/>
          <w:bookmarkEnd w:id="36"/>
          <w:r>
            <w:rPr>
              <w:rFonts w:ascii="宋体" w:hAnsi="宋体" w:eastAsia="宋体"/>
              <w:sz w:val="21"/>
            </w:rPr>
            <w:t>目录</w:t>
          </w:r>
        </w:p>
        <w:p w14:paraId="4FA656DA">
          <w:pPr>
            <w:pStyle w:val="6"/>
            <w:tabs>
              <w:tab w:val="right" w:leader="dot" w:pos="8306"/>
            </w:tabs>
          </w:pPr>
          <w:r>
            <w:fldChar w:fldCharType="begin"/>
          </w:r>
          <w:r>
            <w:instrText xml:space="preserve">TOC \o "1-3" \h \u </w:instrText>
          </w:r>
          <w:r>
            <w:fldChar w:fldCharType="separate"/>
          </w:r>
          <w:r>
            <w:fldChar w:fldCharType="begin"/>
          </w:r>
          <w:r>
            <w:instrText xml:space="preserve"> HYPERLINK \l _Toc2069 </w:instrText>
          </w:r>
          <w:r>
            <w:fldChar w:fldCharType="separate"/>
          </w:r>
          <w:r>
            <w:rPr>
              <w:rFonts w:hint="eastAsia" w:ascii="黑体" w:hAnsi="黑体" w:eastAsia="黑体"/>
              <w:szCs w:val="36"/>
              <w:lang w:eastAsia="zh-CN"/>
            </w:rPr>
            <w:t>第一部分</w:t>
          </w:r>
          <w:r>
            <w:tab/>
          </w:r>
          <w:r>
            <w:fldChar w:fldCharType="begin"/>
          </w:r>
          <w:r>
            <w:instrText xml:space="preserve"> PAGEREF _Toc2069 \h </w:instrText>
          </w:r>
          <w:r>
            <w:fldChar w:fldCharType="separate"/>
          </w:r>
          <w:r>
            <w:t>3</w:t>
          </w:r>
          <w:r>
            <w:fldChar w:fldCharType="end"/>
          </w:r>
          <w:r>
            <w:fldChar w:fldCharType="end"/>
          </w:r>
        </w:p>
        <w:p w14:paraId="4849E6E9">
          <w:pPr>
            <w:pStyle w:val="6"/>
            <w:tabs>
              <w:tab w:val="right" w:leader="dot" w:pos="8306"/>
            </w:tabs>
          </w:pPr>
          <w:r>
            <w:fldChar w:fldCharType="begin"/>
          </w:r>
          <w:r>
            <w:instrText xml:space="preserve"> HYPERLINK \l _Toc6948 </w:instrText>
          </w:r>
          <w:r>
            <w:fldChar w:fldCharType="separate"/>
          </w:r>
          <w:r>
            <w:rPr>
              <w:rFonts w:hint="eastAsia" w:ascii="黑体" w:hAnsi="黑体" w:eastAsia="黑体"/>
              <w:szCs w:val="36"/>
              <w:lang w:eastAsia="zh-CN"/>
            </w:rPr>
            <w:t>单位概况</w:t>
          </w:r>
          <w:r>
            <w:tab/>
          </w:r>
          <w:r>
            <w:fldChar w:fldCharType="begin"/>
          </w:r>
          <w:r>
            <w:instrText xml:space="preserve"> PAGEREF _Toc6948 \h </w:instrText>
          </w:r>
          <w:r>
            <w:fldChar w:fldCharType="separate"/>
          </w:r>
          <w:r>
            <w:t>3</w:t>
          </w:r>
          <w:r>
            <w:fldChar w:fldCharType="end"/>
          </w:r>
          <w:r>
            <w:fldChar w:fldCharType="end"/>
          </w:r>
        </w:p>
        <w:p w14:paraId="228910B0">
          <w:pPr>
            <w:pStyle w:val="7"/>
            <w:tabs>
              <w:tab w:val="right" w:leader="dot" w:pos="8306"/>
            </w:tabs>
          </w:pPr>
          <w:r>
            <w:fldChar w:fldCharType="begin"/>
          </w:r>
          <w:r>
            <w:instrText xml:space="preserve"> HYPERLINK \l _Toc21854 </w:instrText>
          </w:r>
          <w:r>
            <w:fldChar w:fldCharType="separate"/>
          </w:r>
          <w:r>
            <w:rPr>
              <w:rFonts w:hint="eastAsia" w:ascii="黑体" w:hAnsi="黑体" w:eastAsia="黑体" w:cstheme="minorBidi"/>
              <w:kern w:val="2"/>
              <w:szCs w:val="32"/>
              <w:lang w:eastAsia="zh-CN"/>
            </w:rPr>
            <w:t>一、单位主要职责</w:t>
          </w:r>
          <w:r>
            <w:tab/>
          </w:r>
          <w:r>
            <w:fldChar w:fldCharType="begin"/>
          </w:r>
          <w:r>
            <w:instrText xml:space="preserve"> PAGEREF _Toc21854 \h </w:instrText>
          </w:r>
          <w:r>
            <w:fldChar w:fldCharType="separate"/>
          </w:r>
          <w:r>
            <w:t>4</w:t>
          </w:r>
          <w:r>
            <w:fldChar w:fldCharType="end"/>
          </w:r>
          <w:r>
            <w:fldChar w:fldCharType="end"/>
          </w:r>
        </w:p>
        <w:p w14:paraId="1D674632">
          <w:pPr>
            <w:pStyle w:val="7"/>
            <w:tabs>
              <w:tab w:val="right" w:leader="dot" w:pos="8306"/>
            </w:tabs>
          </w:pPr>
          <w:r>
            <w:fldChar w:fldCharType="begin"/>
          </w:r>
          <w:r>
            <w:instrText xml:space="preserve"> HYPERLINK \l _Toc28398 </w:instrText>
          </w:r>
          <w:r>
            <w:fldChar w:fldCharType="separate"/>
          </w:r>
          <w:r>
            <w:rPr>
              <w:rFonts w:hint="eastAsia" w:ascii="黑体" w:hAnsi="黑体" w:eastAsia="黑体" w:cstheme="minorBidi"/>
              <w:kern w:val="2"/>
              <w:szCs w:val="32"/>
              <w:lang w:eastAsia="zh-CN"/>
            </w:rPr>
            <w:t>二、单位预算单位构成</w:t>
          </w:r>
          <w:r>
            <w:tab/>
          </w:r>
          <w:r>
            <w:fldChar w:fldCharType="begin"/>
          </w:r>
          <w:r>
            <w:instrText xml:space="preserve"> PAGEREF _Toc28398 \h </w:instrText>
          </w:r>
          <w:r>
            <w:fldChar w:fldCharType="separate"/>
          </w:r>
          <w:r>
            <w:t>4</w:t>
          </w:r>
          <w:r>
            <w:fldChar w:fldCharType="end"/>
          </w:r>
          <w:r>
            <w:fldChar w:fldCharType="end"/>
          </w:r>
        </w:p>
        <w:p w14:paraId="6B839D87">
          <w:pPr>
            <w:pStyle w:val="7"/>
            <w:tabs>
              <w:tab w:val="right" w:leader="dot" w:pos="8306"/>
            </w:tabs>
          </w:pPr>
          <w:r>
            <w:fldChar w:fldCharType="begin"/>
          </w:r>
          <w:r>
            <w:instrText xml:space="preserve"> HYPERLINK \l _Toc8756 </w:instrText>
          </w:r>
          <w:r>
            <w:fldChar w:fldCharType="separate"/>
          </w:r>
          <w:r>
            <w:rPr>
              <w:rFonts w:hint="eastAsia" w:ascii="黑体" w:hAnsi="黑体" w:eastAsia="黑体"/>
              <w:szCs w:val="32"/>
            </w:rPr>
            <w:t>三、单位主要工作任务</w:t>
          </w:r>
          <w:r>
            <w:tab/>
          </w:r>
          <w:r>
            <w:fldChar w:fldCharType="begin"/>
          </w:r>
          <w:r>
            <w:instrText xml:space="preserve"> PAGEREF _Toc8756 \h </w:instrText>
          </w:r>
          <w:r>
            <w:fldChar w:fldCharType="separate"/>
          </w:r>
          <w:r>
            <w:t>4</w:t>
          </w:r>
          <w:r>
            <w:fldChar w:fldCharType="end"/>
          </w:r>
          <w:r>
            <w:fldChar w:fldCharType="end"/>
          </w:r>
        </w:p>
        <w:p w14:paraId="4D7362A9">
          <w:pPr>
            <w:pStyle w:val="6"/>
            <w:tabs>
              <w:tab w:val="right" w:leader="dot" w:pos="8306"/>
            </w:tabs>
          </w:pPr>
          <w:r>
            <w:fldChar w:fldCharType="begin"/>
          </w:r>
          <w:r>
            <w:instrText xml:space="preserve"> HYPERLINK \l _Toc15988 </w:instrText>
          </w:r>
          <w:r>
            <w:fldChar w:fldCharType="separate"/>
          </w:r>
          <w:r>
            <w:rPr>
              <w:rFonts w:hint="eastAsia" w:ascii="黑体" w:hAnsi="黑体" w:eastAsia="黑体"/>
              <w:szCs w:val="36"/>
              <w:lang w:eastAsia="zh-CN"/>
            </w:rPr>
            <w:t>第二部分</w:t>
          </w:r>
          <w:r>
            <w:tab/>
          </w:r>
          <w:r>
            <w:fldChar w:fldCharType="begin"/>
          </w:r>
          <w:r>
            <w:instrText xml:space="preserve"> PAGEREF _Toc15988 \h </w:instrText>
          </w:r>
          <w:r>
            <w:fldChar w:fldCharType="separate"/>
          </w:r>
          <w:r>
            <w:t>6</w:t>
          </w:r>
          <w:r>
            <w:fldChar w:fldCharType="end"/>
          </w:r>
          <w:r>
            <w:fldChar w:fldCharType="end"/>
          </w:r>
        </w:p>
        <w:p w14:paraId="7FD8FCFC">
          <w:pPr>
            <w:pStyle w:val="6"/>
            <w:tabs>
              <w:tab w:val="right" w:leader="dot" w:pos="8306"/>
            </w:tabs>
          </w:pPr>
          <w:r>
            <w:fldChar w:fldCharType="begin"/>
          </w:r>
          <w:r>
            <w:instrText xml:space="preserve"> HYPERLINK \l _Toc26030 </w:instrText>
          </w:r>
          <w:r>
            <w:fldChar w:fldCharType="separate"/>
          </w:r>
          <w:r>
            <w:rPr>
              <w:rFonts w:hint="eastAsia" w:ascii="黑体" w:hAnsi="黑体" w:eastAsia="黑体"/>
              <w:szCs w:val="36"/>
              <w:lang w:eastAsia="zh-CN"/>
            </w:rPr>
            <w:t>2026年度单位预算表</w:t>
          </w:r>
          <w:r>
            <w:tab/>
          </w:r>
          <w:r>
            <w:fldChar w:fldCharType="begin"/>
          </w:r>
          <w:r>
            <w:instrText xml:space="preserve"> PAGEREF _Toc26030 \h </w:instrText>
          </w:r>
          <w:r>
            <w:fldChar w:fldCharType="separate"/>
          </w:r>
          <w:r>
            <w:t>6</w:t>
          </w:r>
          <w:r>
            <w:fldChar w:fldCharType="end"/>
          </w:r>
          <w:r>
            <w:fldChar w:fldCharType="end"/>
          </w:r>
        </w:p>
        <w:p w14:paraId="0F1D4B74">
          <w:pPr>
            <w:pStyle w:val="7"/>
            <w:tabs>
              <w:tab w:val="right" w:leader="dot" w:pos="8306"/>
            </w:tabs>
          </w:pPr>
          <w:r>
            <w:fldChar w:fldCharType="begin"/>
          </w:r>
          <w:r>
            <w:instrText xml:space="preserve"> HYPERLINK \l _Toc24960 </w:instrText>
          </w:r>
          <w:r>
            <w:fldChar w:fldCharType="separate"/>
          </w:r>
          <w:r>
            <w:rPr>
              <w:rFonts w:hint="eastAsia" w:ascii="黑体" w:hAnsi="黑体" w:eastAsia="黑体"/>
              <w:szCs w:val="32"/>
            </w:rPr>
            <w:t>一、收支预算总表</w:t>
          </w:r>
          <w:r>
            <w:tab/>
          </w:r>
          <w:r>
            <w:fldChar w:fldCharType="begin"/>
          </w:r>
          <w:r>
            <w:instrText xml:space="preserve"> PAGEREF _Toc24960 \h </w:instrText>
          </w:r>
          <w:r>
            <w:fldChar w:fldCharType="separate"/>
          </w:r>
          <w:r>
            <w:t>7</w:t>
          </w:r>
          <w:r>
            <w:fldChar w:fldCharType="end"/>
          </w:r>
          <w:r>
            <w:fldChar w:fldCharType="end"/>
          </w:r>
        </w:p>
        <w:p w14:paraId="7B320DFE">
          <w:pPr>
            <w:pStyle w:val="7"/>
            <w:tabs>
              <w:tab w:val="right" w:leader="dot" w:pos="8306"/>
            </w:tabs>
          </w:pPr>
          <w:r>
            <w:fldChar w:fldCharType="begin"/>
          </w:r>
          <w:r>
            <w:instrText xml:space="preserve"> HYPERLINK \l _Toc10554 </w:instrText>
          </w:r>
          <w:r>
            <w:fldChar w:fldCharType="separate"/>
          </w:r>
          <w:r>
            <w:rPr>
              <w:rFonts w:hint="eastAsia" w:ascii="黑体" w:hAnsi="黑体" w:eastAsia="黑体"/>
              <w:szCs w:val="32"/>
            </w:rPr>
            <w:t>二、收入预算总表</w:t>
          </w:r>
          <w:r>
            <w:tab/>
          </w:r>
          <w:r>
            <w:fldChar w:fldCharType="begin"/>
          </w:r>
          <w:r>
            <w:instrText xml:space="preserve"> PAGEREF _Toc10554 \h </w:instrText>
          </w:r>
          <w:r>
            <w:fldChar w:fldCharType="separate"/>
          </w:r>
          <w:r>
            <w:t>8</w:t>
          </w:r>
          <w:r>
            <w:fldChar w:fldCharType="end"/>
          </w:r>
          <w:r>
            <w:fldChar w:fldCharType="end"/>
          </w:r>
        </w:p>
        <w:p w14:paraId="1A0F6453">
          <w:pPr>
            <w:pStyle w:val="7"/>
            <w:tabs>
              <w:tab w:val="right" w:leader="dot" w:pos="8306"/>
            </w:tabs>
          </w:pPr>
          <w:r>
            <w:fldChar w:fldCharType="begin"/>
          </w:r>
          <w:r>
            <w:instrText xml:space="preserve"> HYPERLINK \l _Toc12652 </w:instrText>
          </w:r>
          <w:r>
            <w:fldChar w:fldCharType="separate"/>
          </w:r>
          <w:r>
            <w:rPr>
              <w:rFonts w:hint="eastAsia" w:ascii="黑体" w:hAnsi="黑体" w:eastAsia="黑体"/>
              <w:szCs w:val="32"/>
            </w:rPr>
            <w:t>三、支出预算总表</w:t>
          </w:r>
          <w:r>
            <w:tab/>
          </w:r>
          <w:r>
            <w:fldChar w:fldCharType="begin"/>
          </w:r>
          <w:r>
            <w:instrText xml:space="preserve"> PAGEREF _Toc12652 \h </w:instrText>
          </w:r>
          <w:r>
            <w:fldChar w:fldCharType="separate"/>
          </w:r>
          <w:r>
            <w:t>9</w:t>
          </w:r>
          <w:r>
            <w:fldChar w:fldCharType="end"/>
          </w:r>
          <w:r>
            <w:fldChar w:fldCharType="end"/>
          </w:r>
        </w:p>
        <w:p w14:paraId="7DBE37D4">
          <w:pPr>
            <w:pStyle w:val="7"/>
            <w:tabs>
              <w:tab w:val="right" w:leader="dot" w:pos="8306"/>
            </w:tabs>
          </w:pPr>
          <w:r>
            <w:fldChar w:fldCharType="begin"/>
          </w:r>
          <w:r>
            <w:instrText xml:space="preserve"> HYPERLINK \l _Toc2017 </w:instrText>
          </w:r>
          <w:r>
            <w:fldChar w:fldCharType="separate"/>
          </w:r>
          <w:r>
            <w:rPr>
              <w:rFonts w:hint="eastAsia" w:ascii="黑体" w:hAnsi="黑体" w:eastAsia="黑体"/>
              <w:szCs w:val="32"/>
            </w:rPr>
            <w:t>四、财政拨款收支预算总表</w:t>
          </w:r>
          <w:r>
            <w:tab/>
          </w:r>
          <w:r>
            <w:fldChar w:fldCharType="begin"/>
          </w:r>
          <w:r>
            <w:instrText xml:space="preserve"> PAGEREF _Toc2017 \h </w:instrText>
          </w:r>
          <w:r>
            <w:fldChar w:fldCharType="separate"/>
          </w:r>
          <w:r>
            <w:t>10</w:t>
          </w:r>
          <w:r>
            <w:fldChar w:fldCharType="end"/>
          </w:r>
          <w:r>
            <w:fldChar w:fldCharType="end"/>
          </w:r>
        </w:p>
        <w:p w14:paraId="326C07E1">
          <w:pPr>
            <w:pStyle w:val="7"/>
            <w:tabs>
              <w:tab w:val="right" w:leader="dot" w:pos="8306"/>
            </w:tabs>
          </w:pPr>
          <w:r>
            <w:fldChar w:fldCharType="begin"/>
          </w:r>
          <w:r>
            <w:instrText xml:space="preserve"> HYPERLINK \l _Toc20433 </w:instrText>
          </w:r>
          <w:r>
            <w:fldChar w:fldCharType="separate"/>
          </w:r>
          <w:r>
            <w:rPr>
              <w:rFonts w:hint="eastAsia" w:ascii="黑体" w:hAnsi="黑体" w:eastAsia="黑体"/>
              <w:szCs w:val="32"/>
            </w:rPr>
            <w:t>五、一般公共预算拨款支出预算表</w:t>
          </w:r>
          <w:r>
            <w:tab/>
          </w:r>
          <w:r>
            <w:fldChar w:fldCharType="begin"/>
          </w:r>
          <w:r>
            <w:instrText xml:space="preserve"> PAGEREF _Toc20433 \h </w:instrText>
          </w:r>
          <w:r>
            <w:fldChar w:fldCharType="separate"/>
          </w:r>
          <w:r>
            <w:t>11</w:t>
          </w:r>
          <w:r>
            <w:fldChar w:fldCharType="end"/>
          </w:r>
          <w:r>
            <w:fldChar w:fldCharType="end"/>
          </w:r>
        </w:p>
        <w:p w14:paraId="6852FBFD">
          <w:pPr>
            <w:pStyle w:val="7"/>
            <w:tabs>
              <w:tab w:val="right" w:leader="dot" w:pos="8306"/>
            </w:tabs>
          </w:pPr>
          <w:r>
            <w:fldChar w:fldCharType="begin"/>
          </w:r>
          <w:r>
            <w:instrText xml:space="preserve"> HYPERLINK \l _Toc3272 </w:instrText>
          </w:r>
          <w:r>
            <w:fldChar w:fldCharType="separate"/>
          </w:r>
          <w:r>
            <w:rPr>
              <w:rFonts w:hint="eastAsia" w:ascii="黑体" w:hAnsi="黑体" w:eastAsia="黑体"/>
              <w:szCs w:val="32"/>
            </w:rPr>
            <w:t>六、政府性基金预算拨款支出预算表</w:t>
          </w:r>
          <w:r>
            <w:tab/>
          </w:r>
          <w:r>
            <w:fldChar w:fldCharType="begin"/>
          </w:r>
          <w:r>
            <w:instrText xml:space="preserve"> PAGEREF _Toc3272 \h </w:instrText>
          </w:r>
          <w:r>
            <w:fldChar w:fldCharType="separate"/>
          </w:r>
          <w:r>
            <w:t>12</w:t>
          </w:r>
          <w:r>
            <w:fldChar w:fldCharType="end"/>
          </w:r>
          <w:r>
            <w:fldChar w:fldCharType="end"/>
          </w:r>
        </w:p>
        <w:p w14:paraId="7FD42E61">
          <w:pPr>
            <w:pStyle w:val="7"/>
            <w:tabs>
              <w:tab w:val="right" w:leader="dot" w:pos="8306"/>
            </w:tabs>
          </w:pPr>
          <w:r>
            <w:fldChar w:fldCharType="begin"/>
          </w:r>
          <w:r>
            <w:instrText xml:space="preserve"> HYPERLINK \l _Toc29567 </w:instrText>
          </w:r>
          <w:r>
            <w:fldChar w:fldCharType="separate"/>
          </w:r>
          <w:r>
            <w:rPr>
              <w:rFonts w:hint="eastAsia" w:ascii="黑体" w:hAnsi="黑体" w:eastAsia="黑体"/>
              <w:szCs w:val="32"/>
            </w:rPr>
            <w:t>七、国有资本经营预算拨款支出预算表</w:t>
          </w:r>
          <w:r>
            <w:tab/>
          </w:r>
          <w:r>
            <w:fldChar w:fldCharType="begin"/>
          </w:r>
          <w:r>
            <w:instrText xml:space="preserve"> PAGEREF _Toc29567 \h </w:instrText>
          </w:r>
          <w:r>
            <w:fldChar w:fldCharType="separate"/>
          </w:r>
          <w:r>
            <w:t>13</w:t>
          </w:r>
          <w:r>
            <w:fldChar w:fldCharType="end"/>
          </w:r>
          <w:r>
            <w:fldChar w:fldCharType="end"/>
          </w:r>
        </w:p>
        <w:p w14:paraId="745DA36A">
          <w:pPr>
            <w:pStyle w:val="7"/>
            <w:tabs>
              <w:tab w:val="right" w:leader="dot" w:pos="8306"/>
            </w:tabs>
          </w:pPr>
          <w:r>
            <w:fldChar w:fldCharType="begin"/>
          </w:r>
          <w:r>
            <w:instrText xml:space="preserve"> HYPERLINK \l _Toc4785 </w:instrText>
          </w:r>
          <w:r>
            <w:fldChar w:fldCharType="separate"/>
          </w:r>
          <w:r>
            <w:rPr>
              <w:rFonts w:hint="eastAsia" w:ascii="黑体" w:hAnsi="黑体" w:eastAsia="黑体"/>
              <w:szCs w:val="32"/>
            </w:rPr>
            <w:t>八、一般公共预算支出经济分类情况表</w:t>
          </w:r>
          <w:r>
            <w:tab/>
          </w:r>
          <w:r>
            <w:fldChar w:fldCharType="begin"/>
          </w:r>
          <w:r>
            <w:instrText xml:space="preserve"> PAGEREF _Toc4785 \h </w:instrText>
          </w:r>
          <w:r>
            <w:fldChar w:fldCharType="separate"/>
          </w:r>
          <w:r>
            <w:t>14</w:t>
          </w:r>
          <w:r>
            <w:fldChar w:fldCharType="end"/>
          </w:r>
          <w:r>
            <w:fldChar w:fldCharType="end"/>
          </w:r>
        </w:p>
        <w:p w14:paraId="71FC08F6">
          <w:pPr>
            <w:pStyle w:val="7"/>
            <w:tabs>
              <w:tab w:val="right" w:leader="dot" w:pos="8306"/>
            </w:tabs>
          </w:pPr>
          <w:r>
            <w:fldChar w:fldCharType="begin"/>
          </w:r>
          <w:r>
            <w:instrText xml:space="preserve"> HYPERLINK \l _Toc30339 </w:instrText>
          </w:r>
          <w:r>
            <w:fldChar w:fldCharType="separate"/>
          </w:r>
          <w:r>
            <w:rPr>
              <w:rFonts w:hint="eastAsia" w:ascii="黑体" w:hAnsi="黑体" w:eastAsia="黑体"/>
              <w:szCs w:val="32"/>
            </w:rPr>
            <w:t>九、一般公共预算基本支出经济分类情况表</w:t>
          </w:r>
          <w:r>
            <w:tab/>
          </w:r>
          <w:r>
            <w:fldChar w:fldCharType="begin"/>
          </w:r>
          <w:r>
            <w:instrText xml:space="preserve"> PAGEREF _Toc30339 \h </w:instrText>
          </w:r>
          <w:r>
            <w:fldChar w:fldCharType="separate"/>
          </w:r>
          <w:r>
            <w:t>15</w:t>
          </w:r>
          <w:r>
            <w:fldChar w:fldCharType="end"/>
          </w:r>
          <w:r>
            <w:fldChar w:fldCharType="end"/>
          </w:r>
        </w:p>
        <w:p w14:paraId="4D552B17">
          <w:pPr>
            <w:pStyle w:val="7"/>
            <w:tabs>
              <w:tab w:val="right" w:leader="dot" w:pos="8306"/>
            </w:tabs>
          </w:pPr>
          <w:r>
            <w:fldChar w:fldCharType="begin"/>
          </w:r>
          <w:r>
            <w:instrText xml:space="preserve"> HYPERLINK \l _Toc5255 </w:instrText>
          </w:r>
          <w:r>
            <w:fldChar w:fldCharType="separate"/>
          </w:r>
          <w:r>
            <w:rPr>
              <w:rFonts w:hint="eastAsia" w:ascii="黑体" w:hAnsi="黑体" w:eastAsia="黑体"/>
              <w:szCs w:val="32"/>
            </w:rPr>
            <w:t>十、一般公共预算“三公”经费支出预算表</w:t>
          </w:r>
          <w:r>
            <w:tab/>
          </w:r>
          <w:r>
            <w:fldChar w:fldCharType="begin"/>
          </w:r>
          <w:r>
            <w:instrText xml:space="preserve"> PAGEREF _Toc5255 \h </w:instrText>
          </w:r>
          <w:r>
            <w:fldChar w:fldCharType="separate"/>
          </w:r>
          <w:r>
            <w:t>19</w:t>
          </w:r>
          <w:r>
            <w:fldChar w:fldCharType="end"/>
          </w:r>
          <w:r>
            <w:fldChar w:fldCharType="end"/>
          </w:r>
        </w:p>
        <w:p w14:paraId="2FDB37E5">
          <w:pPr>
            <w:pStyle w:val="7"/>
            <w:tabs>
              <w:tab w:val="right" w:leader="dot" w:pos="8306"/>
            </w:tabs>
          </w:pPr>
          <w:r>
            <w:fldChar w:fldCharType="begin"/>
          </w:r>
          <w:r>
            <w:instrText xml:space="preserve"> HYPERLINK \l _Toc29952 </w:instrText>
          </w:r>
          <w:r>
            <w:fldChar w:fldCharType="separate"/>
          </w:r>
          <w:r>
            <w:rPr>
              <w:rFonts w:hint="eastAsia" w:ascii="黑体" w:hAnsi="黑体" w:eastAsia="黑体"/>
              <w:szCs w:val="32"/>
            </w:rPr>
            <w:t>十一、单位专项资金管理清单目录</w:t>
          </w:r>
          <w:r>
            <w:tab/>
          </w:r>
          <w:r>
            <w:fldChar w:fldCharType="begin"/>
          </w:r>
          <w:r>
            <w:instrText xml:space="preserve"> PAGEREF _Toc29952 \h </w:instrText>
          </w:r>
          <w:r>
            <w:fldChar w:fldCharType="separate"/>
          </w:r>
          <w:r>
            <w:t>20</w:t>
          </w:r>
          <w:r>
            <w:fldChar w:fldCharType="end"/>
          </w:r>
          <w:r>
            <w:fldChar w:fldCharType="end"/>
          </w:r>
        </w:p>
        <w:p w14:paraId="4DC1EB72">
          <w:pPr>
            <w:pStyle w:val="6"/>
            <w:tabs>
              <w:tab w:val="right" w:leader="dot" w:pos="8306"/>
            </w:tabs>
          </w:pPr>
          <w:r>
            <w:fldChar w:fldCharType="begin"/>
          </w:r>
          <w:r>
            <w:instrText xml:space="preserve"> HYPERLINK \l _Toc7989 </w:instrText>
          </w:r>
          <w:r>
            <w:fldChar w:fldCharType="separate"/>
          </w:r>
          <w:r>
            <w:rPr>
              <w:rFonts w:hint="eastAsia" w:ascii="黑体" w:hAnsi="黑体" w:eastAsia="黑体"/>
              <w:szCs w:val="36"/>
              <w:lang w:eastAsia="zh-CN"/>
            </w:rPr>
            <w:t>第三部分</w:t>
          </w:r>
          <w:r>
            <w:tab/>
          </w:r>
          <w:r>
            <w:fldChar w:fldCharType="begin"/>
          </w:r>
          <w:r>
            <w:instrText xml:space="preserve"> PAGEREF _Toc7989 \h </w:instrText>
          </w:r>
          <w:r>
            <w:fldChar w:fldCharType="separate"/>
          </w:r>
          <w:r>
            <w:t>21</w:t>
          </w:r>
          <w:r>
            <w:fldChar w:fldCharType="end"/>
          </w:r>
          <w:r>
            <w:fldChar w:fldCharType="end"/>
          </w:r>
        </w:p>
        <w:p w14:paraId="60B11990">
          <w:pPr>
            <w:pStyle w:val="6"/>
            <w:tabs>
              <w:tab w:val="right" w:leader="dot" w:pos="8306"/>
            </w:tabs>
          </w:pPr>
          <w:r>
            <w:fldChar w:fldCharType="begin"/>
          </w:r>
          <w:r>
            <w:instrText xml:space="preserve"> HYPERLINK \l _Toc3108 </w:instrText>
          </w:r>
          <w:r>
            <w:fldChar w:fldCharType="separate"/>
          </w:r>
          <w:r>
            <w:rPr>
              <w:rFonts w:hint="eastAsia" w:ascii="黑体" w:hAnsi="黑体" w:eastAsia="黑体"/>
              <w:szCs w:val="36"/>
              <w:lang w:eastAsia="zh-CN"/>
            </w:rPr>
            <w:t>2026年度单位预算情况说明</w:t>
          </w:r>
          <w:r>
            <w:tab/>
          </w:r>
          <w:r>
            <w:fldChar w:fldCharType="begin"/>
          </w:r>
          <w:r>
            <w:instrText xml:space="preserve"> PAGEREF _Toc3108 \h </w:instrText>
          </w:r>
          <w:r>
            <w:fldChar w:fldCharType="separate"/>
          </w:r>
          <w:r>
            <w:t>21</w:t>
          </w:r>
          <w:r>
            <w:fldChar w:fldCharType="end"/>
          </w:r>
          <w:r>
            <w:fldChar w:fldCharType="end"/>
          </w:r>
        </w:p>
        <w:p w14:paraId="533E350E">
          <w:pPr>
            <w:pStyle w:val="7"/>
            <w:tabs>
              <w:tab w:val="right" w:leader="dot" w:pos="8306"/>
            </w:tabs>
          </w:pPr>
          <w:r>
            <w:fldChar w:fldCharType="begin"/>
          </w:r>
          <w:r>
            <w:instrText xml:space="preserve"> HYPERLINK \l _Toc22367 </w:instrText>
          </w:r>
          <w:r>
            <w:fldChar w:fldCharType="separate"/>
          </w:r>
          <w:r>
            <w:rPr>
              <w:rFonts w:hint="eastAsia" w:ascii="黑体" w:hAnsi="黑体" w:eastAsia="黑体"/>
              <w:szCs w:val="32"/>
            </w:rPr>
            <w:t>一、预算收支总体情况</w:t>
          </w:r>
          <w:r>
            <w:tab/>
          </w:r>
          <w:r>
            <w:fldChar w:fldCharType="begin"/>
          </w:r>
          <w:r>
            <w:instrText xml:space="preserve"> PAGEREF _Toc22367 \h </w:instrText>
          </w:r>
          <w:r>
            <w:fldChar w:fldCharType="separate"/>
          </w:r>
          <w:r>
            <w:t>22</w:t>
          </w:r>
          <w:r>
            <w:fldChar w:fldCharType="end"/>
          </w:r>
          <w:r>
            <w:fldChar w:fldCharType="end"/>
          </w:r>
        </w:p>
        <w:p w14:paraId="199F970B">
          <w:pPr>
            <w:pStyle w:val="7"/>
            <w:tabs>
              <w:tab w:val="right" w:leader="dot" w:pos="8306"/>
            </w:tabs>
          </w:pPr>
          <w:r>
            <w:fldChar w:fldCharType="begin"/>
          </w:r>
          <w:r>
            <w:instrText xml:space="preserve"> HYPERLINK \l _Toc392 </w:instrText>
          </w:r>
          <w:r>
            <w:fldChar w:fldCharType="separate"/>
          </w:r>
          <w:r>
            <w:rPr>
              <w:rFonts w:hint="eastAsia" w:ascii="黑体" w:hAnsi="黑体" w:eastAsia="黑体"/>
              <w:szCs w:val="32"/>
            </w:rPr>
            <w:t>二、一般公共预算拨款支出情况</w:t>
          </w:r>
          <w:r>
            <w:tab/>
          </w:r>
          <w:r>
            <w:fldChar w:fldCharType="begin"/>
          </w:r>
          <w:r>
            <w:instrText xml:space="preserve"> PAGEREF _Toc392 \h </w:instrText>
          </w:r>
          <w:r>
            <w:fldChar w:fldCharType="separate"/>
          </w:r>
          <w:r>
            <w:t>22</w:t>
          </w:r>
          <w:r>
            <w:fldChar w:fldCharType="end"/>
          </w:r>
          <w:r>
            <w:fldChar w:fldCharType="end"/>
          </w:r>
        </w:p>
        <w:p w14:paraId="631BDBE2">
          <w:pPr>
            <w:pStyle w:val="7"/>
            <w:tabs>
              <w:tab w:val="right" w:leader="dot" w:pos="8306"/>
            </w:tabs>
          </w:pPr>
          <w:r>
            <w:fldChar w:fldCharType="begin"/>
          </w:r>
          <w:r>
            <w:instrText xml:space="preserve"> HYPERLINK \l _Toc22963 </w:instrText>
          </w:r>
          <w:r>
            <w:fldChar w:fldCharType="separate"/>
          </w:r>
          <w:r>
            <w:rPr>
              <w:rFonts w:hint="eastAsia" w:ascii="黑体" w:hAnsi="黑体" w:eastAsia="黑体"/>
              <w:szCs w:val="32"/>
            </w:rPr>
            <w:t>三、政府性基金预算拨款支出情况</w:t>
          </w:r>
          <w:r>
            <w:tab/>
          </w:r>
          <w:r>
            <w:fldChar w:fldCharType="begin"/>
          </w:r>
          <w:r>
            <w:instrText xml:space="preserve"> PAGEREF _Toc22963 \h </w:instrText>
          </w:r>
          <w:r>
            <w:fldChar w:fldCharType="separate"/>
          </w:r>
          <w:r>
            <w:t>23</w:t>
          </w:r>
          <w:r>
            <w:fldChar w:fldCharType="end"/>
          </w:r>
          <w:r>
            <w:fldChar w:fldCharType="end"/>
          </w:r>
        </w:p>
        <w:p w14:paraId="38343DDA">
          <w:pPr>
            <w:pStyle w:val="7"/>
            <w:tabs>
              <w:tab w:val="right" w:leader="dot" w:pos="8306"/>
            </w:tabs>
          </w:pPr>
          <w:r>
            <w:fldChar w:fldCharType="begin"/>
          </w:r>
          <w:r>
            <w:instrText xml:space="preserve"> HYPERLINK \l _Toc7857 </w:instrText>
          </w:r>
          <w:r>
            <w:fldChar w:fldCharType="separate"/>
          </w:r>
          <w:r>
            <w:rPr>
              <w:rFonts w:hint="eastAsia" w:ascii="黑体" w:hAnsi="黑体" w:eastAsia="黑体" w:cs="仿宋_GB2312"/>
              <w:bCs/>
              <w:szCs w:val="32"/>
            </w:rPr>
            <w:t>四、国有资本经营预算拨款支出情况</w:t>
          </w:r>
          <w:r>
            <w:tab/>
          </w:r>
          <w:r>
            <w:fldChar w:fldCharType="begin"/>
          </w:r>
          <w:r>
            <w:instrText xml:space="preserve"> PAGEREF _Toc7857 \h </w:instrText>
          </w:r>
          <w:r>
            <w:fldChar w:fldCharType="separate"/>
          </w:r>
          <w:r>
            <w:t>23</w:t>
          </w:r>
          <w:r>
            <w:fldChar w:fldCharType="end"/>
          </w:r>
          <w:r>
            <w:fldChar w:fldCharType="end"/>
          </w:r>
        </w:p>
        <w:p w14:paraId="5B9D5B0C">
          <w:pPr>
            <w:pStyle w:val="7"/>
            <w:tabs>
              <w:tab w:val="right" w:leader="dot" w:pos="8306"/>
            </w:tabs>
          </w:pPr>
          <w:r>
            <w:fldChar w:fldCharType="begin"/>
          </w:r>
          <w:r>
            <w:instrText xml:space="preserve"> HYPERLINK \l _Toc13034 </w:instrText>
          </w:r>
          <w:r>
            <w:fldChar w:fldCharType="separate"/>
          </w:r>
          <w:r>
            <w:rPr>
              <w:rFonts w:hint="eastAsia" w:ascii="黑体" w:hAnsi="黑体" w:eastAsia="黑体"/>
              <w:szCs w:val="32"/>
            </w:rPr>
            <w:t>五、一般公共预算拨款基本支出情况</w:t>
          </w:r>
          <w:r>
            <w:tab/>
          </w:r>
          <w:r>
            <w:fldChar w:fldCharType="begin"/>
          </w:r>
          <w:r>
            <w:instrText xml:space="preserve"> PAGEREF _Toc13034 \h </w:instrText>
          </w:r>
          <w:r>
            <w:fldChar w:fldCharType="separate"/>
          </w:r>
          <w:r>
            <w:t>23</w:t>
          </w:r>
          <w:r>
            <w:fldChar w:fldCharType="end"/>
          </w:r>
          <w:r>
            <w:fldChar w:fldCharType="end"/>
          </w:r>
        </w:p>
        <w:p w14:paraId="17C35EDF">
          <w:pPr>
            <w:pStyle w:val="7"/>
            <w:tabs>
              <w:tab w:val="right" w:leader="dot" w:pos="8306"/>
            </w:tabs>
          </w:pPr>
          <w:r>
            <w:fldChar w:fldCharType="begin"/>
          </w:r>
          <w:r>
            <w:instrText xml:space="preserve"> HYPERLINK \l _Toc10647 </w:instrText>
          </w:r>
          <w:r>
            <w:fldChar w:fldCharType="separate"/>
          </w:r>
          <w:r>
            <w:rPr>
              <w:rFonts w:hint="eastAsia" w:ascii="黑体" w:hAnsi="黑体" w:eastAsia="黑体"/>
              <w:szCs w:val="32"/>
            </w:rPr>
            <w:t>六、一般公共预算“三公”经费支出情况</w:t>
          </w:r>
          <w:r>
            <w:tab/>
          </w:r>
          <w:r>
            <w:fldChar w:fldCharType="begin"/>
          </w:r>
          <w:r>
            <w:instrText xml:space="preserve"> PAGEREF _Toc10647 \h </w:instrText>
          </w:r>
          <w:r>
            <w:fldChar w:fldCharType="separate"/>
          </w:r>
          <w:r>
            <w:t>24</w:t>
          </w:r>
          <w:r>
            <w:fldChar w:fldCharType="end"/>
          </w:r>
          <w:r>
            <w:fldChar w:fldCharType="end"/>
          </w:r>
        </w:p>
        <w:p w14:paraId="385990DD">
          <w:pPr>
            <w:pStyle w:val="7"/>
            <w:tabs>
              <w:tab w:val="right" w:leader="dot" w:pos="8306"/>
            </w:tabs>
          </w:pPr>
          <w:r>
            <w:fldChar w:fldCharType="begin"/>
          </w:r>
          <w:r>
            <w:instrText xml:space="preserve"> HYPERLINK \l _Toc21685 </w:instrText>
          </w:r>
          <w:r>
            <w:fldChar w:fldCharType="separate"/>
          </w:r>
          <w:r>
            <w:rPr>
              <w:rFonts w:hint="eastAsia" w:ascii="黑体" w:hAnsi="黑体" w:eastAsia="黑体"/>
              <w:szCs w:val="32"/>
            </w:rPr>
            <w:t>七、预算绩效目标情况</w:t>
          </w:r>
          <w:r>
            <w:tab/>
          </w:r>
          <w:r>
            <w:fldChar w:fldCharType="begin"/>
          </w:r>
          <w:r>
            <w:instrText xml:space="preserve"> PAGEREF _Toc21685 \h </w:instrText>
          </w:r>
          <w:r>
            <w:fldChar w:fldCharType="separate"/>
          </w:r>
          <w:r>
            <w:t>24</w:t>
          </w:r>
          <w:r>
            <w:fldChar w:fldCharType="end"/>
          </w:r>
          <w:r>
            <w:fldChar w:fldCharType="end"/>
          </w:r>
        </w:p>
        <w:p w14:paraId="18E71A2B">
          <w:pPr>
            <w:pStyle w:val="7"/>
            <w:tabs>
              <w:tab w:val="right" w:leader="dot" w:pos="8306"/>
            </w:tabs>
          </w:pPr>
          <w:r>
            <w:fldChar w:fldCharType="begin"/>
          </w:r>
          <w:r>
            <w:instrText xml:space="preserve"> HYPERLINK \l _Toc27224 </w:instrText>
          </w:r>
          <w:r>
            <w:fldChar w:fldCharType="separate"/>
          </w:r>
          <w:r>
            <w:rPr>
              <w:rFonts w:hint="eastAsia" w:ascii="黑体" w:hAnsi="黑体" w:eastAsia="黑体"/>
              <w:szCs w:val="32"/>
            </w:rPr>
            <w:t>八、其他重要事项说明</w:t>
          </w:r>
          <w:r>
            <w:tab/>
          </w:r>
          <w:r>
            <w:fldChar w:fldCharType="begin"/>
          </w:r>
          <w:r>
            <w:instrText xml:space="preserve"> PAGEREF _Toc27224 \h </w:instrText>
          </w:r>
          <w:r>
            <w:fldChar w:fldCharType="separate"/>
          </w:r>
          <w:r>
            <w:t>25</w:t>
          </w:r>
          <w:r>
            <w:fldChar w:fldCharType="end"/>
          </w:r>
          <w:r>
            <w:fldChar w:fldCharType="end"/>
          </w:r>
        </w:p>
        <w:p w14:paraId="52290BF3">
          <w:pPr>
            <w:pStyle w:val="6"/>
            <w:tabs>
              <w:tab w:val="right" w:leader="dot" w:pos="8306"/>
            </w:tabs>
          </w:pPr>
          <w:r>
            <w:fldChar w:fldCharType="begin"/>
          </w:r>
          <w:r>
            <w:instrText xml:space="preserve"> HYPERLINK \l _Toc22312 </w:instrText>
          </w:r>
          <w:r>
            <w:fldChar w:fldCharType="separate"/>
          </w:r>
          <w:r>
            <w:rPr>
              <w:rFonts w:hint="eastAsia" w:ascii="黑体" w:hAnsi="黑体" w:eastAsia="黑体"/>
            </w:rPr>
            <w:t>第四部分</w:t>
          </w:r>
          <w:r>
            <w:tab/>
          </w:r>
          <w:r>
            <w:fldChar w:fldCharType="begin"/>
          </w:r>
          <w:r>
            <w:instrText xml:space="preserve"> PAGEREF _Toc22312 \h </w:instrText>
          </w:r>
          <w:r>
            <w:fldChar w:fldCharType="separate"/>
          </w:r>
          <w:r>
            <w:t>27</w:t>
          </w:r>
          <w:r>
            <w:fldChar w:fldCharType="end"/>
          </w:r>
          <w:r>
            <w:fldChar w:fldCharType="end"/>
          </w:r>
        </w:p>
        <w:p w14:paraId="7D60BBE6">
          <w:pPr>
            <w:pStyle w:val="6"/>
            <w:tabs>
              <w:tab w:val="right" w:leader="dot" w:pos="8306"/>
            </w:tabs>
          </w:pPr>
          <w:r>
            <w:fldChar w:fldCharType="begin"/>
          </w:r>
          <w:r>
            <w:instrText xml:space="preserve"> HYPERLINK \l _Toc28542 </w:instrText>
          </w:r>
          <w:r>
            <w:fldChar w:fldCharType="separate"/>
          </w:r>
          <w:r>
            <w:rPr>
              <w:rFonts w:hint="eastAsia" w:ascii="黑体" w:hAnsi="黑体" w:eastAsia="黑体"/>
            </w:rPr>
            <w:t>名词解释</w:t>
          </w:r>
          <w:r>
            <w:tab/>
          </w:r>
          <w:r>
            <w:fldChar w:fldCharType="begin"/>
          </w:r>
          <w:r>
            <w:instrText xml:space="preserve"> PAGEREF _Toc28542 \h </w:instrText>
          </w:r>
          <w:r>
            <w:fldChar w:fldCharType="separate"/>
          </w:r>
          <w:r>
            <w:t>27</w:t>
          </w:r>
          <w:r>
            <w:fldChar w:fldCharType="end"/>
          </w:r>
          <w:r>
            <w:fldChar w:fldCharType="end"/>
          </w:r>
        </w:p>
        <w:p w14:paraId="56449901">
          <w:r>
            <w:fldChar w:fldCharType="end"/>
          </w:r>
        </w:p>
      </w:sdtContent>
    </w:sdt>
    <w:p w14:paraId="2BD9C10F"/>
    <w:p w14:paraId="7C19B125">
      <w:pPr>
        <w:pStyle w:val="2"/>
        <w:jc w:val="center"/>
        <w:rPr>
          <w:rFonts w:ascii="黑体" w:hAnsi="黑体" w:eastAsia="黑体"/>
          <w:sz w:val="36"/>
          <w:szCs w:val="36"/>
          <w:lang w:eastAsia="zh-CN"/>
        </w:rPr>
      </w:pPr>
    </w:p>
    <w:p w14:paraId="10C1E849">
      <w:pPr>
        <w:pStyle w:val="2"/>
        <w:jc w:val="center"/>
        <w:rPr>
          <w:rFonts w:ascii="黑体" w:hAnsi="黑体" w:eastAsia="黑体"/>
          <w:sz w:val="36"/>
          <w:szCs w:val="36"/>
          <w:lang w:eastAsia="zh-CN"/>
        </w:rPr>
      </w:pPr>
    </w:p>
    <w:p w14:paraId="0C17D571">
      <w:pPr>
        <w:pStyle w:val="2"/>
        <w:jc w:val="center"/>
        <w:rPr>
          <w:rFonts w:ascii="黑体" w:hAnsi="黑体" w:eastAsia="黑体"/>
          <w:sz w:val="36"/>
          <w:szCs w:val="36"/>
          <w:lang w:eastAsia="zh-CN"/>
        </w:rPr>
      </w:pPr>
    </w:p>
    <w:p w14:paraId="73383000">
      <w:pPr>
        <w:pStyle w:val="2"/>
        <w:jc w:val="center"/>
        <w:rPr>
          <w:rFonts w:ascii="黑体" w:hAnsi="黑体" w:eastAsia="黑体"/>
          <w:sz w:val="36"/>
          <w:szCs w:val="36"/>
          <w:lang w:eastAsia="zh-CN"/>
        </w:rPr>
      </w:pPr>
    </w:p>
    <w:p w14:paraId="4CF9825F">
      <w:pPr>
        <w:pStyle w:val="2"/>
        <w:jc w:val="center"/>
        <w:rPr>
          <w:rFonts w:ascii="黑体" w:hAnsi="黑体" w:eastAsia="黑体"/>
          <w:sz w:val="36"/>
          <w:szCs w:val="36"/>
          <w:lang w:eastAsia="zh-CN"/>
        </w:rPr>
      </w:pPr>
    </w:p>
    <w:p w14:paraId="2A90BC64">
      <w:pPr>
        <w:pStyle w:val="2"/>
        <w:jc w:val="center"/>
        <w:rPr>
          <w:rFonts w:ascii="黑体" w:hAnsi="黑体" w:eastAsia="黑体"/>
          <w:sz w:val="36"/>
          <w:szCs w:val="36"/>
          <w:lang w:eastAsia="zh-CN"/>
        </w:rPr>
      </w:pPr>
    </w:p>
    <w:p w14:paraId="3D124C72">
      <w:pPr>
        <w:pStyle w:val="2"/>
        <w:jc w:val="center"/>
        <w:rPr>
          <w:rFonts w:ascii="黑体" w:hAnsi="黑体" w:eastAsia="黑体"/>
          <w:sz w:val="36"/>
          <w:szCs w:val="36"/>
          <w:lang w:eastAsia="zh-CN"/>
        </w:rPr>
      </w:pPr>
    </w:p>
    <w:p w14:paraId="5F79BD59">
      <w:pPr>
        <w:pStyle w:val="2"/>
        <w:jc w:val="center"/>
        <w:rPr>
          <w:rFonts w:ascii="黑体" w:hAnsi="黑体" w:eastAsia="黑体"/>
          <w:sz w:val="36"/>
          <w:szCs w:val="36"/>
          <w:lang w:eastAsia="zh-CN"/>
        </w:rPr>
      </w:pPr>
    </w:p>
    <w:p w14:paraId="487035A3">
      <w:pPr>
        <w:pStyle w:val="2"/>
        <w:outlineLvl w:val="0"/>
        <w:rPr>
          <w:rFonts w:ascii="黑体" w:hAnsi="黑体" w:eastAsia="黑体"/>
          <w:sz w:val="56"/>
          <w:szCs w:val="36"/>
          <w:lang w:eastAsia="zh-CN"/>
        </w:rPr>
      </w:pPr>
      <w:bookmarkStart w:id="0" w:name="_Toc2069"/>
      <w:r>
        <w:rPr>
          <w:rFonts w:hint="eastAsia" w:ascii="黑体" w:hAnsi="黑体" w:eastAsia="黑体"/>
          <w:sz w:val="56"/>
          <w:szCs w:val="36"/>
          <w:lang w:eastAsia="zh-CN"/>
        </w:rPr>
        <w:t>第一部分</w:t>
      </w:r>
      <w:bookmarkEnd w:id="0"/>
      <w:r>
        <w:rPr>
          <w:rFonts w:ascii="黑体" w:hAnsi="黑体" w:eastAsia="黑体"/>
          <w:sz w:val="56"/>
          <w:szCs w:val="36"/>
          <w:lang w:eastAsia="zh-CN"/>
        </w:rPr>
        <w:t xml:space="preserve"> </w:t>
      </w:r>
    </w:p>
    <w:p w14:paraId="225CCD6D">
      <w:pPr>
        <w:pStyle w:val="2"/>
        <w:jc w:val="center"/>
        <w:outlineLvl w:val="0"/>
        <w:rPr>
          <w:rFonts w:ascii="黑体" w:hAnsi="黑体" w:eastAsia="黑体"/>
          <w:sz w:val="56"/>
          <w:szCs w:val="36"/>
          <w:lang w:eastAsia="zh-CN"/>
        </w:rPr>
      </w:pPr>
      <w:bookmarkStart w:id="1" w:name="_Toc6948"/>
      <w:r>
        <w:rPr>
          <w:rFonts w:hint="eastAsia" w:ascii="黑体" w:hAnsi="黑体" w:eastAsia="黑体"/>
          <w:sz w:val="56"/>
          <w:szCs w:val="36"/>
          <w:lang w:eastAsia="zh-CN"/>
        </w:rPr>
        <w:t>单位概况</w:t>
      </w:r>
      <w:bookmarkEnd w:id="1"/>
    </w:p>
    <w:p w14:paraId="4F079B29">
      <w:pPr>
        <w:pStyle w:val="2"/>
        <w:rPr>
          <w:rFonts w:ascii="黑体" w:hAnsi="黑体" w:eastAsia="黑体"/>
          <w:sz w:val="36"/>
          <w:szCs w:val="36"/>
          <w:lang w:eastAsia="zh-CN"/>
        </w:rPr>
      </w:pPr>
    </w:p>
    <w:p w14:paraId="1E74947D">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5BCC2018">
      <w:pPr>
        <w:pStyle w:val="2"/>
        <w:ind w:firstLine="640" w:firstLineChars="200"/>
        <w:outlineLvl w:val="1"/>
        <w:rPr>
          <w:rFonts w:ascii="黑体" w:hAnsi="黑体" w:eastAsia="黑体" w:cstheme="minorBidi"/>
          <w:kern w:val="2"/>
          <w:sz w:val="32"/>
          <w:szCs w:val="32"/>
          <w:lang w:eastAsia="zh-CN"/>
        </w:rPr>
      </w:pPr>
      <w:bookmarkStart w:id="2" w:name="_Toc21854"/>
      <w:r>
        <w:rPr>
          <w:rFonts w:hint="eastAsia" w:ascii="黑体" w:hAnsi="黑体" w:eastAsia="黑体" w:cstheme="minorBidi"/>
          <w:kern w:val="2"/>
          <w:sz w:val="32"/>
          <w:szCs w:val="32"/>
          <w:lang w:eastAsia="zh-CN"/>
        </w:rPr>
        <w:t>一、单位主要职责</w:t>
      </w:r>
      <w:bookmarkEnd w:id="2"/>
    </w:p>
    <w:p w14:paraId="0A63D83B">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漳平市</w:t>
      </w:r>
      <w:r>
        <w:rPr>
          <w:rFonts w:hint="eastAsia" w:ascii="仿宋" w:hAnsi="仿宋" w:eastAsia="仿宋"/>
          <w:sz w:val="32"/>
          <w:szCs w:val="32"/>
          <w:lang w:eastAsia="zh-CN"/>
        </w:rPr>
        <w:t>双洋</w:t>
      </w:r>
      <w:r>
        <w:rPr>
          <w:rFonts w:hint="eastAsia" w:ascii="仿宋" w:hAnsi="仿宋" w:eastAsia="仿宋"/>
          <w:sz w:val="32"/>
          <w:szCs w:val="32"/>
        </w:rPr>
        <w:t>中心学校的主要职责是：教育教学秩序、教学质量和日常事务管理，小学学历教育。</w:t>
      </w:r>
    </w:p>
    <w:p w14:paraId="3A007712">
      <w:pPr>
        <w:pStyle w:val="2"/>
        <w:ind w:firstLine="640" w:firstLineChars="200"/>
        <w:outlineLvl w:val="1"/>
        <w:rPr>
          <w:rFonts w:ascii="黑体" w:hAnsi="黑体" w:eastAsia="黑体" w:cstheme="minorBidi"/>
          <w:kern w:val="2"/>
          <w:sz w:val="32"/>
          <w:szCs w:val="32"/>
          <w:lang w:eastAsia="zh-CN"/>
        </w:rPr>
      </w:pPr>
      <w:bookmarkStart w:id="3" w:name="_Toc28398"/>
      <w:r>
        <w:rPr>
          <w:rFonts w:hint="eastAsia" w:ascii="黑体" w:hAnsi="黑体" w:eastAsia="黑体" w:cstheme="minorBidi"/>
          <w:kern w:val="2"/>
          <w:sz w:val="32"/>
          <w:szCs w:val="32"/>
          <w:lang w:eastAsia="zh-CN"/>
        </w:rPr>
        <w:t>二、单位预算单位构成</w:t>
      </w:r>
      <w:bookmarkEnd w:id="3"/>
    </w:p>
    <w:p w14:paraId="19E02536">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rPr>
        <w:t>2026</w:t>
      </w:r>
      <w:r>
        <w:rPr>
          <w:rFonts w:hint="eastAsia" w:ascii="仿宋" w:hAnsi="仿宋" w:eastAsia="仿宋"/>
          <w:sz w:val="32"/>
          <w:szCs w:val="32"/>
        </w:rPr>
        <w:t>年单位预算编制范围的单位详细情况见下表：</w:t>
      </w:r>
    </w:p>
    <w:tbl>
      <w:tblPr>
        <w:tblStyle w:val="8"/>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04AC6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4D001693">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2A5BB79B">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6F00C10C">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4B75B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778800F6">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漳平市</w:t>
            </w:r>
            <w:r>
              <w:rPr>
                <w:rFonts w:hint="eastAsia" w:ascii="仿宋" w:hAnsi="仿宋" w:eastAsia="仿宋"/>
                <w:sz w:val="32"/>
                <w:szCs w:val="32"/>
                <w:lang w:eastAsia="zh-CN"/>
              </w:rPr>
              <w:t>双洋</w:t>
            </w:r>
            <w:r>
              <w:rPr>
                <w:rFonts w:hint="eastAsia" w:ascii="仿宋" w:hAnsi="仿宋" w:eastAsia="仿宋"/>
                <w:sz w:val="32"/>
                <w:szCs w:val="32"/>
              </w:rPr>
              <w:t>中心学校</w:t>
            </w:r>
          </w:p>
        </w:tc>
        <w:tc>
          <w:tcPr>
            <w:tcW w:w="1559" w:type="dxa"/>
            <w:shd w:val="clear" w:color="auto" w:fill="auto"/>
          </w:tcPr>
          <w:p w14:paraId="65ED1BE5">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财政核拨</w:t>
            </w:r>
          </w:p>
        </w:tc>
        <w:tc>
          <w:tcPr>
            <w:tcW w:w="1559" w:type="dxa"/>
          </w:tcPr>
          <w:p w14:paraId="54DF6C27">
            <w:pPr>
              <w:tabs>
                <w:tab w:val="left" w:pos="7513"/>
              </w:tabs>
              <w:adjustRightInd w:val="0"/>
              <w:snapToGrid w:val="0"/>
              <w:spacing w:line="600" w:lineRule="exact"/>
              <w:jc w:val="center"/>
              <w:rPr>
                <w:rFonts w:hint="default" w:ascii="仿宋" w:hAnsi="仿宋" w:eastAsia="仿宋"/>
                <w:sz w:val="32"/>
                <w:szCs w:val="32"/>
                <w:lang w:val="en-US" w:eastAsia="zh-CN"/>
              </w:rPr>
            </w:pPr>
            <w:r>
              <w:rPr>
                <w:rFonts w:hint="eastAsia" w:ascii="仿宋" w:hAnsi="仿宋" w:eastAsia="仿宋"/>
                <w:sz w:val="32"/>
                <w:szCs w:val="32"/>
                <w:lang w:val="en-US" w:eastAsia="zh-CN"/>
              </w:rPr>
              <w:t>29</w:t>
            </w:r>
          </w:p>
        </w:tc>
      </w:tr>
    </w:tbl>
    <w:p w14:paraId="09AD03FD">
      <w:pPr>
        <w:tabs>
          <w:tab w:val="left" w:pos="7513"/>
        </w:tabs>
        <w:adjustRightInd w:val="0"/>
        <w:snapToGrid w:val="0"/>
        <w:spacing w:line="600" w:lineRule="exact"/>
        <w:outlineLvl w:val="1"/>
        <w:rPr>
          <w:rFonts w:ascii="黑体" w:hAnsi="黑体" w:eastAsia="黑体"/>
          <w:sz w:val="32"/>
          <w:szCs w:val="32"/>
        </w:rPr>
      </w:pPr>
      <w:bookmarkStart w:id="4" w:name="_Toc8756"/>
      <w:r>
        <w:rPr>
          <w:rFonts w:hint="eastAsia" w:ascii="黑体" w:hAnsi="黑体" w:eastAsia="黑体"/>
          <w:sz w:val="32"/>
          <w:szCs w:val="32"/>
        </w:rPr>
        <w:t>三、单位主要工作任务</w:t>
      </w:r>
      <w:bookmarkEnd w:id="4"/>
    </w:p>
    <w:p w14:paraId="3E59A1F5">
      <w:pPr>
        <w:tabs>
          <w:tab w:val="left" w:pos="7513"/>
        </w:tabs>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cs="仿宋_GB2312"/>
          <w:sz w:val="32"/>
          <w:szCs w:val="32"/>
        </w:rPr>
        <w:t>2026</w:t>
      </w:r>
      <w:r>
        <w:rPr>
          <w:rFonts w:hint="eastAsia" w:ascii="仿宋" w:hAnsi="仿宋" w:eastAsia="仿宋"/>
          <w:sz w:val="32"/>
          <w:szCs w:val="32"/>
        </w:rPr>
        <w:t>年，</w:t>
      </w:r>
      <w:r>
        <w:rPr>
          <w:rFonts w:hint="eastAsia" w:ascii="仿宋" w:hAnsi="仿宋" w:eastAsia="仿宋" w:cs="仿宋_GB2312"/>
          <w:sz w:val="32"/>
          <w:szCs w:val="32"/>
        </w:rPr>
        <w:t>漳平市</w:t>
      </w:r>
      <w:r>
        <w:rPr>
          <w:rFonts w:hint="eastAsia" w:ascii="仿宋" w:hAnsi="仿宋" w:eastAsia="仿宋" w:cs="仿宋_GB2312"/>
          <w:sz w:val="32"/>
          <w:szCs w:val="32"/>
          <w:lang w:eastAsia="zh-CN"/>
        </w:rPr>
        <w:t>双洋</w:t>
      </w:r>
      <w:r>
        <w:rPr>
          <w:rFonts w:hint="eastAsia" w:ascii="仿宋" w:hAnsi="仿宋" w:eastAsia="仿宋" w:cs="仿宋_GB2312"/>
          <w:sz w:val="32"/>
          <w:szCs w:val="32"/>
        </w:rPr>
        <w:t>中心学校</w:t>
      </w:r>
      <w:r>
        <w:rPr>
          <w:rFonts w:hint="eastAsia" w:ascii="仿宋" w:hAnsi="仿宋" w:eastAsia="仿宋"/>
          <w:sz w:val="32"/>
          <w:szCs w:val="32"/>
        </w:rPr>
        <w:t>主要任务是：</w:t>
      </w:r>
      <w:r>
        <w:rPr>
          <w:rFonts w:hint="eastAsia" w:ascii="仿宋" w:hAnsi="仿宋" w:eastAsia="仿宋" w:cs="仿宋_GB2312"/>
          <w:sz w:val="32"/>
          <w:szCs w:val="32"/>
        </w:rPr>
        <w:t>进一步贯彻实施国家、省、龙岩市和漳平市中长期教育改革与发展规划纲要，以巩固“义教均衡”已经通过国家级验收的成果，坚持“两项督导”为导向，认真依法治教，尊重教育规律，推进素质教育，进一步夯实基础、提升内涵，提高办学水平和教育质量，办好人民满意的教育。</w:t>
      </w:r>
      <w:r>
        <w:rPr>
          <w:rFonts w:hint="eastAsia" w:ascii="仿宋" w:hAnsi="仿宋" w:eastAsia="仿宋"/>
          <w:sz w:val="32"/>
          <w:szCs w:val="32"/>
        </w:rPr>
        <w:t>围绕上述任务，重点抓好以下工作：</w:t>
      </w:r>
    </w:p>
    <w:p w14:paraId="34DCD064">
      <w:pPr>
        <w:tabs>
          <w:tab w:val="left" w:pos="7513"/>
        </w:tabs>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（一）夯实教育基础，促进均衡发展。积极做好福建省县域义务教育发展基本均衡督导评估和龙岩市是对乡镇的教育督导、评估相关工作。</w:t>
      </w:r>
    </w:p>
    <w:p w14:paraId="3884F1AC">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（二）</w:t>
      </w:r>
      <w:r>
        <w:rPr>
          <w:rFonts w:hint="eastAsia" w:ascii="仿宋" w:hAnsi="仿宋" w:eastAsia="仿宋" w:cs="仿宋_GB2312"/>
          <w:sz w:val="32"/>
          <w:szCs w:val="32"/>
        </w:rPr>
        <w:t>注重内涵发展，创建特色学校。学校工作始终坚持以德育为核心，坚持传承民族文化、民族精神，坚持“学校无小事，事事都育人”的原则，坚持以爱国主义、养成教育、法制教育、传统美德教育、环保教育等为主要内容，以各类活动为契机，融人生观、价值观的形成于鲜活的实践中。</w:t>
      </w:r>
    </w:p>
    <w:p w14:paraId="08D76EEC">
      <w:pPr>
        <w:spacing w:line="600" w:lineRule="exact"/>
        <w:ind w:firstLine="640" w:firstLineChars="200"/>
        <w:rPr>
          <w:rFonts w:ascii="仿宋" w:hAnsi="仿宋" w:eastAsia="仿宋" w:cs="仿宋_GB2312"/>
          <w:szCs w:val="32"/>
        </w:rPr>
      </w:pPr>
      <w:r>
        <w:rPr>
          <w:rFonts w:hint="eastAsia" w:ascii="仿宋" w:hAnsi="仿宋" w:eastAsia="仿宋"/>
          <w:sz w:val="32"/>
          <w:szCs w:val="32"/>
        </w:rPr>
        <w:t>（三）</w:t>
      </w:r>
      <w:r>
        <w:rPr>
          <w:rFonts w:ascii="仿宋" w:hAnsi="仿宋" w:eastAsia="仿宋" w:cs="仿宋_GB2312"/>
          <w:sz w:val="32"/>
          <w:szCs w:val="32"/>
        </w:rPr>
        <w:t>践行精细管理，规范办学行为。严格执行国家课程计划，开齐上足教好各门课程。不断完善教学五认真工作规范，教导处根据相关意见定期对教师的教学五认真工作进行检查、指导与反馈。不断健全校本教研管理制度，重视教研组团队建设，校本教研活动有序开展。</w:t>
      </w:r>
    </w:p>
    <w:p w14:paraId="05356FE7">
      <w:pPr>
        <w:ind w:firstLine="640" w:firstLineChars="200"/>
        <w:rPr>
          <w:rFonts w:ascii="仿宋" w:hAnsi="仿宋" w:eastAsia="仿宋" w:cs="仿宋_GB2312"/>
          <w:sz w:val="32"/>
          <w:szCs w:val="32"/>
        </w:rPr>
      </w:pPr>
    </w:p>
    <w:p w14:paraId="7D462695">
      <w:pPr>
        <w:pStyle w:val="2"/>
        <w:jc w:val="center"/>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p>
    <w:p w14:paraId="63E67325">
      <w:pPr>
        <w:pStyle w:val="2"/>
        <w:jc w:val="center"/>
        <w:rPr>
          <w:rFonts w:ascii="黑体" w:hAnsi="黑体" w:eastAsia="黑体"/>
          <w:sz w:val="36"/>
          <w:szCs w:val="36"/>
          <w:lang w:eastAsia="zh-CN"/>
        </w:rPr>
      </w:pPr>
    </w:p>
    <w:p w14:paraId="752F9825">
      <w:pPr>
        <w:pStyle w:val="2"/>
        <w:jc w:val="center"/>
        <w:rPr>
          <w:rFonts w:ascii="黑体" w:hAnsi="黑体" w:eastAsia="黑体"/>
          <w:sz w:val="36"/>
          <w:szCs w:val="36"/>
          <w:lang w:eastAsia="zh-CN"/>
        </w:rPr>
      </w:pPr>
    </w:p>
    <w:p w14:paraId="601C0BD9">
      <w:pPr>
        <w:pStyle w:val="2"/>
        <w:jc w:val="center"/>
        <w:rPr>
          <w:rFonts w:ascii="黑体" w:hAnsi="黑体" w:eastAsia="黑体"/>
          <w:sz w:val="36"/>
          <w:szCs w:val="36"/>
          <w:lang w:eastAsia="zh-CN"/>
        </w:rPr>
      </w:pPr>
    </w:p>
    <w:p w14:paraId="075E89B0">
      <w:pPr>
        <w:pStyle w:val="2"/>
        <w:jc w:val="center"/>
        <w:rPr>
          <w:rFonts w:ascii="黑体" w:hAnsi="黑体" w:eastAsia="黑体"/>
          <w:sz w:val="36"/>
          <w:szCs w:val="36"/>
          <w:lang w:eastAsia="zh-CN"/>
        </w:rPr>
      </w:pPr>
    </w:p>
    <w:p w14:paraId="1F4BF9E4">
      <w:pPr>
        <w:pStyle w:val="2"/>
        <w:jc w:val="center"/>
        <w:rPr>
          <w:rFonts w:ascii="黑体" w:hAnsi="黑体" w:eastAsia="黑体"/>
          <w:sz w:val="36"/>
          <w:szCs w:val="36"/>
          <w:lang w:eastAsia="zh-CN"/>
        </w:rPr>
      </w:pPr>
    </w:p>
    <w:p w14:paraId="68BA6123">
      <w:pPr>
        <w:pStyle w:val="2"/>
        <w:jc w:val="center"/>
        <w:rPr>
          <w:rFonts w:ascii="黑体" w:hAnsi="黑体" w:eastAsia="黑体"/>
          <w:sz w:val="36"/>
          <w:szCs w:val="36"/>
          <w:lang w:eastAsia="zh-CN"/>
        </w:rPr>
      </w:pPr>
    </w:p>
    <w:p w14:paraId="4F837F6A">
      <w:pPr>
        <w:pStyle w:val="2"/>
        <w:jc w:val="center"/>
        <w:rPr>
          <w:rFonts w:ascii="黑体" w:hAnsi="黑体" w:eastAsia="黑体"/>
          <w:sz w:val="36"/>
          <w:szCs w:val="36"/>
          <w:lang w:eastAsia="zh-CN"/>
        </w:rPr>
      </w:pPr>
    </w:p>
    <w:p w14:paraId="27CB5693">
      <w:pPr>
        <w:pStyle w:val="2"/>
        <w:jc w:val="center"/>
        <w:rPr>
          <w:rFonts w:ascii="黑体" w:hAnsi="黑体" w:eastAsia="黑体"/>
          <w:sz w:val="36"/>
          <w:szCs w:val="36"/>
          <w:lang w:eastAsia="zh-CN"/>
        </w:rPr>
      </w:pPr>
    </w:p>
    <w:p w14:paraId="4F63182A">
      <w:pPr>
        <w:pStyle w:val="2"/>
        <w:outlineLvl w:val="0"/>
        <w:rPr>
          <w:rFonts w:ascii="黑体" w:hAnsi="黑体" w:eastAsia="黑体"/>
          <w:sz w:val="56"/>
          <w:szCs w:val="36"/>
          <w:lang w:eastAsia="zh-CN"/>
        </w:rPr>
      </w:pPr>
      <w:bookmarkStart w:id="5" w:name="_Toc15988"/>
      <w:r>
        <w:rPr>
          <w:rFonts w:hint="eastAsia" w:ascii="黑体" w:hAnsi="黑体" w:eastAsia="黑体"/>
          <w:sz w:val="56"/>
          <w:szCs w:val="36"/>
          <w:lang w:eastAsia="zh-CN"/>
        </w:rPr>
        <w:t>第二部分</w:t>
      </w:r>
      <w:bookmarkEnd w:id="5"/>
      <w:r>
        <w:rPr>
          <w:rFonts w:ascii="黑体" w:hAnsi="黑体" w:eastAsia="黑体"/>
          <w:sz w:val="56"/>
          <w:szCs w:val="36"/>
          <w:lang w:eastAsia="zh-CN"/>
        </w:rPr>
        <w:t xml:space="preserve"> </w:t>
      </w:r>
    </w:p>
    <w:p w14:paraId="2639B31D">
      <w:pPr>
        <w:pStyle w:val="2"/>
        <w:jc w:val="center"/>
        <w:outlineLvl w:val="0"/>
        <w:rPr>
          <w:rFonts w:ascii="黑体" w:hAnsi="黑体" w:eastAsia="黑体"/>
          <w:sz w:val="56"/>
          <w:szCs w:val="36"/>
          <w:lang w:eastAsia="zh-CN"/>
        </w:rPr>
      </w:pPr>
      <w:bookmarkStart w:id="6" w:name="_Toc26030"/>
      <w:r>
        <w:rPr>
          <w:rFonts w:hint="eastAsia" w:ascii="黑体" w:hAnsi="黑体" w:eastAsia="黑体"/>
          <w:sz w:val="56"/>
          <w:szCs w:val="36"/>
          <w:lang w:eastAsia="zh-CN"/>
        </w:rPr>
        <w:t>2026年度单位预算表</w:t>
      </w:r>
      <w:bookmarkEnd w:id="6"/>
    </w:p>
    <w:p w14:paraId="2637993B">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1B88AAC0">
      <w:pPr>
        <w:tabs>
          <w:tab w:val="left" w:pos="7513"/>
        </w:tabs>
        <w:adjustRightInd w:val="0"/>
        <w:snapToGrid w:val="0"/>
        <w:spacing w:line="600" w:lineRule="exact"/>
        <w:outlineLvl w:val="1"/>
        <w:rPr>
          <w:rFonts w:ascii="楷体" w:hAnsi="楷体" w:eastAsia="楷体"/>
          <w:sz w:val="28"/>
          <w:szCs w:val="28"/>
        </w:rPr>
      </w:pPr>
      <w:bookmarkStart w:id="7" w:name="_Toc24960"/>
      <w:r>
        <w:rPr>
          <w:rFonts w:hint="eastAsia" w:ascii="黑体" w:hAnsi="黑体" w:eastAsia="黑体"/>
          <w:sz w:val="32"/>
          <w:szCs w:val="32"/>
        </w:rPr>
        <w:t>一、收支预算总表</w:t>
      </w:r>
      <w:bookmarkEnd w:id="7"/>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272F75C9">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604ECB86">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479C8DD5">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552FBFE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6A11DC20">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CF1898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33335A1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0584BC4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3F865E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2C265FB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4992B6E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37DE3E7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54DD222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473691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3906EA00">
            <w:pPr>
              <w:jc w:val="right"/>
              <w:rPr>
                <w:rFonts w:ascii="宋体" w:hAnsi="宋体" w:eastAsia="宋体" w:cs="宋体"/>
                <w:sz w:val="18"/>
                <w:szCs w:val="18"/>
              </w:rPr>
            </w:pPr>
            <w:r>
              <w:rPr>
                <w:rFonts w:hint="eastAsia" w:ascii="宋体" w:hAnsi="宋体" w:eastAsia="宋体" w:cs="宋体"/>
                <w:kern w:val="0"/>
                <w:sz w:val="18"/>
                <w:szCs w:val="18"/>
                <w:lang w:val="en-US" w:eastAsia="zh-CN"/>
              </w:rPr>
              <w:t>492.82</w:t>
            </w: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4067B02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3645ED2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45A4E7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F09D49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0E38BE2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F81FE5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17A89E7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04B6D6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5DA883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1DCF0E6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A5AA5E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357C1C53">
            <w:pPr>
              <w:widowControl/>
              <w:spacing w:line="240" w:lineRule="auto"/>
              <w:jc w:val="right"/>
              <w:rPr>
                <w:rFonts w:ascii="宋体" w:hAnsi="宋体" w:eastAsia="宋体" w:cs="宋体"/>
                <w:kern w:val="0"/>
                <w:sz w:val="18"/>
                <w:szCs w:val="18"/>
              </w:rPr>
            </w:pPr>
          </w:p>
        </w:tc>
      </w:tr>
      <w:tr w14:paraId="2666726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45234B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4F4F252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E89C26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4417A41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0350FD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53511C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30DE9D5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648C7BC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5E2F628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val="en-US" w:eastAsia="zh-CN"/>
              </w:rPr>
              <w:t>492.82</w:t>
            </w:r>
            <w:r>
              <w:rPr>
                <w:rFonts w:hint="eastAsia" w:ascii="宋体" w:hAnsi="宋体" w:eastAsia="宋体" w:cs="宋体"/>
                <w:kern w:val="0"/>
                <w:sz w:val="18"/>
                <w:szCs w:val="18"/>
              </w:rPr>
              <w:t>　</w:t>
            </w:r>
          </w:p>
        </w:tc>
      </w:tr>
      <w:tr w14:paraId="32B0D9F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E719D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04FA150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CDD7E6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64EAF20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D6C6DB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D8847A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21177A2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30922D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26E5E07F">
            <w:pPr>
              <w:widowControl/>
              <w:spacing w:line="240" w:lineRule="auto"/>
              <w:jc w:val="right"/>
              <w:rPr>
                <w:rFonts w:ascii="宋体" w:hAnsi="宋体" w:eastAsia="宋体" w:cs="宋体"/>
                <w:kern w:val="0"/>
                <w:sz w:val="18"/>
                <w:szCs w:val="18"/>
              </w:rPr>
            </w:pPr>
          </w:p>
        </w:tc>
      </w:tr>
      <w:tr w14:paraId="3084782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EEE4AE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420FBDB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B33FDE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00369C93">
            <w:pPr>
              <w:widowControl/>
              <w:spacing w:line="240" w:lineRule="auto"/>
              <w:jc w:val="right"/>
              <w:rPr>
                <w:rFonts w:ascii="宋体" w:hAnsi="宋体" w:eastAsia="宋体" w:cs="宋体"/>
                <w:kern w:val="0"/>
                <w:sz w:val="18"/>
                <w:szCs w:val="18"/>
              </w:rPr>
            </w:pPr>
          </w:p>
        </w:tc>
      </w:tr>
      <w:tr w14:paraId="2E4182D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71EBC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555355A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465681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54FE191A">
            <w:pPr>
              <w:widowControl/>
              <w:spacing w:line="240" w:lineRule="auto"/>
              <w:jc w:val="right"/>
              <w:rPr>
                <w:rFonts w:ascii="宋体" w:hAnsi="宋体" w:eastAsia="宋体" w:cs="宋体"/>
                <w:kern w:val="0"/>
                <w:sz w:val="18"/>
                <w:szCs w:val="18"/>
              </w:rPr>
            </w:pPr>
          </w:p>
        </w:tc>
      </w:tr>
      <w:tr w14:paraId="60EDF0B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807D3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462E54F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33FE84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25B0C5BA">
            <w:pPr>
              <w:widowControl/>
              <w:spacing w:line="240" w:lineRule="auto"/>
              <w:jc w:val="right"/>
              <w:rPr>
                <w:rFonts w:ascii="宋体" w:hAnsi="宋体" w:eastAsia="宋体" w:cs="宋体"/>
                <w:kern w:val="0"/>
                <w:sz w:val="18"/>
                <w:szCs w:val="18"/>
              </w:rPr>
            </w:pPr>
          </w:p>
        </w:tc>
      </w:tr>
      <w:tr w14:paraId="394E52D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1B4FCB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B1A5F4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2BE26F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766A5C0B">
            <w:pPr>
              <w:widowControl/>
              <w:spacing w:line="240" w:lineRule="auto"/>
              <w:jc w:val="right"/>
              <w:rPr>
                <w:rFonts w:ascii="宋体" w:hAnsi="宋体" w:eastAsia="宋体" w:cs="宋体"/>
                <w:kern w:val="0"/>
                <w:sz w:val="18"/>
                <w:szCs w:val="18"/>
              </w:rPr>
            </w:pPr>
          </w:p>
        </w:tc>
      </w:tr>
      <w:tr w14:paraId="2DE7C27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057C0A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0AC45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DB9CD2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7CEE2504">
            <w:pPr>
              <w:widowControl/>
              <w:spacing w:line="240" w:lineRule="auto"/>
              <w:jc w:val="right"/>
              <w:rPr>
                <w:rFonts w:ascii="宋体" w:hAnsi="宋体" w:eastAsia="宋体" w:cs="宋体"/>
                <w:kern w:val="0"/>
                <w:sz w:val="18"/>
                <w:szCs w:val="18"/>
              </w:rPr>
            </w:pPr>
          </w:p>
        </w:tc>
      </w:tr>
      <w:tr w14:paraId="2F0D57D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55981C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0C8BDE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408D2E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6B4D8C20">
            <w:pPr>
              <w:widowControl/>
              <w:spacing w:line="240" w:lineRule="auto"/>
              <w:jc w:val="right"/>
              <w:rPr>
                <w:rFonts w:ascii="宋体" w:hAnsi="宋体" w:eastAsia="宋体" w:cs="宋体"/>
                <w:kern w:val="0"/>
                <w:sz w:val="18"/>
                <w:szCs w:val="18"/>
              </w:rPr>
            </w:pPr>
          </w:p>
        </w:tc>
      </w:tr>
      <w:tr w14:paraId="00E20C6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48811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4972C9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C085DE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725BFE2A">
            <w:pPr>
              <w:widowControl/>
              <w:spacing w:line="240" w:lineRule="auto"/>
              <w:jc w:val="right"/>
              <w:rPr>
                <w:rFonts w:ascii="宋体" w:hAnsi="宋体" w:eastAsia="宋体" w:cs="宋体"/>
                <w:kern w:val="0"/>
                <w:sz w:val="18"/>
                <w:szCs w:val="18"/>
              </w:rPr>
            </w:pPr>
          </w:p>
        </w:tc>
      </w:tr>
      <w:tr w14:paraId="537F33A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BA9DE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1BF30B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487DF8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6A012B49">
            <w:pPr>
              <w:widowControl/>
              <w:spacing w:line="240" w:lineRule="auto"/>
              <w:jc w:val="right"/>
              <w:rPr>
                <w:rFonts w:ascii="宋体" w:hAnsi="宋体" w:eastAsia="宋体" w:cs="宋体"/>
                <w:kern w:val="0"/>
                <w:sz w:val="18"/>
                <w:szCs w:val="18"/>
              </w:rPr>
            </w:pPr>
          </w:p>
        </w:tc>
      </w:tr>
      <w:tr w14:paraId="25F85F7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43735F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609AA0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7FD6D2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66AC4FED">
            <w:pPr>
              <w:widowControl/>
              <w:spacing w:line="240" w:lineRule="auto"/>
              <w:jc w:val="right"/>
              <w:rPr>
                <w:rFonts w:ascii="宋体" w:hAnsi="宋体" w:eastAsia="宋体" w:cs="宋体"/>
                <w:kern w:val="0"/>
                <w:sz w:val="18"/>
                <w:szCs w:val="18"/>
              </w:rPr>
            </w:pPr>
          </w:p>
        </w:tc>
      </w:tr>
      <w:tr w14:paraId="1B595C8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70F7D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345C61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0EE53D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3B711ED3">
            <w:pPr>
              <w:widowControl/>
              <w:spacing w:line="240" w:lineRule="auto"/>
              <w:jc w:val="right"/>
              <w:rPr>
                <w:rFonts w:ascii="宋体" w:hAnsi="宋体" w:eastAsia="宋体" w:cs="宋体"/>
                <w:kern w:val="0"/>
                <w:sz w:val="18"/>
                <w:szCs w:val="18"/>
              </w:rPr>
            </w:pPr>
          </w:p>
        </w:tc>
      </w:tr>
      <w:tr w14:paraId="2A5B4BC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17B7F1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0C1493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B48A75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66D8A2C3">
            <w:pPr>
              <w:widowControl/>
              <w:spacing w:line="240" w:lineRule="auto"/>
              <w:jc w:val="right"/>
              <w:rPr>
                <w:rFonts w:ascii="宋体" w:hAnsi="宋体" w:eastAsia="宋体" w:cs="宋体"/>
                <w:kern w:val="0"/>
                <w:sz w:val="18"/>
                <w:szCs w:val="18"/>
              </w:rPr>
            </w:pPr>
          </w:p>
        </w:tc>
      </w:tr>
      <w:tr w14:paraId="185A31A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38E89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01C1FA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616CAF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3168F14D">
            <w:pPr>
              <w:widowControl/>
              <w:spacing w:line="240" w:lineRule="auto"/>
              <w:jc w:val="right"/>
              <w:rPr>
                <w:rFonts w:ascii="宋体" w:hAnsi="宋体" w:eastAsia="宋体" w:cs="宋体"/>
                <w:kern w:val="0"/>
                <w:sz w:val="18"/>
                <w:szCs w:val="18"/>
              </w:rPr>
            </w:pPr>
          </w:p>
        </w:tc>
      </w:tr>
      <w:tr w14:paraId="736FA18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A786AA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D7D96D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4CA7FC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7A172325">
            <w:pPr>
              <w:widowControl/>
              <w:spacing w:line="240" w:lineRule="auto"/>
              <w:jc w:val="right"/>
              <w:rPr>
                <w:rFonts w:ascii="宋体" w:hAnsi="宋体" w:eastAsia="宋体" w:cs="宋体"/>
                <w:kern w:val="0"/>
                <w:sz w:val="18"/>
                <w:szCs w:val="18"/>
              </w:rPr>
            </w:pPr>
          </w:p>
        </w:tc>
      </w:tr>
      <w:tr w14:paraId="6F9BCC6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CB66AD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F8706C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850B36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438D2B9F">
            <w:pPr>
              <w:widowControl/>
              <w:spacing w:line="240" w:lineRule="auto"/>
              <w:jc w:val="right"/>
              <w:rPr>
                <w:rFonts w:ascii="宋体" w:hAnsi="宋体" w:eastAsia="宋体" w:cs="宋体"/>
                <w:kern w:val="0"/>
                <w:sz w:val="18"/>
                <w:szCs w:val="18"/>
              </w:rPr>
            </w:pPr>
          </w:p>
        </w:tc>
      </w:tr>
      <w:tr w14:paraId="5D34CFA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F3FA6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46FCBE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B370A5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0F939C49">
            <w:pPr>
              <w:widowControl/>
              <w:spacing w:line="240" w:lineRule="auto"/>
              <w:jc w:val="right"/>
              <w:rPr>
                <w:rFonts w:ascii="宋体" w:hAnsi="宋体" w:eastAsia="宋体" w:cs="宋体"/>
                <w:kern w:val="0"/>
                <w:sz w:val="18"/>
                <w:szCs w:val="18"/>
              </w:rPr>
            </w:pPr>
          </w:p>
        </w:tc>
      </w:tr>
      <w:tr w14:paraId="361E55C1">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3B67E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BAF6D7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86269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5E9DB38E">
            <w:pPr>
              <w:widowControl/>
              <w:spacing w:line="240" w:lineRule="auto"/>
              <w:jc w:val="right"/>
              <w:rPr>
                <w:rFonts w:ascii="宋体" w:hAnsi="宋体" w:eastAsia="宋体" w:cs="宋体"/>
                <w:kern w:val="0"/>
                <w:sz w:val="18"/>
                <w:szCs w:val="18"/>
              </w:rPr>
            </w:pPr>
          </w:p>
        </w:tc>
      </w:tr>
      <w:tr w14:paraId="66D722F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39F3F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E8D8CB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74E583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37FDE032">
            <w:pPr>
              <w:widowControl/>
              <w:spacing w:line="240" w:lineRule="auto"/>
              <w:jc w:val="right"/>
              <w:rPr>
                <w:rFonts w:ascii="宋体" w:hAnsi="宋体" w:eastAsia="宋体" w:cs="宋体"/>
                <w:kern w:val="0"/>
                <w:sz w:val="18"/>
                <w:szCs w:val="18"/>
              </w:rPr>
            </w:pPr>
          </w:p>
        </w:tc>
      </w:tr>
      <w:tr w14:paraId="603014F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C811BE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0B2C75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BE8E00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52600112">
            <w:pPr>
              <w:widowControl/>
              <w:spacing w:line="240" w:lineRule="auto"/>
              <w:jc w:val="right"/>
              <w:rPr>
                <w:rFonts w:ascii="宋体" w:hAnsi="宋体" w:eastAsia="宋体" w:cs="宋体"/>
                <w:kern w:val="0"/>
                <w:sz w:val="18"/>
                <w:szCs w:val="18"/>
              </w:rPr>
            </w:pPr>
          </w:p>
        </w:tc>
      </w:tr>
      <w:tr w14:paraId="0EB0349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E7173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8815D4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081429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3911D2D8">
            <w:pPr>
              <w:widowControl/>
              <w:spacing w:line="240" w:lineRule="auto"/>
              <w:jc w:val="right"/>
              <w:rPr>
                <w:rFonts w:ascii="宋体" w:hAnsi="宋体" w:eastAsia="宋体" w:cs="宋体"/>
                <w:kern w:val="0"/>
                <w:sz w:val="18"/>
                <w:szCs w:val="18"/>
              </w:rPr>
            </w:pPr>
          </w:p>
        </w:tc>
      </w:tr>
      <w:tr w14:paraId="111BD177">
        <w:tblPrEx>
          <w:tblCellMar>
            <w:top w:w="0" w:type="dxa"/>
            <w:left w:w="108" w:type="dxa"/>
            <w:bottom w:w="0" w:type="dxa"/>
            <w:right w:w="108" w:type="dxa"/>
          </w:tblCellMar>
        </w:tblPrEx>
        <w:trPr>
          <w:trHeight w:val="616"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C15D43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02992247">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val="en-US" w:eastAsia="zh-CN"/>
              </w:rPr>
              <w:t>492.82</w:t>
            </w: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5B3F3547">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11B8C76B">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val="en-US" w:eastAsia="zh-CN"/>
              </w:rPr>
              <w:t>492.82</w:t>
            </w:r>
            <w:r>
              <w:rPr>
                <w:rFonts w:hint="eastAsia" w:ascii="宋体" w:hAnsi="宋体" w:eastAsia="宋体" w:cs="宋体"/>
                <w:b/>
                <w:kern w:val="0"/>
                <w:sz w:val="22"/>
              </w:rPr>
              <w:t>　</w:t>
            </w:r>
          </w:p>
        </w:tc>
      </w:tr>
    </w:tbl>
    <w:p w14:paraId="47123894">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4E32DA0C">
      <w:pPr>
        <w:tabs>
          <w:tab w:val="left" w:pos="7513"/>
        </w:tabs>
        <w:adjustRightInd w:val="0"/>
        <w:snapToGrid w:val="0"/>
        <w:spacing w:line="600" w:lineRule="exact"/>
        <w:outlineLvl w:val="1"/>
        <w:rPr>
          <w:rFonts w:ascii="黑体" w:hAnsi="黑体" w:eastAsia="黑体"/>
          <w:sz w:val="32"/>
          <w:szCs w:val="32"/>
        </w:rPr>
      </w:pPr>
      <w:bookmarkStart w:id="8" w:name="_Toc10554"/>
      <w:r>
        <w:rPr>
          <w:rFonts w:hint="eastAsia" w:ascii="黑体" w:hAnsi="黑体" w:eastAsia="黑体"/>
          <w:sz w:val="32"/>
          <w:szCs w:val="32"/>
        </w:rPr>
        <w:t>二、收入预算总表</w:t>
      </w:r>
      <w:bookmarkEnd w:id="8"/>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7C0784BC">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7815B2A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24C0453F">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5A0B2FCB">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5DA17C1B">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0F3439EA">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7CA13851">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273B178E">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638C0863">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1C7BCFC5">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70CCC815">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17BC305E">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15F7F4B">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53DB28B8">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62994D8B">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251FB7A1">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7A1E095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003E5CB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6E5C0B4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3356B9F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2D8D205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10824A4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1658BA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6BE34C1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292B64A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60FE42B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7C2131C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F08178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7B151BE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74DCC242">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59E447F7">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2FBBF081">
            <w:pPr>
              <w:widowControl/>
              <w:spacing w:line="240" w:lineRule="auto"/>
              <w:jc w:val="right"/>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492.82</w:t>
            </w:r>
          </w:p>
        </w:tc>
        <w:tc>
          <w:tcPr>
            <w:tcW w:w="1134" w:type="dxa"/>
            <w:tcBorders>
              <w:top w:val="nil"/>
              <w:left w:val="nil"/>
              <w:bottom w:val="single" w:color="auto" w:sz="4" w:space="0"/>
              <w:right w:val="single" w:color="auto" w:sz="4" w:space="0"/>
            </w:tcBorders>
            <w:shd w:val="clear" w:color="auto" w:fill="auto"/>
            <w:noWrap/>
            <w:vAlign w:val="center"/>
          </w:tcPr>
          <w:p w14:paraId="6DA8E40B">
            <w:pPr>
              <w:widowControl/>
              <w:spacing w:line="240" w:lineRule="auto"/>
              <w:jc w:val="right"/>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492.82</w:t>
            </w:r>
          </w:p>
        </w:tc>
        <w:tc>
          <w:tcPr>
            <w:tcW w:w="1134" w:type="dxa"/>
            <w:tcBorders>
              <w:top w:val="nil"/>
              <w:left w:val="nil"/>
              <w:bottom w:val="single" w:color="auto" w:sz="4" w:space="0"/>
              <w:right w:val="single" w:color="auto" w:sz="4" w:space="0"/>
            </w:tcBorders>
            <w:shd w:val="clear" w:color="auto" w:fill="auto"/>
            <w:vAlign w:val="center"/>
          </w:tcPr>
          <w:p w14:paraId="4ACBD878">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6EF107A7">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BD71880">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46B26760">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8FA493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A906476">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77677B4">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B3CE2D">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08446656">
            <w:pPr>
              <w:widowControl/>
              <w:spacing w:line="240" w:lineRule="auto"/>
              <w:jc w:val="right"/>
              <w:rPr>
                <w:rFonts w:ascii="宋体" w:hAnsi="宋体" w:eastAsia="宋体" w:cs="宋体"/>
                <w:color w:val="000000"/>
                <w:kern w:val="0"/>
                <w:sz w:val="22"/>
              </w:rPr>
            </w:pPr>
          </w:p>
        </w:tc>
      </w:tr>
      <w:tr w14:paraId="026EE64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12836097">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w:t>
            </w:r>
          </w:p>
        </w:tc>
        <w:tc>
          <w:tcPr>
            <w:tcW w:w="1251" w:type="dxa"/>
            <w:gridSpan w:val="2"/>
            <w:tcBorders>
              <w:top w:val="nil"/>
              <w:left w:val="nil"/>
              <w:bottom w:val="single" w:color="auto" w:sz="4" w:space="0"/>
              <w:right w:val="single" w:color="auto" w:sz="4" w:space="0"/>
            </w:tcBorders>
            <w:shd w:val="clear" w:color="auto" w:fill="auto"/>
          </w:tcPr>
          <w:p w14:paraId="4DBF745A">
            <w:r>
              <w:rPr>
                <w:rFonts w:hint="eastAsia"/>
              </w:rPr>
              <w:t>教育支出</w:t>
            </w:r>
          </w:p>
        </w:tc>
        <w:tc>
          <w:tcPr>
            <w:tcW w:w="1017" w:type="dxa"/>
            <w:tcBorders>
              <w:top w:val="nil"/>
              <w:left w:val="nil"/>
              <w:bottom w:val="single" w:color="auto" w:sz="4" w:space="0"/>
              <w:right w:val="single" w:color="auto" w:sz="4" w:space="0"/>
            </w:tcBorders>
            <w:shd w:val="clear" w:color="auto" w:fill="auto"/>
            <w:vAlign w:val="center"/>
          </w:tcPr>
          <w:p w14:paraId="34535442">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492.82</w:t>
            </w:r>
          </w:p>
        </w:tc>
        <w:tc>
          <w:tcPr>
            <w:tcW w:w="1134" w:type="dxa"/>
            <w:tcBorders>
              <w:top w:val="nil"/>
              <w:left w:val="nil"/>
              <w:bottom w:val="single" w:color="auto" w:sz="4" w:space="0"/>
              <w:right w:val="single" w:color="auto" w:sz="4" w:space="0"/>
            </w:tcBorders>
            <w:shd w:val="clear" w:color="auto" w:fill="auto"/>
            <w:vAlign w:val="center"/>
          </w:tcPr>
          <w:p w14:paraId="1AEB9F02">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492.82</w:t>
            </w:r>
          </w:p>
        </w:tc>
        <w:tc>
          <w:tcPr>
            <w:tcW w:w="1134" w:type="dxa"/>
            <w:tcBorders>
              <w:top w:val="nil"/>
              <w:left w:val="nil"/>
              <w:bottom w:val="single" w:color="auto" w:sz="4" w:space="0"/>
              <w:right w:val="single" w:color="auto" w:sz="4" w:space="0"/>
            </w:tcBorders>
            <w:shd w:val="clear" w:color="auto" w:fill="auto"/>
            <w:vAlign w:val="center"/>
          </w:tcPr>
          <w:p w14:paraId="6DA323A4">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0C3A01BF">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42E69A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64FC6026">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249528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81102C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766548C">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08960114">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62CFE7E7">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4F43A95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38D8FE70">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w:t>
            </w:r>
          </w:p>
        </w:tc>
        <w:tc>
          <w:tcPr>
            <w:tcW w:w="1251" w:type="dxa"/>
            <w:gridSpan w:val="2"/>
            <w:tcBorders>
              <w:top w:val="nil"/>
              <w:left w:val="nil"/>
              <w:bottom w:val="single" w:color="auto" w:sz="4" w:space="0"/>
              <w:right w:val="single" w:color="auto" w:sz="4" w:space="0"/>
            </w:tcBorders>
            <w:shd w:val="clear" w:color="auto" w:fill="auto"/>
          </w:tcPr>
          <w:p w14:paraId="0414EE99">
            <w:r>
              <w:rPr>
                <w:rFonts w:hint="eastAsia"/>
              </w:rPr>
              <w:t>普通教育</w:t>
            </w:r>
          </w:p>
        </w:tc>
        <w:tc>
          <w:tcPr>
            <w:tcW w:w="1017" w:type="dxa"/>
            <w:tcBorders>
              <w:top w:val="nil"/>
              <w:left w:val="nil"/>
              <w:bottom w:val="single" w:color="auto" w:sz="4" w:space="0"/>
              <w:right w:val="single" w:color="auto" w:sz="4" w:space="0"/>
            </w:tcBorders>
            <w:shd w:val="clear" w:color="auto" w:fill="auto"/>
            <w:vAlign w:val="center"/>
          </w:tcPr>
          <w:p w14:paraId="54A948B3">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492.82</w:t>
            </w:r>
          </w:p>
        </w:tc>
        <w:tc>
          <w:tcPr>
            <w:tcW w:w="1134" w:type="dxa"/>
            <w:tcBorders>
              <w:top w:val="nil"/>
              <w:left w:val="nil"/>
              <w:bottom w:val="single" w:color="auto" w:sz="4" w:space="0"/>
              <w:right w:val="single" w:color="auto" w:sz="4" w:space="0"/>
            </w:tcBorders>
            <w:shd w:val="clear" w:color="auto" w:fill="auto"/>
            <w:vAlign w:val="center"/>
          </w:tcPr>
          <w:p w14:paraId="4A82D4D1">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492.82</w:t>
            </w:r>
          </w:p>
        </w:tc>
        <w:tc>
          <w:tcPr>
            <w:tcW w:w="1134" w:type="dxa"/>
            <w:tcBorders>
              <w:top w:val="nil"/>
              <w:left w:val="nil"/>
              <w:bottom w:val="single" w:color="auto" w:sz="4" w:space="0"/>
              <w:right w:val="single" w:color="auto" w:sz="4" w:space="0"/>
            </w:tcBorders>
            <w:shd w:val="clear" w:color="auto" w:fill="auto"/>
            <w:vAlign w:val="center"/>
          </w:tcPr>
          <w:p w14:paraId="78F1C854">
            <w:pPr>
              <w:widowControl/>
              <w:spacing w:line="240" w:lineRule="auto"/>
              <w:jc w:val="right"/>
              <w:rPr>
                <w:rFonts w:ascii="宋体" w:hAnsi="宋体" w:eastAsia="宋体" w:cs="宋体"/>
                <w:kern w:val="0"/>
                <w:sz w:val="22"/>
              </w:rPr>
            </w:pPr>
          </w:p>
        </w:tc>
        <w:tc>
          <w:tcPr>
            <w:tcW w:w="1134" w:type="dxa"/>
            <w:tcBorders>
              <w:top w:val="single" w:color="auto" w:sz="4" w:space="0"/>
              <w:left w:val="nil"/>
              <w:bottom w:val="single" w:color="auto" w:sz="4" w:space="0"/>
              <w:right w:val="single" w:color="auto" w:sz="4" w:space="0"/>
            </w:tcBorders>
            <w:vAlign w:val="center"/>
          </w:tcPr>
          <w:p w14:paraId="3E289F34">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810C50B">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022866C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377942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D33740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3565F4C">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05EEACD4">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0FD988BB">
            <w:pPr>
              <w:widowControl/>
              <w:spacing w:line="240" w:lineRule="auto"/>
              <w:jc w:val="right"/>
              <w:rPr>
                <w:rFonts w:ascii="宋体" w:hAnsi="宋体" w:eastAsia="宋体" w:cs="宋体"/>
                <w:kern w:val="0"/>
                <w:sz w:val="22"/>
              </w:rPr>
            </w:pPr>
          </w:p>
        </w:tc>
      </w:tr>
      <w:tr w14:paraId="68BF42F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03C83FA0">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2050201</w:t>
            </w:r>
          </w:p>
        </w:tc>
        <w:tc>
          <w:tcPr>
            <w:tcW w:w="1251" w:type="dxa"/>
            <w:gridSpan w:val="2"/>
            <w:tcBorders>
              <w:top w:val="nil"/>
              <w:left w:val="nil"/>
              <w:bottom w:val="single" w:color="auto" w:sz="4" w:space="0"/>
              <w:right w:val="single" w:color="auto" w:sz="4" w:space="0"/>
            </w:tcBorders>
            <w:shd w:val="clear" w:color="auto" w:fill="auto"/>
          </w:tcPr>
          <w:p w14:paraId="00738D44">
            <w:r>
              <w:rPr>
                <w:rFonts w:hint="eastAsia"/>
              </w:rPr>
              <w:t>学前教育</w:t>
            </w:r>
          </w:p>
        </w:tc>
        <w:tc>
          <w:tcPr>
            <w:tcW w:w="1017" w:type="dxa"/>
            <w:tcBorders>
              <w:top w:val="nil"/>
              <w:left w:val="nil"/>
              <w:bottom w:val="single" w:color="auto" w:sz="4" w:space="0"/>
              <w:right w:val="single" w:color="auto" w:sz="4" w:space="0"/>
            </w:tcBorders>
            <w:shd w:val="clear" w:color="auto" w:fill="auto"/>
            <w:vAlign w:val="center"/>
          </w:tcPr>
          <w:p w14:paraId="0EDBE9E2">
            <w:pPr>
              <w:widowControl/>
              <w:spacing w:line="240" w:lineRule="auto"/>
              <w:jc w:val="right"/>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74.88</w:t>
            </w:r>
          </w:p>
        </w:tc>
        <w:tc>
          <w:tcPr>
            <w:tcW w:w="1134" w:type="dxa"/>
            <w:tcBorders>
              <w:top w:val="nil"/>
              <w:left w:val="nil"/>
              <w:bottom w:val="single" w:color="auto" w:sz="4" w:space="0"/>
              <w:right w:val="single" w:color="auto" w:sz="4" w:space="0"/>
            </w:tcBorders>
            <w:shd w:val="clear" w:color="auto" w:fill="auto"/>
            <w:vAlign w:val="center"/>
          </w:tcPr>
          <w:p w14:paraId="1FF2DCF2">
            <w:pPr>
              <w:widowControl/>
              <w:spacing w:line="240" w:lineRule="auto"/>
              <w:jc w:val="right"/>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74.88</w:t>
            </w:r>
          </w:p>
        </w:tc>
        <w:tc>
          <w:tcPr>
            <w:tcW w:w="1134" w:type="dxa"/>
            <w:tcBorders>
              <w:top w:val="nil"/>
              <w:left w:val="nil"/>
              <w:bottom w:val="single" w:color="auto" w:sz="4" w:space="0"/>
              <w:right w:val="single" w:color="auto" w:sz="4" w:space="0"/>
            </w:tcBorders>
            <w:shd w:val="clear" w:color="auto" w:fill="auto"/>
            <w:vAlign w:val="center"/>
          </w:tcPr>
          <w:p w14:paraId="0C337BB5">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0807321C">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C1988B9">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4E83C5B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0C5CCD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1B212D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C2A1E0E">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88FFBA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5FCE5D4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729CC4D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ED83970">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2"/>
                <w:szCs w:val="22"/>
              </w:rPr>
              <w:t>2050202</w:t>
            </w:r>
          </w:p>
        </w:tc>
        <w:tc>
          <w:tcPr>
            <w:tcW w:w="1251" w:type="dxa"/>
            <w:gridSpan w:val="2"/>
            <w:tcBorders>
              <w:top w:val="nil"/>
              <w:left w:val="nil"/>
              <w:bottom w:val="single" w:color="auto" w:sz="4" w:space="0"/>
              <w:right w:val="single" w:color="auto" w:sz="4" w:space="0"/>
            </w:tcBorders>
            <w:shd w:val="clear" w:color="auto" w:fill="auto"/>
            <w:noWrap/>
          </w:tcPr>
          <w:p w14:paraId="297D37A1">
            <w:r>
              <w:rPr>
                <w:rFonts w:hint="eastAsia"/>
              </w:rPr>
              <w:t>小学教育</w:t>
            </w:r>
          </w:p>
        </w:tc>
        <w:tc>
          <w:tcPr>
            <w:tcW w:w="1017" w:type="dxa"/>
            <w:tcBorders>
              <w:top w:val="nil"/>
              <w:left w:val="nil"/>
              <w:bottom w:val="single" w:color="auto" w:sz="4" w:space="0"/>
              <w:right w:val="single" w:color="auto" w:sz="4" w:space="0"/>
            </w:tcBorders>
            <w:shd w:val="clear" w:color="auto" w:fill="auto"/>
            <w:noWrap/>
            <w:vAlign w:val="center"/>
          </w:tcPr>
          <w:p w14:paraId="79BBC863">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417.94</w:t>
            </w:r>
          </w:p>
        </w:tc>
        <w:tc>
          <w:tcPr>
            <w:tcW w:w="1134" w:type="dxa"/>
            <w:tcBorders>
              <w:top w:val="nil"/>
              <w:left w:val="nil"/>
              <w:bottom w:val="single" w:color="auto" w:sz="4" w:space="0"/>
              <w:right w:val="single" w:color="auto" w:sz="4" w:space="0"/>
            </w:tcBorders>
            <w:shd w:val="clear" w:color="auto" w:fill="auto"/>
            <w:noWrap/>
            <w:vAlign w:val="center"/>
          </w:tcPr>
          <w:p w14:paraId="1683F075">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417.94</w:t>
            </w:r>
          </w:p>
        </w:tc>
        <w:tc>
          <w:tcPr>
            <w:tcW w:w="1134" w:type="dxa"/>
            <w:tcBorders>
              <w:top w:val="nil"/>
              <w:left w:val="nil"/>
              <w:bottom w:val="single" w:color="auto" w:sz="4" w:space="0"/>
              <w:right w:val="single" w:color="auto" w:sz="4" w:space="0"/>
            </w:tcBorders>
            <w:shd w:val="clear" w:color="auto" w:fill="auto"/>
            <w:noWrap/>
            <w:vAlign w:val="center"/>
          </w:tcPr>
          <w:p w14:paraId="7F33912A">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79EB7336">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576FB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04A87A45">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644936EE">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A42D973">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8DA0721">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F70816">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3DD31CED">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2487D631">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5DC092B4">
      <w:pPr>
        <w:rPr>
          <w:rFonts w:cs="Times New Roman" w:asciiTheme="majorEastAsia" w:hAnsiTheme="majorEastAsia" w:eastAsiaTheme="majorEastAsia"/>
          <w:sz w:val="36"/>
          <w:szCs w:val="20"/>
        </w:rPr>
      </w:pPr>
    </w:p>
    <w:p w14:paraId="705F8CCE">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7773D843">
      <w:pPr>
        <w:tabs>
          <w:tab w:val="left" w:pos="7513"/>
        </w:tabs>
        <w:adjustRightInd w:val="0"/>
        <w:snapToGrid w:val="0"/>
        <w:spacing w:line="600" w:lineRule="exact"/>
        <w:outlineLvl w:val="1"/>
        <w:rPr>
          <w:rFonts w:ascii="黑体" w:hAnsi="黑体" w:eastAsia="黑体"/>
          <w:sz w:val="32"/>
          <w:szCs w:val="32"/>
        </w:rPr>
      </w:pPr>
      <w:bookmarkStart w:id="9" w:name="_Toc12652"/>
      <w:r>
        <w:rPr>
          <w:rFonts w:hint="eastAsia" w:ascii="黑体" w:hAnsi="黑体" w:eastAsia="黑体"/>
          <w:sz w:val="32"/>
          <w:szCs w:val="32"/>
        </w:rPr>
        <w:t>三、支出预算总表</w:t>
      </w:r>
      <w:bookmarkEnd w:id="9"/>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279C509E">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72426FF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6A67C59E">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76EDD2F5">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7C363BD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3398AA8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4F3B623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542DF395">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0ABBB96">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7033FAC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3C771BA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0F22FCA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3A675206">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AA52DB6">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6ADD047">
            <w:pPr>
              <w:widowControl/>
              <w:spacing w:line="240" w:lineRule="auto"/>
              <w:jc w:val="right"/>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492.82</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92F7DD8">
            <w:pPr>
              <w:widowControl/>
              <w:spacing w:line="240" w:lineRule="auto"/>
              <w:jc w:val="right"/>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492.82</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78D7419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25C203B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B62CE3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97A145E">
            <w:pPr>
              <w:widowControl/>
              <w:spacing w:line="240" w:lineRule="auto"/>
              <w:jc w:val="right"/>
              <w:rPr>
                <w:rFonts w:ascii="宋体" w:hAnsi="宋体" w:eastAsia="宋体" w:cs="宋体"/>
                <w:color w:val="000000"/>
                <w:kern w:val="0"/>
                <w:sz w:val="22"/>
              </w:rPr>
            </w:pPr>
          </w:p>
        </w:tc>
      </w:tr>
      <w:tr w14:paraId="5EE07122">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0E7B40A9">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205</w:t>
            </w:r>
          </w:p>
        </w:tc>
        <w:tc>
          <w:tcPr>
            <w:tcW w:w="3118" w:type="dxa"/>
            <w:tcBorders>
              <w:top w:val="single" w:color="auto" w:sz="4" w:space="0"/>
              <w:left w:val="nil"/>
              <w:bottom w:val="single" w:color="auto" w:sz="4" w:space="0"/>
              <w:right w:val="single" w:color="auto" w:sz="4" w:space="0"/>
            </w:tcBorders>
            <w:shd w:val="clear" w:color="auto" w:fill="auto"/>
          </w:tcPr>
          <w:p w14:paraId="64F712F5">
            <w:r>
              <w:rPr>
                <w:rFonts w:hint="eastAsia"/>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25B8AE2D">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492.82</w:t>
            </w:r>
          </w:p>
        </w:tc>
        <w:tc>
          <w:tcPr>
            <w:tcW w:w="1559" w:type="dxa"/>
            <w:tcBorders>
              <w:top w:val="single" w:color="auto" w:sz="4" w:space="0"/>
              <w:left w:val="nil"/>
              <w:bottom w:val="single" w:color="auto" w:sz="4" w:space="0"/>
              <w:right w:val="single" w:color="auto" w:sz="4" w:space="0"/>
            </w:tcBorders>
            <w:shd w:val="clear" w:color="auto" w:fill="auto"/>
            <w:vAlign w:val="center"/>
          </w:tcPr>
          <w:p w14:paraId="4175D490">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492.82</w:t>
            </w:r>
          </w:p>
        </w:tc>
        <w:tc>
          <w:tcPr>
            <w:tcW w:w="1560" w:type="dxa"/>
            <w:tcBorders>
              <w:top w:val="single" w:color="auto" w:sz="4" w:space="0"/>
              <w:left w:val="nil"/>
              <w:bottom w:val="single" w:color="auto" w:sz="4" w:space="0"/>
              <w:right w:val="single" w:color="auto" w:sz="4" w:space="0"/>
            </w:tcBorders>
            <w:shd w:val="clear" w:color="auto" w:fill="auto"/>
            <w:vAlign w:val="center"/>
          </w:tcPr>
          <w:p w14:paraId="4270BF5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6E797B5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E17CA7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7B9C4A5">
            <w:pPr>
              <w:widowControl/>
              <w:spacing w:line="240" w:lineRule="auto"/>
              <w:jc w:val="right"/>
              <w:rPr>
                <w:rFonts w:ascii="宋体" w:hAnsi="宋体" w:eastAsia="宋体" w:cs="宋体"/>
                <w:color w:val="000000"/>
                <w:kern w:val="0"/>
                <w:sz w:val="22"/>
              </w:rPr>
            </w:pPr>
          </w:p>
        </w:tc>
      </w:tr>
      <w:tr w14:paraId="5F35DB9A">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090A5EA3">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20502</w:t>
            </w:r>
          </w:p>
        </w:tc>
        <w:tc>
          <w:tcPr>
            <w:tcW w:w="3118" w:type="dxa"/>
            <w:tcBorders>
              <w:top w:val="single" w:color="auto" w:sz="4" w:space="0"/>
              <w:left w:val="nil"/>
              <w:bottom w:val="single" w:color="auto" w:sz="4" w:space="0"/>
              <w:right w:val="single" w:color="auto" w:sz="4" w:space="0"/>
            </w:tcBorders>
            <w:shd w:val="clear" w:color="auto" w:fill="auto"/>
          </w:tcPr>
          <w:p w14:paraId="10003486">
            <w:r>
              <w:rPr>
                <w:rFonts w:hint="eastAsia"/>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38DA5CFA">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492.82</w:t>
            </w:r>
          </w:p>
        </w:tc>
        <w:tc>
          <w:tcPr>
            <w:tcW w:w="1559" w:type="dxa"/>
            <w:tcBorders>
              <w:top w:val="single" w:color="auto" w:sz="4" w:space="0"/>
              <w:left w:val="nil"/>
              <w:bottom w:val="single" w:color="auto" w:sz="4" w:space="0"/>
              <w:right w:val="single" w:color="auto" w:sz="4" w:space="0"/>
            </w:tcBorders>
            <w:shd w:val="clear" w:color="auto" w:fill="auto"/>
            <w:vAlign w:val="center"/>
          </w:tcPr>
          <w:p w14:paraId="5467B8FE">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492.82</w:t>
            </w:r>
          </w:p>
        </w:tc>
        <w:tc>
          <w:tcPr>
            <w:tcW w:w="1560" w:type="dxa"/>
            <w:tcBorders>
              <w:top w:val="single" w:color="auto" w:sz="4" w:space="0"/>
              <w:left w:val="nil"/>
              <w:bottom w:val="single" w:color="auto" w:sz="4" w:space="0"/>
              <w:right w:val="single" w:color="auto" w:sz="4" w:space="0"/>
            </w:tcBorders>
            <w:shd w:val="clear" w:color="auto" w:fill="auto"/>
            <w:vAlign w:val="center"/>
          </w:tcPr>
          <w:p w14:paraId="46AEEA9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2244296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C994D5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FFE79E9">
            <w:pPr>
              <w:widowControl/>
              <w:spacing w:line="240" w:lineRule="auto"/>
              <w:jc w:val="right"/>
              <w:rPr>
                <w:rFonts w:ascii="宋体" w:hAnsi="宋体" w:eastAsia="宋体" w:cs="宋体"/>
                <w:color w:val="000000"/>
                <w:kern w:val="0"/>
                <w:sz w:val="22"/>
              </w:rPr>
            </w:pPr>
          </w:p>
        </w:tc>
      </w:tr>
      <w:tr w14:paraId="4ED5C79B">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6445F710">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2050201</w:t>
            </w:r>
          </w:p>
        </w:tc>
        <w:tc>
          <w:tcPr>
            <w:tcW w:w="3118" w:type="dxa"/>
            <w:tcBorders>
              <w:top w:val="single" w:color="auto" w:sz="4" w:space="0"/>
              <w:left w:val="nil"/>
              <w:bottom w:val="single" w:color="auto" w:sz="4" w:space="0"/>
              <w:right w:val="single" w:color="auto" w:sz="4" w:space="0"/>
            </w:tcBorders>
            <w:shd w:val="clear" w:color="auto" w:fill="auto"/>
          </w:tcPr>
          <w:p w14:paraId="498CD9F2">
            <w:r>
              <w:rPr>
                <w:rFonts w:hint="eastAsia"/>
              </w:rPr>
              <w:t>学前教育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227F017D">
            <w:pPr>
              <w:widowControl/>
              <w:spacing w:line="240" w:lineRule="auto"/>
              <w:jc w:val="right"/>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74.88</w:t>
            </w:r>
          </w:p>
        </w:tc>
        <w:tc>
          <w:tcPr>
            <w:tcW w:w="1559" w:type="dxa"/>
            <w:tcBorders>
              <w:top w:val="single" w:color="auto" w:sz="4" w:space="0"/>
              <w:left w:val="nil"/>
              <w:bottom w:val="single" w:color="auto" w:sz="4" w:space="0"/>
              <w:right w:val="single" w:color="auto" w:sz="4" w:space="0"/>
            </w:tcBorders>
            <w:shd w:val="clear" w:color="auto" w:fill="auto"/>
            <w:vAlign w:val="center"/>
          </w:tcPr>
          <w:p w14:paraId="49182AFE">
            <w:pPr>
              <w:widowControl/>
              <w:spacing w:line="240" w:lineRule="auto"/>
              <w:jc w:val="right"/>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74.88</w:t>
            </w:r>
          </w:p>
        </w:tc>
        <w:tc>
          <w:tcPr>
            <w:tcW w:w="1560" w:type="dxa"/>
            <w:tcBorders>
              <w:top w:val="single" w:color="auto" w:sz="4" w:space="0"/>
              <w:left w:val="nil"/>
              <w:bottom w:val="single" w:color="auto" w:sz="4" w:space="0"/>
              <w:right w:val="single" w:color="auto" w:sz="4" w:space="0"/>
            </w:tcBorders>
            <w:shd w:val="clear" w:color="auto" w:fill="auto"/>
            <w:vAlign w:val="center"/>
          </w:tcPr>
          <w:p w14:paraId="016A195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7F20C22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A9AC22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0CDFABD">
            <w:pPr>
              <w:widowControl/>
              <w:spacing w:line="240" w:lineRule="auto"/>
              <w:jc w:val="right"/>
              <w:rPr>
                <w:rFonts w:ascii="宋体" w:hAnsi="宋体" w:eastAsia="宋体" w:cs="宋体"/>
                <w:color w:val="000000"/>
                <w:kern w:val="0"/>
                <w:sz w:val="22"/>
              </w:rPr>
            </w:pPr>
          </w:p>
        </w:tc>
      </w:tr>
      <w:tr w14:paraId="3666B607">
        <w:tblPrEx>
          <w:tblCellMar>
            <w:top w:w="0" w:type="dxa"/>
            <w:left w:w="108" w:type="dxa"/>
            <w:bottom w:w="0" w:type="dxa"/>
            <w:right w:w="108" w:type="dxa"/>
          </w:tblCellMar>
        </w:tblPrEx>
        <w:trPr>
          <w:trHeight w:val="90"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838B96">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2"/>
                <w:szCs w:val="22"/>
              </w:rPr>
              <w:t>2050201</w:t>
            </w:r>
          </w:p>
        </w:tc>
        <w:tc>
          <w:tcPr>
            <w:tcW w:w="3118" w:type="dxa"/>
            <w:tcBorders>
              <w:top w:val="single" w:color="auto" w:sz="4" w:space="0"/>
              <w:left w:val="nil"/>
              <w:bottom w:val="single" w:color="auto" w:sz="4" w:space="0"/>
              <w:right w:val="single" w:color="auto" w:sz="4" w:space="0"/>
            </w:tcBorders>
            <w:shd w:val="clear" w:color="auto" w:fill="auto"/>
            <w:noWrap/>
          </w:tcPr>
          <w:p w14:paraId="41819896">
            <w:r>
              <w:rPr>
                <w:rFonts w:hint="eastAsia"/>
              </w:rPr>
              <w:t>小学教育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25C5623">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417.94</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53D9043C">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417.94</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289D8592">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08BBB80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6B61A4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7FE7A63">
            <w:pPr>
              <w:widowControl/>
              <w:spacing w:line="240" w:lineRule="auto"/>
              <w:jc w:val="right"/>
              <w:rPr>
                <w:rFonts w:ascii="宋体" w:hAnsi="宋体" w:eastAsia="宋体" w:cs="宋体"/>
                <w:color w:val="000000"/>
                <w:kern w:val="0"/>
                <w:sz w:val="22"/>
              </w:rPr>
            </w:pPr>
          </w:p>
        </w:tc>
      </w:tr>
    </w:tbl>
    <w:p w14:paraId="05FD94ED">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4DE41913">
      <w:pPr>
        <w:tabs>
          <w:tab w:val="left" w:pos="7513"/>
        </w:tabs>
        <w:adjustRightInd w:val="0"/>
        <w:snapToGrid w:val="0"/>
        <w:spacing w:line="600" w:lineRule="exact"/>
        <w:outlineLvl w:val="1"/>
        <w:rPr>
          <w:rFonts w:ascii="黑体" w:hAnsi="黑体" w:eastAsia="黑体"/>
          <w:sz w:val="32"/>
          <w:szCs w:val="32"/>
        </w:rPr>
      </w:pPr>
      <w:bookmarkStart w:id="10" w:name="_Toc2017"/>
      <w:r>
        <w:rPr>
          <w:rFonts w:hint="eastAsia" w:ascii="黑体" w:hAnsi="黑体" w:eastAsia="黑体"/>
          <w:sz w:val="32"/>
          <w:szCs w:val="32"/>
        </w:rPr>
        <w:t>四、财政拨款收支预算总表</w:t>
      </w:r>
      <w:bookmarkEnd w:id="10"/>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03114261">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6C912F2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627E9DCB">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7B76D03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08C55A25">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B25C93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3B4AC16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2DFE3CB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019495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58B3CE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585CD30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E1EEE2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61FB78E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38484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5365D45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eastAsia="zh-CN"/>
              </w:rPr>
              <w:t>492.82</w:t>
            </w: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D74B07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36DCFCA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F48ABC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DF2E1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0E69389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8A9625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0A02463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E186AB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44D67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5227181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D81D78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2D42EBA2">
            <w:pPr>
              <w:widowControl/>
              <w:spacing w:line="240" w:lineRule="auto"/>
              <w:jc w:val="right"/>
              <w:rPr>
                <w:rFonts w:ascii="宋体" w:hAnsi="宋体" w:eastAsia="宋体" w:cs="宋体"/>
                <w:kern w:val="0"/>
                <w:sz w:val="18"/>
                <w:szCs w:val="18"/>
              </w:rPr>
            </w:pPr>
          </w:p>
        </w:tc>
      </w:tr>
      <w:tr w14:paraId="1FB8296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C24245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2BF038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B38DAF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3EA2319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479D4D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3573C7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901F03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770EA9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6E805C1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eastAsia="zh-CN"/>
              </w:rPr>
              <w:t>492.82</w:t>
            </w:r>
            <w:r>
              <w:rPr>
                <w:rFonts w:hint="eastAsia" w:ascii="宋体" w:hAnsi="宋体" w:eastAsia="宋体" w:cs="宋体"/>
                <w:kern w:val="0"/>
                <w:sz w:val="18"/>
                <w:szCs w:val="18"/>
              </w:rPr>
              <w:t>　</w:t>
            </w:r>
          </w:p>
        </w:tc>
      </w:tr>
      <w:tr w14:paraId="6AAB2B8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EBAB0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4D82BB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B8A5F9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79B06C6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06C2E1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565822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A0A4DF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7E480C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3EE379EF">
            <w:pPr>
              <w:widowControl/>
              <w:spacing w:line="240" w:lineRule="auto"/>
              <w:jc w:val="right"/>
              <w:rPr>
                <w:rFonts w:ascii="宋体" w:hAnsi="宋体" w:eastAsia="宋体" w:cs="宋体"/>
                <w:kern w:val="0"/>
                <w:sz w:val="18"/>
                <w:szCs w:val="18"/>
              </w:rPr>
            </w:pPr>
          </w:p>
        </w:tc>
      </w:tr>
      <w:tr w14:paraId="4FF0AD6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AFA2C6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BB86C6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A345DC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16D603CD">
            <w:pPr>
              <w:widowControl/>
              <w:spacing w:line="240" w:lineRule="auto"/>
              <w:jc w:val="right"/>
              <w:rPr>
                <w:rFonts w:ascii="宋体" w:hAnsi="宋体" w:eastAsia="宋体" w:cs="宋体"/>
                <w:kern w:val="0"/>
                <w:sz w:val="18"/>
                <w:szCs w:val="18"/>
              </w:rPr>
            </w:pPr>
          </w:p>
        </w:tc>
      </w:tr>
      <w:tr w14:paraId="6CF6337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549B7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55B164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E7A363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69687E79">
            <w:pPr>
              <w:widowControl/>
              <w:spacing w:line="240" w:lineRule="auto"/>
              <w:jc w:val="right"/>
              <w:rPr>
                <w:rFonts w:ascii="宋体" w:hAnsi="宋体" w:eastAsia="宋体" w:cs="宋体"/>
                <w:kern w:val="0"/>
                <w:sz w:val="18"/>
                <w:szCs w:val="18"/>
              </w:rPr>
            </w:pPr>
          </w:p>
        </w:tc>
      </w:tr>
      <w:tr w14:paraId="3C9F8F7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9612EE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AF7814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319B96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6F3D11F8">
            <w:pPr>
              <w:widowControl/>
              <w:spacing w:line="240" w:lineRule="auto"/>
              <w:jc w:val="right"/>
              <w:rPr>
                <w:rFonts w:ascii="宋体" w:hAnsi="宋体" w:eastAsia="宋体" w:cs="宋体"/>
                <w:kern w:val="0"/>
                <w:sz w:val="18"/>
                <w:szCs w:val="18"/>
              </w:rPr>
            </w:pPr>
          </w:p>
        </w:tc>
      </w:tr>
      <w:tr w14:paraId="213D4DC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B030A4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03551F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821A88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2AD4A4D4">
            <w:pPr>
              <w:widowControl/>
              <w:spacing w:line="240" w:lineRule="auto"/>
              <w:jc w:val="right"/>
              <w:rPr>
                <w:rFonts w:ascii="宋体" w:hAnsi="宋体" w:eastAsia="宋体" w:cs="宋体"/>
                <w:kern w:val="0"/>
                <w:sz w:val="18"/>
                <w:szCs w:val="18"/>
              </w:rPr>
            </w:pPr>
          </w:p>
        </w:tc>
      </w:tr>
      <w:tr w14:paraId="3529AFC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2ED9D6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9EE029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9A142D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2668685F">
            <w:pPr>
              <w:widowControl/>
              <w:spacing w:line="240" w:lineRule="auto"/>
              <w:jc w:val="right"/>
              <w:rPr>
                <w:rFonts w:ascii="宋体" w:hAnsi="宋体" w:eastAsia="宋体" w:cs="宋体"/>
                <w:kern w:val="0"/>
                <w:sz w:val="18"/>
                <w:szCs w:val="18"/>
              </w:rPr>
            </w:pPr>
          </w:p>
        </w:tc>
      </w:tr>
      <w:tr w14:paraId="7AC1B71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C27DA0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47E1A9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9815AC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58155008">
            <w:pPr>
              <w:widowControl/>
              <w:spacing w:line="240" w:lineRule="auto"/>
              <w:jc w:val="right"/>
              <w:rPr>
                <w:rFonts w:ascii="宋体" w:hAnsi="宋体" w:eastAsia="宋体" w:cs="宋体"/>
                <w:kern w:val="0"/>
                <w:sz w:val="18"/>
                <w:szCs w:val="18"/>
              </w:rPr>
            </w:pPr>
          </w:p>
        </w:tc>
      </w:tr>
      <w:tr w14:paraId="1AB15C8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97745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1F71EC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D1112A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7DB711DD">
            <w:pPr>
              <w:widowControl/>
              <w:spacing w:line="240" w:lineRule="auto"/>
              <w:jc w:val="right"/>
              <w:rPr>
                <w:rFonts w:ascii="宋体" w:hAnsi="宋体" w:eastAsia="宋体" w:cs="宋体"/>
                <w:kern w:val="0"/>
                <w:sz w:val="18"/>
                <w:szCs w:val="18"/>
              </w:rPr>
            </w:pPr>
          </w:p>
        </w:tc>
      </w:tr>
      <w:tr w14:paraId="3106176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D41EA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FEC5C2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8E3874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6911D03C">
            <w:pPr>
              <w:widowControl/>
              <w:spacing w:line="240" w:lineRule="auto"/>
              <w:jc w:val="right"/>
              <w:rPr>
                <w:rFonts w:ascii="宋体" w:hAnsi="宋体" w:eastAsia="宋体" w:cs="宋体"/>
                <w:kern w:val="0"/>
                <w:sz w:val="18"/>
                <w:szCs w:val="18"/>
              </w:rPr>
            </w:pPr>
          </w:p>
        </w:tc>
      </w:tr>
      <w:tr w14:paraId="5AC212B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F0B42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4F04D2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1B2140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7A508E41">
            <w:pPr>
              <w:widowControl/>
              <w:spacing w:line="240" w:lineRule="auto"/>
              <w:jc w:val="right"/>
              <w:rPr>
                <w:rFonts w:ascii="宋体" w:hAnsi="宋体" w:eastAsia="宋体" w:cs="宋体"/>
                <w:kern w:val="0"/>
                <w:sz w:val="18"/>
                <w:szCs w:val="18"/>
              </w:rPr>
            </w:pPr>
          </w:p>
        </w:tc>
      </w:tr>
      <w:tr w14:paraId="3F4540A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7D693B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DAD7E4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3F9B16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3034596D">
            <w:pPr>
              <w:widowControl/>
              <w:spacing w:line="240" w:lineRule="auto"/>
              <w:jc w:val="right"/>
              <w:rPr>
                <w:rFonts w:ascii="宋体" w:hAnsi="宋体" w:eastAsia="宋体" w:cs="宋体"/>
                <w:kern w:val="0"/>
                <w:sz w:val="18"/>
                <w:szCs w:val="18"/>
              </w:rPr>
            </w:pPr>
          </w:p>
        </w:tc>
      </w:tr>
      <w:tr w14:paraId="7413F04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C8B08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7D47FF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19F0A4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27BBB0A3">
            <w:pPr>
              <w:widowControl/>
              <w:spacing w:line="240" w:lineRule="auto"/>
              <w:jc w:val="right"/>
              <w:rPr>
                <w:rFonts w:ascii="宋体" w:hAnsi="宋体" w:eastAsia="宋体" w:cs="宋体"/>
                <w:kern w:val="0"/>
                <w:sz w:val="18"/>
                <w:szCs w:val="18"/>
              </w:rPr>
            </w:pPr>
          </w:p>
        </w:tc>
      </w:tr>
      <w:tr w14:paraId="717F5C2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026F12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A14EF8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53EEEA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1D40A65E">
            <w:pPr>
              <w:widowControl/>
              <w:spacing w:line="240" w:lineRule="auto"/>
              <w:jc w:val="right"/>
              <w:rPr>
                <w:rFonts w:ascii="宋体" w:hAnsi="宋体" w:eastAsia="宋体" w:cs="宋体"/>
                <w:kern w:val="0"/>
                <w:sz w:val="18"/>
                <w:szCs w:val="18"/>
              </w:rPr>
            </w:pPr>
          </w:p>
        </w:tc>
      </w:tr>
      <w:tr w14:paraId="04CB1FE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4241EF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CF5346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52A8B8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4D41248F">
            <w:pPr>
              <w:widowControl/>
              <w:spacing w:line="240" w:lineRule="auto"/>
              <w:jc w:val="right"/>
              <w:rPr>
                <w:rFonts w:ascii="宋体" w:hAnsi="宋体" w:eastAsia="宋体" w:cs="宋体"/>
                <w:kern w:val="0"/>
                <w:sz w:val="18"/>
                <w:szCs w:val="18"/>
              </w:rPr>
            </w:pPr>
          </w:p>
        </w:tc>
      </w:tr>
      <w:tr w14:paraId="36AFF12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099E8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E5BCEF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08D345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43C616D6">
            <w:pPr>
              <w:widowControl/>
              <w:spacing w:line="240" w:lineRule="auto"/>
              <w:jc w:val="right"/>
              <w:rPr>
                <w:rFonts w:ascii="宋体" w:hAnsi="宋体" w:eastAsia="宋体" w:cs="宋体"/>
                <w:kern w:val="0"/>
                <w:sz w:val="18"/>
                <w:szCs w:val="18"/>
              </w:rPr>
            </w:pPr>
          </w:p>
        </w:tc>
      </w:tr>
      <w:tr w14:paraId="1903301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1AB3FF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65A4F7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50606A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52257A0A">
            <w:pPr>
              <w:widowControl/>
              <w:spacing w:line="240" w:lineRule="auto"/>
              <w:jc w:val="right"/>
              <w:rPr>
                <w:rFonts w:ascii="宋体" w:hAnsi="宋体" w:eastAsia="宋体" w:cs="宋体"/>
                <w:kern w:val="0"/>
                <w:sz w:val="18"/>
                <w:szCs w:val="18"/>
              </w:rPr>
            </w:pPr>
          </w:p>
        </w:tc>
      </w:tr>
      <w:tr w14:paraId="35951EC7">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1EF8C3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7C8C55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45A9B6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01E83789">
            <w:pPr>
              <w:widowControl/>
              <w:spacing w:line="240" w:lineRule="auto"/>
              <w:jc w:val="right"/>
              <w:rPr>
                <w:rFonts w:ascii="宋体" w:hAnsi="宋体" w:eastAsia="宋体" w:cs="宋体"/>
                <w:kern w:val="0"/>
                <w:sz w:val="18"/>
                <w:szCs w:val="18"/>
              </w:rPr>
            </w:pPr>
          </w:p>
        </w:tc>
      </w:tr>
      <w:tr w14:paraId="6B8131B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0D119B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56F8E3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703A81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389122BB">
            <w:pPr>
              <w:widowControl/>
              <w:spacing w:line="240" w:lineRule="auto"/>
              <w:jc w:val="right"/>
              <w:rPr>
                <w:rFonts w:ascii="宋体" w:hAnsi="宋体" w:eastAsia="宋体" w:cs="宋体"/>
                <w:kern w:val="0"/>
                <w:sz w:val="18"/>
                <w:szCs w:val="18"/>
              </w:rPr>
            </w:pPr>
          </w:p>
        </w:tc>
      </w:tr>
      <w:tr w14:paraId="2DD1895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0F7B5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F0EF96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9E45C4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696CCCE8">
            <w:pPr>
              <w:widowControl/>
              <w:spacing w:line="240" w:lineRule="auto"/>
              <w:jc w:val="right"/>
              <w:rPr>
                <w:rFonts w:ascii="宋体" w:hAnsi="宋体" w:eastAsia="宋体" w:cs="宋体"/>
                <w:kern w:val="0"/>
                <w:sz w:val="18"/>
                <w:szCs w:val="18"/>
              </w:rPr>
            </w:pPr>
          </w:p>
        </w:tc>
      </w:tr>
      <w:tr w14:paraId="75C389C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59CDB0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AB6091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A7C4B1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63244588">
            <w:pPr>
              <w:widowControl/>
              <w:spacing w:line="240" w:lineRule="auto"/>
              <w:jc w:val="right"/>
              <w:rPr>
                <w:rFonts w:ascii="宋体" w:hAnsi="宋体" w:eastAsia="宋体" w:cs="宋体"/>
                <w:kern w:val="0"/>
                <w:sz w:val="18"/>
                <w:szCs w:val="18"/>
              </w:rPr>
            </w:pPr>
          </w:p>
        </w:tc>
      </w:tr>
      <w:tr w14:paraId="6DC390B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4B6E97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277191A8">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eastAsia="zh-CN"/>
              </w:rPr>
              <w:t>492.82</w:t>
            </w: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14:paraId="6DE40E3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539AFDF4">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eastAsia="zh-CN"/>
              </w:rPr>
              <w:t>492.82</w:t>
            </w:r>
            <w:r>
              <w:rPr>
                <w:rFonts w:hint="eastAsia" w:ascii="宋体" w:hAnsi="宋体" w:eastAsia="宋体" w:cs="宋体"/>
                <w:b/>
                <w:kern w:val="0"/>
                <w:sz w:val="22"/>
              </w:rPr>
              <w:t>　</w:t>
            </w:r>
          </w:p>
        </w:tc>
      </w:tr>
    </w:tbl>
    <w:p w14:paraId="65367B76">
      <w:pPr>
        <w:tabs>
          <w:tab w:val="left" w:pos="7513"/>
        </w:tabs>
        <w:adjustRightInd w:val="0"/>
        <w:snapToGrid w:val="0"/>
        <w:spacing w:line="600" w:lineRule="exact"/>
        <w:outlineLvl w:val="1"/>
        <w:rPr>
          <w:rFonts w:ascii="黑体" w:hAnsi="黑体" w:eastAsia="黑体"/>
          <w:sz w:val="32"/>
          <w:szCs w:val="32"/>
        </w:rPr>
      </w:pPr>
      <w:bookmarkStart w:id="11" w:name="_Toc20433"/>
      <w:r>
        <w:rPr>
          <w:rFonts w:hint="eastAsia" w:ascii="黑体" w:hAnsi="黑体" w:eastAsia="黑体"/>
          <w:sz w:val="32"/>
          <w:szCs w:val="32"/>
        </w:rPr>
        <w:t>五、一般公共预算拨款支出预算表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8A18E5B">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46AF8D0B">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40821B37">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027F25C9">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73E6055F">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1469A8A">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6DEA6C0">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77B0CECB">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423453E">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890C79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9996E3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160816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15DBF718">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2F73D952">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5E3DAF77">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1E0FE17D">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38E9AE4">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0D3837A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4239001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1FFAC611">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2BD69805">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7631EDF9">
            <w:pPr>
              <w:widowControl/>
              <w:spacing w:line="240" w:lineRule="auto"/>
              <w:jc w:val="left"/>
              <w:rPr>
                <w:rFonts w:ascii="宋体" w:hAnsi="宋体" w:eastAsia="宋体" w:cs="宋体"/>
                <w:kern w:val="0"/>
                <w:sz w:val="22"/>
              </w:rPr>
            </w:pPr>
            <w:r>
              <w:rPr>
                <w:rFonts w:hint="eastAsia" w:ascii="宋体" w:hAnsi="宋体" w:eastAsia="宋体" w:cs="宋体"/>
                <w:kern w:val="0"/>
                <w:sz w:val="22"/>
                <w:lang w:eastAsia="zh-CN"/>
              </w:rPr>
              <w:t>492.82</w:t>
            </w:r>
          </w:p>
        </w:tc>
        <w:tc>
          <w:tcPr>
            <w:tcW w:w="1559" w:type="dxa"/>
            <w:tcBorders>
              <w:top w:val="nil"/>
              <w:left w:val="nil"/>
              <w:bottom w:val="single" w:color="auto" w:sz="4" w:space="0"/>
              <w:right w:val="single" w:color="auto" w:sz="4" w:space="0"/>
            </w:tcBorders>
            <w:shd w:val="clear" w:color="auto" w:fill="auto"/>
            <w:noWrap/>
            <w:vAlign w:val="bottom"/>
          </w:tcPr>
          <w:p w14:paraId="1ED69FDF">
            <w:pPr>
              <w:widowControl/>
              <w:spacing w:line="240" w:lineRule="auto"/>
              <w:jc w:val="left"/>
              <w:rPr>
                <w:rFonts w:ascii="宋体" w:hAnsi="宋体" w:eastAsia="宋体" w:cs="宋体"/>
                <w:kern w:val="0"/>
                <w:sz w:val="22"/>
              </w:rPr>
            </w:pPr>
            <w:r>
              <w:rPr>
                <w:rFonts w:hint="eastAsia" w:ascii="宋体" w:hAnsi="宋体" w:eastAsia="宋体" w:cs="宋体"/>
                <w:kern w:val="0"/>
                <w:sz w:val="22"/>
                <w:lang w:eastAsia="zh-CN"/>
              </w:rPr>
              <w:t>492.82</w:t>
            </w:r>
          </w:p>
        </w:tc>
        <w:tc>
          <w:tcPr>
            <w:tcW w:w="1418" w:type="dxa"/>
            <w:tcBorders>
              <w:top w:val="nil"/>
              <w:left w:val="nil"/>
              <w:bottom w:val="single" w:color="auto" w:sz="4" w:space="0"/>
              <w:right w:val="single" w:color="auto" w:sz="4" w:space="0"/>
            </w:tcBorders>
            <w:shd w:val="clear" w:color="auto" w:fill="auto"/>
            <w:noWrap/>
            <w:vAlign w:val="bottom"/>
          </w:tcPr>
          <w:p w14:paraId="02C825FF">
            <w:pPr>
              <w:widowControl/>
              <w:spacing w:line="240" w:lineRule="auto"/>
              <w:jc w:val="left"/>
              <w:rPr>
                <w:rFonts w:ascii="宋体" w:hAnsi="宋体" w:eastAsia="宋体" w:cs="宋体"/>
                <w:kern w:val="0"/>
                <w:sz w:val="22"/>
              </w:rPr>
            </w:pPr>
          </w:p>
        </w:tc>
      </w:tr>
      <w:tr w14:paraId="081B9AC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C9A337E">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205</w:t>
            </w:r>
          </w:p>
        </w:tc>
        <w:tc>
          <w:tcPr>
            <w:tcW w:w="2552" w:type="dxa"/>
            <w:tcBorders>
              <w:top w:val="nil"/>
              <w:left w:val="nil"/>
              <w:bottom w:val="single" w:color="auto" w:sz="4" w:space="0"/>
              <w:right w:val="single" w:color="auto" w:sz="4" w:space="0"/>
            </w:tcBorders>
            <w:shd w:val="clear" w:color="auto" w:fill="auto"/>
            <w:noWrap/>
            <w:vAlign w:val="center"/>
          </w:tcPr>
          <w:p w14:paraId="2183485D">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教育支出</w:t>
            </w:r>
          </w:p>
        </w:tc>
        <w:tc>
          <w:tcPr>
            <w:tcW w:w="1559" w:type="dxa"/>
            <w:tcBorders>
              <w:top w:val="nil"/>
              <w:left w:val="nil"/>
              <w:bottom w:val="single" w:color="auto" w:sz="4" w:space="0"/>
              <w:right w:val="single" w:color="auto" w:sz="4" w:space="0"/>
            </w:tcBorders>
            <w:shd w:val="clear" w:color="auto" w:fill="auto"/>
            <w:noWrap/>
            <w:vAlign w:val="center"/>
          </w:tcPr>
          <w:p w14:paraId="4E76DCA3">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492.82</w:t>
            </w:r>
          </w:p>
        </w:tc>
        <w:tc>
          <w:tcPr>
            <w:tcW w:w="1559" w:type="dxa"/>
            <w:tcBorders>
              <w:top w:val="nil"/>
              <w:left w:val="nil"/>
              <w:bottom w:val="single" w:color="auto" w:sz="4" w:space="0"/>
              <w:right w:val="single" w:color="auto" w:sz="4" w:space="0"/>
            </w:tcBorders>
            <w:shd w:val="clear" w:color="auto" w:fill="auto"/>
            <w:noWrap/>
            <w:vAlign w:val="center"/>
          </w:tcPr>
          <w:p w14:paraId="076049D0">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492.82</w:t>
            </w:r>
          </w:p>
        </w:tc>
        <w:tc>
          <w:tcPr>
            <w:tcW w:w="1418" w:type="dxa"/>
            <w:tcBorders>
              <w:top w:val="nil"/>
              <w:left w:val="nil"/>
              <w:bottom w:val="single" w:color="auto" w:sz="4" w:space="0"/>
              <w:right w:val="single" w:color="auto" w:sz="4" w:space="0"/>
            </w:tcBorders>
            <w:shd w:val="clear" w:color="auto" w:fill="auto"/>
            <w:noWrap/>
            <w:vAlign w:val="bottom"/>
          </w:tcPr>
          <w:p w14:paraId="416914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579126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4BA2C1F">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20502</w:t>
            </w:r>
          </w:p>
        </w:tc>
        <w:tc>
          <w:tcPr>
            <w:tcW w:w="2552" w:type="dxa"/>
            <w:tcBorders>
              <w:top w:val="nil"/>
              <w:left w:val="nil"/>
              <w:bottom w:val="single" w:color="auto" w:sz="4" w:space="0"/>
              <w:right w:val="single" w:color="auto" w:sz="4" w:space="0"/>
            </w:tcBorders>
            <w:shd w:val="clear" w:color="auto" w:fill="auto"/>
            <w:noWrap/>
            <w:vAlign w:val="center"/>
          </w:tcPr>
          <w:p w14:paraId="67091D33">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普通教育</w:t>
            </w:r>
          </w:p>
        </w:tc>
        <w:tc>
          <w:tcPr>
            <w:tcW w:w="1559" w:type="dxa"/>
            <w:tcBorders>
              <w:top w:val="nil"/>
              <w:left w:val="nil"/>
              <w:bottom w:val="single" w:color="auto" w:sz="4" w:space="0"/>
              <w:right w:val="single" w:color="auto" w:sz="4" w:space="0"/>
            </w:tcBorders>
            <w:shd w:val="clear" w:color="auto" w:fill="auto"/>
            <w:noWrap/>
            <w:vAlign w:val="center"/>
          </w:tcPr>
          <w:p w14:paraId="4ABCB62F">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492.82</w:t>
            </w:r>
          </w:p>
        </w:tc>
        <w:tc>
          <w:tcPr>
            <w:tcW w:w="1559" w:type="dxa"/>
            <w:tcBorders>
              <w:top w:val="nil"/>
              <w:left w:val="nil"/>
              <w:bottom w:val="single" w:color="auto" w:sz="4" w:space="0"/>
              <w:right w:val="single" w:color="auto" w:sz="4" w:space="0"/>
            </w:tcBorders>
            <w:shd w:val="clear" w:color="auto" w:fill="auto"/>
            <w:noWrap/>
            <w:vAlign w:val="center"/>
          </w:tcPr>
          <w:p w14:paraId="3F1C4ABA">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492.82</w:t>
            </w:r>
          </w:p>
        </w:tc>
        <w:tc>
          <w:tcPr>
            <w:tcW w:w="1418" w:type="dxa"/>
            <w:tcBorders>
              <w:top w:val="nil"/>
              <w:left w:val="nil"/>
              <w:bottom w:val="single" w:color="auto" w:sz="4" w:space="0"/>
              <w:right w:val="single" w:color="auto" w:sz="4" w:space="0"/>
            </w:tcBorders>
            <w:shd w:val="clear" w:color="auto" w:fill="auto"/>
            <w:noWrap/>
            <w:vAlign w:val="bottom"/>
          </w:tcPr>
          <w:p w14:paraId="27FA78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6EFFED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61864B1">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2050201</w:t>
            </w:r>
          </w:p>
        </w:tc>
        <w:tc>
          <w:tcPr>
            <w:tcW w:w="2552" w:type="dxa"/>
            <w:tcBorders>
              <w:top w:val="nil"/>
              <w:left w:val="nil"/>
              <w:bottom w:val="single" w:color="auto" w:sz="4" w:space="0"/>
              <w:right w:val="single" w:color="auto" w:sz="4" w:space="0"/>
            </w:tcBorders>
            <w:shd w:val="clear" w:color="auto" w:fill="auto"/>
            <w:noWrap/>
            <w:vAlign w:val="center"/>
          </w:tcPr>
          <w:p w14:paraId="7D0B5DE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学前教育</w:t>
            </w:r>
          </w:p>
        </w:tc>
        <w:tc>
          <w:tcPr>
            <w:tcW w:w="1559" w:type="dxa"/>
            <w:tcBorders>
              <w:top w:val="nil"/>
              <w:left w:val="nil"/>
              <w:bottom w:val="single" w:color="auto" w:sz="4" w:space="0"/>
              <w:right w:val="single" w:color="auto" w:sz="4" w:space="0"/>
            </w:tcBorders>
            <w:shd w:val="clear" w:color="auto" w:fill="auto"/>
            <w:noWrap/>
            <w:vAlign w:val="center"/>
          </w:tcPr>
          <w:p w14:paraId="62A3ACA1">
            <w:pPr>
              <w:widowControl/>
              <w:spacing w:line="240" w:lineRule="auto"/>
              <w:jc w:val="right"/>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74.88</w:t>
            </w:r>
          </w:p>
        </w:tc>
        <w:tc>
          <w:tcPr>
            <w:tcW w:w="1559" w:type="dxa"/>
            <w:tcBorders>
              <w:top w:val="nil"/>
              <w:left w:val="nil"/>
              <w:bottom w:val="single" w:color="auto" w:sz="4" w:space="0"/>
              <w:right w:val="single" w:color="auto" w:sz="4" w:space="0"/>
            </w:tcBorders>
            <w:shd w:val="clear" w:color="auto" w:fill="auto"/>
            <w:noWrap/>
            <w:vAlign w:val="center"/>
          </w:tcPr>
          <w:p w14:paraId="0877554D">
            <w:pPr>
              <w:widowControl/>
              <w:spacing w:line="240" w:lineRule="auto"/>
              <w:jc w:val="right"/>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74.88</w:t>
            </w:r>
          </w:p>
        </w:tc>
        <w:tc>
          <w:tcPr>
            <w:tcW w:w="1418" w:type="dxa"/>
            <w:tcBorders>
              <w:top w:val="nil"/>
              <w:left w:val="nil"/>
              <w:bottom w:val="single" w:color="auto" w:sz="4" w:space="0"/>
              <w:right w:val="single" w:color="auto" w:sz="4" w:space="0"/>
            </w:tcBorders>
            <w:shd w:val="clear" w:color="auto" w:fill="auto"/>
            <w:noWrap/>
            <w:vAlign w:val="bottom"/>
          </w:tcPr>
          <w:p w14:paraId="62C299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382D8A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FA945D0">
            <w:pPr>
              <w:widowControl/>
              <w:spacing w:line="240" w:lineRule="auto"/>
              <w:jc w:val="center"/>
              <w:rPr>
                <w:rFonts w:ascii="宋体" w:hAnsi="宋体" w:eastAsia="宋体" w:cs="宋体"/>
                <w:kern w:val="0"/>
                <w:sz w:val="22"/>
                <w:szCs w:val="22"/>
              </w:rPr>
            </w:pPr>
            <w:r>
              <w:rPr>
                <w:rFonts w:hint="eastAsia" w:ascii="宋体" w:hAnsi="宋体" w:eastAsia="宋体" w:cs="宋体"/>
                <w:kern w:val="0"/>
                <w:sz w:val="22"/>
                <w:szCs w:val="22"/>
              </w:rPr>
              <w:t>2050202</w:t>
            </w:r>
          </w:p>
        </w:tc>
        <w:tc>
          <w:tcPr>
            <w:tcW w:w="2552" w:type="dxa"/>
            <w:tcBorders>
              <w:top w:val="nil"/>
              <w:left w:val="nil"/>
              <w:bottom w:val="single" w:color="auto" w:sz="4" w:space="0"/>
              <w:right w:val="single" w:color="auto" w:sz="4" w:space="0"/>
            </w:tcBorders>
            <w:shd w:val="clear" w:color="auto" w:fill="auto"/>
            <w:noWrap/>
            <w:vAlign w:val="center"/>
          </w:tcPr>
          <w:p w14:paraId="62679A89">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小学教育</w:t>
            </w:r>
          </w:p>
        </w:tc>
        <w:tc>
          <w:tcPr>
            <w:tcW w:w="1559" w:type="dxa"/>
            <w:tcBorders>
              <w:top w:val="nil"/>
              <w:left w:val="nil"/>
              <w:bottom w:val="single" w:color="auto" w:sz="4" w:space="0"/>
              <w:right w:val="single" w:color="auto" w:sz="4" w:space="0"/>
            </w:tcBorders>
            <w:shd w:val="clear" w:color="auto" w:fill="auto"/>
            <w:noWrap/>
            <w:vAlign w:val="center"/>
          </w:tcPr>
          <w:p w14:paraId="5DED3BD0">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417.94</w:t>
            </w:r>
          </w:p>
        </w:tc>
        <w:tc>
          <w:tcPr>
            <w:tcW w:w="1559" w:type="dxa"/>
            <w:tcBorders>
              <w:top w:val="nil"/>
              <w:left w:val="nil"/>
              <w:bottom w:val="single" w:color="auto" w:sz="4" w:space="0"/>
              <w:right w:val="single" w:color="auto" w:sz="4" w:space="0"/>
            </w:tcBorders>
            <w:shd w:val="clear" w:color="auto" w:fill="auto"/>
            <w:noWrap/>
            <w:vAlign w:val="center"/>
          </w:tcPr>
          <w:p w14:paraId="5BAB8CF4">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417.94</w:t>
            </w:r>
          </w:p>
        </w:tc>
        <w:tc>
          <w:tcPr>
            <w:tcW w:w="1418" w:type="dxa"/>
            <w:tcBorders>
              <w:top w:val="nil"/>
              <w:left w:val="nil"/>
              <w:bottom w:val="single" w:color="auto" w:sz="4" w:space="0"/>
              <w:right w:val="single" w:color="auto" w:sz="4" w:space="0"/>
            </w:tcBorders>
            <w:shd w:val="clear" w:color="auto" w:fill="auto"/>
            <w:noWrap/>
            <w:vAlign w:val="bottom"/>
          </w:tcPr>
          <w:p w14:paraId="1AA3E6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0165A4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25AEB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A35652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35C1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76CDB7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AE77F1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019EB0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E4D170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358E58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8EA9D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DF7D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E669A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AE8FB5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785E77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4B0DB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6B4C52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EDFE6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F8ABC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7AEC05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E89602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6F0906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416E8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B2456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03B7D2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03679A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56777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DE5F5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67A0A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2D7146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FE714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E5B59D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8BA08F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13378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90EAAC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02EDD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BD5A47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2DFC42EF">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0283ED4F">
      <w:pPr>
        <w:tabs>
          <w:tab w:val="left" w:pos="7513"/>
        </w:tabs>
        <w:adjustRightInd w:val="0"/>
        <w:snapToGrid w:val="0"/>
        <w:spacing w:line="600" w:lineRule="exact"/>
        <w:outlineLvl w:val="1"/>
        <w:rPr>
          <w:rFonts w:ascii="黑体" w:hAnsi="黑体" w:eastAsia="黑体"/>
          <w:sz w:val="32"/>
          <w:szCs w:val="32"/>
        </w:rPr>
      </w:pPr>
      <w:bookmarkStart w:id="12" w:name="_Toc3272"/>
      <w:r>
        <w:rPr>
          <w:rFonts w:hint="eastAsia" w:ascii="黑体" w:hAnsi="黑体" w:eastAsia="黑体"/>
          <w:sz w:val="32"/>
          <w:szCs w:val="32"/>
        </w:rPr>
        <w:t>六、政府性基金预算拨款支出预算表</w:t>
      </w:r>
      <w:bookmarkEnd w:id="12"/>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1909D53B">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4A70A60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0B5FA38A">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05E2ABFC">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45A84C50">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5BC1BF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258300E">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6C6B15B0">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02203F84">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B02164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9B8CEA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52D56E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34F7C2EB">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087FE569">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0CDE7269">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21986F5D">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A18C59F">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3FC2713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0C63273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2B85E170">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1CE5E2B3">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307C9C4">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4F60360C">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7F98DF82">
            <w:pPr>
              <w:widowControl/>
              <w:spacing w:line="240" w:lineRule="auto"/>
              <w:jc w:val="center"/>
              <w:rPr>
                <w:rFonts w:ascii="宋体" w:hAnsi="宋体" w:eastAsia="宋体" w:cs="宋体"/>
                <w:kern w:val="0"/>
                <w:sz w:val="22"/>
              </w:rPr>
            </w:pPr>
          </w:p>
        </w:tc>
      </w:tr>
      <w:tr w14:paraId="11A89D1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5597D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4BDBA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3BAA38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D0911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B803D1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040A77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77AE48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FE95A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107AF1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9074F4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DC5B4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A38469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08FF4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509A2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6A177A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A745C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89F73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A01D8D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9CD75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45E944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F4533C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A7866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E983C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C5AAD1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08C8A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0E802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7675C0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D596E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F8ABE7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C02E2D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F9FA1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CB6573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75BA0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6E81B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C40C1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E4B795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BFC90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7DF4A9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9F38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77DD7C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8B146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A4FFCD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93C017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50C37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EFED8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3B746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4F7A5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78FED7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DAB9E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36E263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D51AA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9C6156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F0D96C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A78DFE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F870E3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7B7ACF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156D6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BBFA9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3E4A7C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30901738">
      <w:pPr>
        <w:widowControl/>
        <w:spacing w:line="300" w:lineRule="auto"/>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备注：本单位2026年没有使用政府性基金预算拨款安排的支出。</w:t>
      </w:r>
    </w:p>
    <w:p w14:paraId="7470B454">
      <w:pPr>
        <w:tabs>
          <w:tab w:val="left" w:pos="7513"/>
        </w:tabs>
        <w:adjustRightInd w:val="0"/>
        <w:snapToGrid w:val="0"/>
        <w:spacing w:line="600" w:lineRule="exact"/>
        <w:outlineLvl w:val="1"/>
        <w:rPr>
          <w:rFonts w:ascii="黑体" w:hAnsi="黑体" w:eastAsia="黑体"/>
          <w:sz w:val="32"/>
          <w:szCs w:val="32"/>
        </w:rPr>
      </w:pPr>
      <w:bookmarkStart w:id="13" w:name="_Toc29567"/>
      <w:r>
        <w:rPr>
          <w:rFonts w:hint="eastAsia" w:ascii="黑体" w:hAnsi="黑体" w:eastAsia="黑体"/>
          <w:sz w:val="32"/>
          <w:szCs w:val="32"/>
        </w:rPr>
        <w:t>七、国有资本经营预算拨款支出预算表</w:t>
      </w:r>
      <w:bookmarkEnd w:id="13"/>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492CFDB2">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7C94BA7B">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173291AC">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175D3643">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36A63FDD">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9112F31">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78125F0">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2C5D68A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59C4EED">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72A1F5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D54F7E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1E8E9B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292472D8">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2AC960CC">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6DE47B44">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1FBBAF64">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E73053D">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446C4DE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7F56B7F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5DAD97E6">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6C33C64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720F764C">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11C656B6">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59159C11">
            <w:pPr>
              <w:widowControl/>
              <w:spacing w:line="240" w:lineRule="auto"/>
              <w:jc w:val="center"/>
              <w:rPr>
                <w:rFonts w:ascii="宋体" w:hAnsi="宋体" w:eastAsia="宋体" w:cs="宋体"/>
                <w:kern w:val="0"/>
                <w:sz w:val="22"/>
              </w:rPr>
            </w:pPr>
          </w:p>
        </w:tc>
      </w:tr>
      <w:tr w14:paraId="4B329F9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C6398D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11F8B6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2DBCD0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8D0418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530C0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AFEC41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2A8CD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107582D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5437A0C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B7B4C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C9680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E9FEF4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11340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9150C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253008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6CC8D2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39906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B08F3D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A430B7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0110A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C68165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8F70B1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E18E6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B9F5E7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35D74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D3A2B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82B51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2929F1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53CE9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2EDD8B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7854B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4F0C4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749ADD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9C86EC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7C7A6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EBE9BC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E5DD1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198CF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E7235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D29B48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8DD25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BD725E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7BCAD7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2AD407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4DDB8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1D9C7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51632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0A5A13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79511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75E67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15A27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B603F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E2925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EE9B03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C8D64D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653C3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382FCA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C8B9C6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3D07D9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4B41D288">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备注：本单位2026年没有使用国有资本经营预算拨款安排的支出。</w:t>
      </w:r>
    </w:p>
    <w:p w14:paraId="53786BFF">
      <w:pPr>
        <w:tabs>
          <w:tab w:val="left" w:pos="7513"/>
        </w:tabs>
        <w:adjustRightInd w:val="0"/>
        <w:snapToGrid w:val="0"/>
        <w:spacing w:line="600" w:lineRule="exact"/>
        <w:outlineLvl w:val="1"/>
        <w:rPr>
          <w:rFonts w:ascii="黑体" w:hAnsi="黑体" w:eastAsia="黑体"/>
          <w:sz w:val="32"/>
          <w:szCs w:val="32"/>
        </w:rPr>
      </w:pPr>
      <w:bookmarkStart w:id="14" w:name="_Toc4785"/>
      <w:r>
        <w:rPr>
          <w:rFonts w:hint="eastAsia" w:ascii="黑体" w:hAnsi="黑体" w:eastAsia="黑体"/>
          <w:sz w:val="32"/>
          <w:szCs w:val="32"/>
        </w:rPr>
        <w:t>八、一般公共预算支出经济分类情况表</w:t>
      </w:r>
      <w:bookmarkEnd w:id="14"/>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25122C57">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35B936B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00C402D2">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778B256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13AD16A8">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62CA7BC8">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83D404F">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9DE9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3F0F7C1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668601B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3E0DED2D">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ABBC7">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56DE6EC2">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lang w:val="en-US" w:eastAsia="zh-CN"/>
              </w:rPr>
              <w:t>492.82</w:t>
            </w:r>
            <w:r>
              <w:rPr>
                <w:rFonts w:hint="eastAsia" w:ascii="宋体" w:hAnsi="宋体" w:eastAsia="宋体" w:cs="宋体"/>
                <w:b/>
                <w:bCs/>
                <w:color w:val="000000"/>
                <w:kern w:val="0"/>
                <w:sz w:val="22"/>
              </w:rPr>
              <w:t>　</w:t>
            </w:r>
          </w:p>
        </w:tc>
      </w:tr>
      <w:tr w14:paraId="0990E0C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8D19B7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493DAAB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34B004F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457.71</w:t>
            </w:r>
            <w:r>
              <w:rPr>
                <w:rFonts w:hint="eastAsia" w:ascii="宋体" w:hAnsi="宋体" w:eastAsia="宋体" w:cs="宋体"/>
                <w:color w:val="000000"/>
                <w:kern w:val="0"/>
                <w:sz w:val="22"/>
              </w:rPr>
              <w:t>　</w:t>
            </w:r>
          </w:p>
        </w:tc>
      </w:tr>
      <w:tr w14:paraId="394105D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7EBEE6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01A299B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51E9580C">
            <w:pPr>
              <w:widowControl/>
              <w:spacing w:line="240" w:lineRule="auto"/>
              <w:jc w:val="right"/>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0.61</w:t>
            </w:r>
          </w:p>
        </w:tc>
      </w:tr>
      <w:tr w14:paraId="739B400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57D749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3250F6A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4ABE72D7">
            <w:pPr>
              <w:widowControl/>
              <w:spacing w:line="240" w:lineRule="auto"/>
              <w:jc w:val="right"/>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34.50</w:t>
            </w:r>
          </w:p>
        </w:tc>
      </w:tr>
      <w:tr w14:paraId="40A6DBC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73A4F9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1BEAABF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62209A9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62BB05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1763C8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157A48A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0D02C30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F5332A8">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18A262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634A307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6B77A3E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9F05D7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9068F8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43B6FE2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46DC2DC0">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F5B21D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2710F1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5C6A4E6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7467B00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8FB0B0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74601E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0253A50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2AD29D2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B99EAB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E9C62D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61945B6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14FB307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78E964B9">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3CB5ADCB">
      <w:pPr>
        <w:tabs>
          <w:tab w:val="left" w:pos="7513"/>
        </w:tabs>
        <w:adjustRightInd w:val="0"/>
        <w:snapToGrid w:val="0"/>
        <w:spacing w:line="600" w:lineRule="exact"/>
        <w:outlineLvl w:val="1"/>
        <w:rPr>
          <w:rFonts w:ascii="黑体" w:hAnsi="黑体" w:eastAsia="黑体"/>
          <w:sz w:val="32"/>
          <w:szCs w:val="32"/>
        </w:rPr>
      </w:pPr>
      <w:bookmarkStart w:id="15" w:name="_Toc30339"/>
      <w:r>
        <w:rPr>
          <w:rFonts w:hint="eastAsia" w:ascii="黑体" w:hAnsi="黑体" w:eastAsia="黑体"/>
          <w:sz w:val="32"/>
          <w:szCs w:val="32"/>
        </w:rPr>
        <w:t>九、一般公共预算基本支出经济分类情况表</w:t>
      </w:r>
      <w:bookmarkEnd w:id="15"/>
    </w:p>
    <w:p w14:paraId="556A832E">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8"/>
        <w:tblW w:w="8237" w:type="dxa"/>
        <w:tblInd w:w="93" w:type="dxa"/>
        <w:tblLayout w:type="autofit"/>
        <w:tblCellMar>
          <w:top w:w="0" w:type="dxa"/>
          <w:left w:w="108" w:type="dxa"/>
          <w:bottom w:w="0" w:type="dxa"/>
          <w:right w:w="108" w:type="dxa"/>
        </w:tblCellMar>
      </w:tblPr>
      <w:tblGrid>
        <w:gridCol w:w="1575"/>
        <w:gridCol w:w="4252"/>
        <w:gridCol w:w="2410"/>
        <w:gridCol w:w="142"/>
      </w:tblGrid>
      <w:tr w14:paraId="7D18B7C4">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492B8FBF">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74513CD">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5A57D29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65BB9B9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03209B4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73E21493">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765782C">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4CF24BF0">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eastAsia="zh-CN"/>
              </w:rPr>
              <w:t>492.82</w:t>
            </w:r>
            <w:r>
              <w:rPr>
                <w:rFonts w:hint="eastAsia" w:ascii="宋体" w:hAnsi="宋体" w:eastAsia="宋体" w:cs="宋体"/>
                <w:b/>
                <w:bCs/>
                <w:color w:val="000000"/>
                <w:kern w:val="0"/>
                <w:sz w:val="18"/>
                <w:szCs w:val="18"/>
              </w:rPr>
              <w:t>　</w:t>
            </w:r>
          </w:p>
        </w:tc>
      </w:tr>
      <w:tr w14:paraId="29D198A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68B12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22C60CD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07CA9D2">
            <w:pPr>
              <w:widowControl/>
              <w:spacing w:line="240" w:lineRule="auto"/>
              <w:jc w:val="right"/>
              <w:rPr>
                <w:rFonts w:hint="default" w:ascii="宋体" w:hAnsi="宋体" w:eastAsia="宋体" w:cs="宋体"/>
                <w:b/>
                <w:bCs/>
                <w:color w:val="000000"/>
                <w:kern w:val="0"/>
                <w:sz w:val="18"/>
                <w:szCs w:val="18"/>
                <w:lang w:val="en-US" w:eastAsia="zh-CN"/>
              </w:rPr>
            </w:pPr>
            <w:r>
              <w:rPr>
                <w:rFonts w:hint="eastAsia" w:ascii="宋体" w:hAnsi="宋体" w:eastAsia="宋体" w:cs="宋体"/>
                <w:b/>
                <w:bCs/>
                <w:color w:val="000000"/>
                <w:kern w:val="0"/>
                <w:sz w:val="18"/>
                <w:szCs w:val="18"/>
                <w:lang w:val="en-US" w:eastAsia="zh-CN"/>
              </w:rPr>
              <w:t>457.71</w:t>
            </w:r>
          </w:p>
        </w:tc>
      </w:tr>
      <w:tr w14:paraId="0C483BA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04A49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031547A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3718C888">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171.11</w:t>
            </w:r>
          </w:p>
        </w:tc>
      </w:tr>
      <w:tr w14:paraId="67AD35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C051D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5FD04F5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F215937">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10.34</w:t>
            </w:r>
          </w:p>
        </w:tc>
      </w:tr>
      <w:tr w14:paraId="48B71C5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B2E3A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372EA93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4C5425F6">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88.92</w:t>
            </w:r>
          </w:p>
        </w:tc>
      </w:tr>
      <w:tr w14:paraId="2341F8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F3D24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08BDCA3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614AA34F">
            <w:pPr>
              <w:widowControl/>
              <w:spacing w:line="240" w:lineRule="auto"/>
              <w:jc w:val="right"/>
              <w:rPr>
                <w:rFonts w:ascii="宋体" w:hAnsi="宋体" w:eastAsia="宋体" w:cs="宋体"/>
                <w:color w:val="000000"/>
                <w:kern w:val="0"/>
                <w:sz w:val="18"/>
                <w:szCs w:val="18"/>
              </w:rPr>
            </w:pPr>
          </w:p>
        </w:tc>
      </w:tr>
      <w:tr w14:paraId="6A6941D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516F3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63C6B91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0F4CF502">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71.49</w:t>
            </w:r>
          </w:p>
        </w:tc>
      </w:tr>
      <w:tr w14:paraId="51F178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667C4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3F755CB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1E2D2F">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58.05</w:t>
            </w:r>
          </w:p>
        </w:tc>
      </w:tr>
      <w:tr w14:paraId="15A00E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A1266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5380996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D61BA36">
            <w:pPr>
              <w:widowControl/>
              <w:spacing w:line="240" w:lineRule="auto"/>
              <w:jc w:val="right"/>
              <w:rPr>
                <w:rFonts w:ascii="宋体" w:hAnsi="宋体" w:eastAsia="宋体" w:cs="宋体"/>
                <w:color w:val="000000"/>
                <w:kern w:val="0"/>
                <w:sz w:val="18"/>
                <w:szCs w:val="18"/>
              </w:rPr>
            </w:pPr>
          </w:p>
        </w:tc>
      </w:tr>
      <w:tr w14:paraId="2BC2640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4441E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16D8F77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E3CA744">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28.17</w:t>
            </w:r>
          </w:p>
        </w:tc>
      </w:tr>
      <w:tr w14:paraId="06A8E27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5CFBA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37DD305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95F44E8">
            <w:pPr>
              <w:widowControl/>
              <w:spacing w:line="240" w:lineRule="auto"/>
              <w:jc w:val="right"/>
              <w:rPr>
                <w:rFonts w:ascii="宋体" w:hAnsi="宋体" w:eastAsia="宋体" w:cs="宋体"/>
                <w:color w:val="000000"/>
                <w:kern w:val="0"/>
                <w:sz w:val="18"/>
                <w:szCs w:val="18"/>
              </w:rPr>
            </w:pPr>
          </w:p>
        </w:tc>
      </w:tr>
      <w:tr w14:paraId="38A848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17137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3BE2E49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D122A8B">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0.49</w:t>
            </w:r>
          </w:p>
        </w:tc>
      </w:tr>
      <w:tr w14:paraId="07FD94A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853A8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1450CDE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7C5C2DB6">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29.14</w:t>
            </w:r>
          </w:p>
        </w:tc>
      </w:tr>
      <w:tr w14:paraId="7A6578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1AEC6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66FF557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7170B9B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850213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9B593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79D80DE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F18B55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4E47B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F79B1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578151D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181EF57">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0.61</w:t>
            </w:r>
            <w:r>
              <w:rPr>
                <w:rFonts w:hint="eastAsia" w:ascii="宋体" w:hAnsi="宋体" w:eastAsia="宋体" w:cs="宋体"/>
                <w:b/>
                <w:bCs/>
                <w:color w:val="000000"/>
                <w:kern w:val="0"/>
                <w:sz w:val="18"/>
                <w:szCs w:val="18"/>
              </w:rPr>
              <w:t>　</w:t>
            </w:r>
          </w:p>
        </w:tc>
      </w:tr>
      <w:tr w14:paraId="33BE725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A5E0F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6321B31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516470D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651D7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5D9B8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7D053F3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59E2D32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2C8D1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4065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3201694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5FD5E5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3307F6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4066E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261EB64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5F16BFE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3DBAE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FC4C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647EC20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677F0F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CAA088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854C2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5E2AD5D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400CF6D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467EF5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8D109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6C50B97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33784EB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986821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D2B2B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29B392F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31B9A2D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F026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2408A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2415DB8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00D5414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5BB66C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A1B0D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5EDE089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36A0903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D73FE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A5F19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720B003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C40DF9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5F6164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8E672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5590505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1AC273A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1CA5EB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979F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18E5B12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1E80DF5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C810AB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F307F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7CF6563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213BAED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91534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83E8C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049EC14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2D44101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617A30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300E3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66FED56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0B6B4F7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1961AE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06E9A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04C43C0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765E70F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42A44B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B9DCE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46FAC8A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1F4A915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002403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DB83C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780208B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2B442C6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71EB38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1A4B8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74B04DF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471A5ED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82482A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A25B2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419F5AD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71D5FD7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A5C677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7543E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0B8827E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1EE9E1F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1B2F1A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B6A6E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1729EBE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6F408CE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9096E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F37E2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5F46A11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097F4D8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D4977D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A4E47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340A790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1B4633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027E4C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E5383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3E8113F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0C76E4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84414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A625D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1313940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E6F1BA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0.61</w:t>
            </w:r>
            <w:r>
              <w:rPr>
                <w:rFonts w:hint="eastAsia" w:ascii="宋体" w:hAnsi="宋体" w:eastAsia="宋体" w:cs="宋体"/>
                <w:color w:val="000000"/>
                <w:kern w:val="0"/>
                <w:sz w:val="18"/>
                <w:szCs w:val="18"/>
              </w:rPr>
              <w:t>　</w:t>
            </w:r>
          </w:p>
        </w:tc>
      </w:tr>
      <w:tr w14:paraId="44DEC0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0EE48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1AADA8A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5447A09">
            <w:pPr>
              <w:widowControl/>
              <w:spacing w:line="240" w:lineRule="auto"/>
              <w:jc w:val="right"/>
              <w:rPr>
                <w:rFonts w:hint="default" w:ascii="宋体" w:hAnsi="宋体" w:eastAsia="宋体" w:cs="宋体"/>
                <w:b/>
                <w:bCs/>
                <w:color w:val="000000"/>
                <w:kern w:val="0"/>
                <w:sz w:val="18"/>
                <w:szCs w:val="18"/>
                <w:lang w:val="en-US" w:eastAsia="zh-CN"/>
              </w:rPr>
            </w:pPr>
            <w:r>
              <w:rPr>
                <w:rFonts w:hint="eastAsia" w:ascii="宋体" w:hAnsi="宋体" w:eastAsia="宋体" w:cs="宋体"/>
                <w:b/>
                <w:bCs/>
                <w:color w:val="000000"/>
                <w:kern w:val="0"/>
                <w:sz w:val="18"/>
                <w:szCs w:val="18"/>
                <w:lang w:val="en-US" w:eastAsia="zh-CN"/>
              </w:rPr>
              <w:t>34.50</w:t>
            </w:r>
          </w:p>
        </w:tc>
      </w:tr>
      <w:tr w14:paraId="5C0B91A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89238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26FD643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29175B5D">
            <w:pPr>
              <w:widowControl/>
              <w:spacing w:line="240" w:lineRule="auto"/>
              <w:jc w:val="right"/>
              <w:rPr>
                <w:rFonts w:ascii="宋体" w:hAnsi="宋体" w:eastAsia="宋体" w:cs="宋体"/>
                <w:color w:val="000000"/>
                <w:kern w:val="0"/>
                <w:sz w:val="18"/>
                <w:szCs w:val="18"/>
              </w:rPr>
            </w:pPr>
          </w:p>
        </w:tc>
      </w:tr>
      <w:tr w14:paraId="015255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2B063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49AC2A9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630141FF">
            <w:pPr>
              <w:widowControl/>
              <w:spacing w:line="240" w:lineRule="auto"/>
              <w:jc w:val="right"/>
              <w:rPr>
                <w:rFonts w:ascii="宋体" w:hAnsi="宋体" w:eastAsia="宋体" w:cs="宋体"/>
                <w:color w:val="000000"/>
                <w:kern w:val="0"/>
                <w:sz w:val="18"/>
                <w:szCs w:val="18"/>
              </w:rPr>
            </w:pPr>
          </w:p>
        </w:tc>
      </w:tr>
      <w:tr w14:paraId="07357C1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41C5E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6F06AF7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1D910FCE">
            <w:pPr>
              <w:widowControl/>
              <w:spacing w:line="240" w:lineRule="auto"/>
              <w:jc w:val="right"/>
              <w:rPr>
                <w:rFonts w:ascii="宋体" w:hAnsi="宋体" w:eastAsia="宋体" w:cs="宋体"/>
                <w:color w:val="000000"/>
                <w:kern w:val="0"/>
                <w:sz w:val="18"/>
                <w:szCs w:val="18"/>
              </w:rPr>
            </w:pPr>
          </w:p>
        </w:tc>
      </w:tr>
      <w:tr w14:paraId="1ABD67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18196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2634731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01CA95BC">
            <w:pPr>
              <w:widowControl/>
              <w:spacing w:line="240" w:lineRule="auto"/>
              <w:jc w:val="right"/>
              <w:rPr>
                <w:rFonts w:ascii="宋体" w:hAnsi="宋体" w:eastAsia="宋体" w:cs="宋体"/>
                <w:color w:val="000000"/>
                <w:kern w:val="0"/>
                <w:sz w:val="18"/>
                <w:szCs w:val="18"/>
              </w:rPr>
            </w:pPr>
          </w:p>
        </w:tc>
      </w:tr>
      <w:tr w14:paraId="6ACCA27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CCE19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29BFDFA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8B0EB80">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8.59</w:t>
            </w:r>
          </w:p>
        </w:tc>
      </w:tr>
      <w:tr w14:paraId="1E2F2FF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02CA8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7E46B3C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373E7E24">
            <w:pPr>
              <w:widowControl/>
              <w:spacing w:line="240" w:lineRule="auto"/>
              <w:jc w:val="right"/>
              <w:rPr>
                <w:rFonts w:ascii="宋体" w:hAnsi="宋体" w:eastAsia="宋体" w:cs="宋体"/>
                <w:color w:val="000000"/>
                <w:kern w:val="0"/>
                <w:sz w:val="18"/>
                <w:szCs w:val="18"/>
              </w:rPr>
            </w:pPr>
          </w:p>
        </w:tc>
      </w:tr>
      <w:tr w14:paraId="1BC69C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ADDB7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3C42E91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8096D07">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9.41</w:t>
            </w:r>
          </w:p>
        </w:tc>
      </w:tr>
      <w:tr w14:paraId="1C211EB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C1D48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370E8EC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4A061B07">
            <w:pPr>
              <w:widowControl/>
              <w:spacing w:line="240" w:lineRule="auto"/>
              <w:jc w:val="right"/>
              <w:rPr>
                <w:rFonts w:ascii="宋体" w:hAnsi="宋体" w:eastAsia="宋体" w:cs="宋体"/>
                <w:color w:val="000000"/>
                <w:kern w:val="0"/>
                <w:sz w:val="18"/>
                <w:szCs w:val="18"/>
              </w:rPr>
            </w:pPr>
          </w:p>
        </w:tc>
      </w:tr>
      <w:tr w14:paraId="2568F68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78BA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51DD475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248BE44A">
            <w:pPr>
              <w:widowControl/>
              <w:spacing w:line="240" w:lineRule="auto"/>
              <w:jc w:val="right"/>
              <w:rPr>
                <w:rFonts w:ascii="宋体" w:hAnsi="宋体" w:eastAsia="宋体" w:cs="宋体"/>
                <w:color w:val="000000"/>
                <w:kern w:val="0"/>
                <w:sz w:val="18"/>
                <w:szCs w:val="18"/>
              </w:rPr>
            </w:pPr>
          </w:p>
        </w:tc>
      </w:tr>
      <w:tr w14:paraId="3595487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77613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66C11CE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EB94A2A">
            <w:pPr>
              <w:widowControl/>
              <w:spacing w:line="240" w:lineRule="auto"/>
              <w:jc w:val="right"/>
              <w:rPr>
                <w:rFonts w:ascii="宋体" w:hAnsi="宋体" w:eastAsia="宋体" w:cs="宋体"/>
                <w:color w:val="000000"/>
                <w:kern w:val="0"/>
                <w:sz w:val="18"/>
                <w:szCs w:val="18"/>
              </w:rPr>
            </w:pPr>
          </w:p>
        </w:tc>
      </w:tr>
      <w:tr w14:paraId="321EF28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DFB28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5E510F4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7883AB84">
            <w:pPr>
              <w:widowControl/>
              <w:spacing w:line="240" w:lineRule="auto"/>
              <w:jc w:val="right"/>
              <w:rPr>
                <w:rFonts w:ascii="宋体" w:hAnsi="宋体" w:eastAsia="宋体" w:cs="宋体"/>
                <w:color w:val="000000"/>
                <w:kern w:val="0"/>
                <w:sz w:val="18"/>
                <w:szCs w:val="18"/>
              </w:rPr>
            </w:pPr>
          </w:p>
        </w:tc>
      </w:tr>
      <w:tr w14:paraId="00FC5A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08661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0C1FB05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A348D28">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16.50</w:t>
            </w:r>
          </w:p>
        </w:tc>
      </w:tr>
      <w:tr w14:paraId="06CC800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4265B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6ECBA54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20479B7">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01A6717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C65CA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4A82976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739BBE1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84E4A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8741C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353DB3E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6B24B15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49FB4D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5CBD9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4624591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E2E5D5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54F71E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E099B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284D3C4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DF315A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21ACE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474EFE">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693FDEC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AF97A63">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1A94E46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DA070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0D4069C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118EF93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6EC34C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09AE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03D2D0C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5EB413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80EF70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E491B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1ADAF67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7CA56D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1C6CDF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FB0C9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087FAD2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C568DA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CFC867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C6873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6D1E347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6E440AF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ED748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B82B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79ECC0B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198B7E0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8CDB6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CD707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556C831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06377C2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56B23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FDC05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1EDF78B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00ABFF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B88D9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2A48F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60747B0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DDB0BC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5BB1A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D6F55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519A137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A3B81B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987F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4489F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33D9964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691513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6B6679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9E0C4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7405739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080C11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EF650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BB3F6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4CFA707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A749AD1">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59670BC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AD384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6CE8739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07B359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E3393D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F4BA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075CFB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D4E70E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BB5D8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94EE8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5AE27D9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D1AAEE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A118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3664C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2A0FC5F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7C83C8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5D5CE1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B3611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762FCE3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669C707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4782C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65E8E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4217D1A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6117F8A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5DA53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7914B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045E4BD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1ECB237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6020D5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18BD8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769C721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398AA86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C32808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3D1A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33458C2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44D61B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00DFBA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8193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2AC8523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3E7C3E3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2BBA1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8D423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594527B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7272CA0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191FFC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D1502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265DBB5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BC6408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136136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A2B1D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7E21DD7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B6EEC4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CFC0B8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56638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0EB0889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6E5DDE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EBDFDD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02D4C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7AAD764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DD4223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8BC481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E61EB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30DCCD7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30DE69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9C1746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774C6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0B5984C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7899AC8">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1ED2185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812E2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07E802F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080EF9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042318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0C968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649257F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F7D95D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65627C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12CF9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223E301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D156EF0">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198813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D61E0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195D6E4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3AA3285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044F83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B7806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093E539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58F44C1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6C619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12D1A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0AB6CD1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0731A1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68B51A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1C2C9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05C4BAC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0EB8211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58BE8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94FD2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5C447BF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8F6BB94">
            <w:pPr>
              <w:widowControl/>
              <w:spacing w:line="240" w:lineRule="auto"/>
              <w:jc w:val="right"/>
              <w:rPr>
                <w:rFonts w:ascii="宋体" w:hAnsi="宋体" w:eastAsia="宋体" w:cs="宋体"/>
                <w:kern w:val="0"/>
                <w:sz w:val="18"/>
                <w:szCs w:val="18"/>
              </w:rPr>
            </w:pPr>
          </w:p>
        </w:tc>
      </w:tr>
      <w:tr w14:paraId="5390EAD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81782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3BBDAB6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9AAC34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BD6D96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29425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35D702D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E768C61">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1CC0A1D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56819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2AD5751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015A9B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95177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C3A38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6AEFF24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587BE49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9050B8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68963B">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330BDB71">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8BC0897">
            <w:pPr>
              <w:widowControl/>
              <w:spacing w:line="240" w:lineRule="auto"/>
              <w:jc w:val="right"/>
              <w:rPr>
                <w:rFonts w:ascii="宋体" w:hAnsi="宋体" w:eastAsia="宋体" w:cs="宋体"/>
                <w:bCs/>
                <w:kern w:val="0"/>
                <w:sz w:val="18"/>
                <w:szCs w:val="18"/>
              </w:rPr>
            </w:pPr>
          </w:p>
        </w:tc>
      </w:tr>
      <w:tr w14:paraId="3B1AC64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6EEE2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464C73C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688DD60">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6EB98F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9A40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77EE588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EEEDB0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FD6E5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3060E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3930323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39FBD9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5013F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65D6E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0A16C84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32F9A5F6">
            <w:pPr>
              <w:widowControl/>
              <w:spacing w:line="240" w:lineRule="auto"/>
              <w:jc w:val="right"/>
              <w:rPr>
                <w:rFonts w:ascii="宋体" w:hAnsi="宋体" w:eastAsia="宋体" w:cs="宋体"/>
                <w:kern w:val="0"/>
                <w:sz w:val="18"/>
                <w:szCs w:val="18"/>
              </w:rPr>
            </w:pPr>
          </w:p>
        </w:tc>
      </w:tr>
      <w:tr w14:paraId="0BBEB98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41F42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6F937EE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241EE77F">
            <w:pPr>
              <w:widowControl/>
              <w:spacing w:line="240" w:lineRule="auto"/>
              <w:jc w:val="right"/>
              <w:rPr>
                <w:rFonts w:ascii="宋体" w:hAnsi="宋体" w:eastAsia="宋体" w:cs="宋体"/>
                <w:kern w:val="0"/>
                <w:sz w:val="18"/>
                <w:szCs w:val="18"/>
              </w:rPr>
            </w:pPr>
          </w:p>
        </w:tc>
      </w:tr>
      <w:tr w14:paraId="6FDC91C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76028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649621B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6F26A6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6BC12D02">
      <w:pPr>
        <w:widowControl/>
        <w:spacing w:line="300" w:lineRule="auto"/>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24A6AF26">
      <w:pPr>
        <w:tabs>
          <w:tab w:val="left" w:pos="7513"/>
        </w:tabs>
        <w:adjustRightInd w:val="0"/>
        <w:snapToGrid w:val="0"/>
        <w:spacing w:line="600" w:lineRule="exact"/>
        <w:outlineLvl w:val="1"/>
        <w:rPr>
          <w:rFonts w:ascii="黑体" w:hAnsi="黑体" w:eastAsia="黑体"/>
          <w:sz w:val="32"/>
          <w:szCs w:val="32"/>
        </w:rPr>
      </w:pPr>
      <w:bookmarkStart w:id="16" w:name="_Toc5255"/>
      <w:r>
        <w:rPr>
          <w:rFonts w:hint="eastAsia" w:ascii="黑体" w:hAnsi="黑体" w:eastAsia="黑体"/>
          <w:sz w:val="32"/>
          <w:szCs w:val="32"/>
        </w:rPr>
        <w:t>十、一般公共预算“三公”经费支出预算表</w:t>
      </w:r>
      <w:bookmarkEnd w:id="16"/>
    </w:p>
    <w:tbl>
      <w:tblPr>
        <w:tblStyle w:val="8"/>
        <w:tblW w:w="7848" w:type="dxa"/>
        <w:tblInd w:w="93" w:type="dxa"/>
        <w:tblLayout w:type="autofit"/>
        <w:tblCellMar>
          <w:top w:w="0" w:type="dxa"/>
          <w:left w:w="108" w:type="dxa"/>
          <w:bottom w:w="0" w:type="dxa"/>
          <w:right w:w="108" w:type="dxa"/>
        </w:tblCellMar>
      </w:tblPr>
      <w:tblGrid>
        <w:gridCol w:w="4268"/>
        <w:gridCol w:w="3580"/>
      </w:tblGrid>
      <w:tr w14:paraId="35751D91">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459AE209">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199E6F7A">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32B07B7E">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6E25C8DC">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786B488">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994A4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00E6D1F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18023AF6">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34D05FCD">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0C4E9220">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34D1A07A">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07315FD6">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5991121D">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255F0DF7">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4C1AB836">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5599AE8F">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0DB45FFB">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173CF0BF">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37EE9BFB">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6B974123">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053BDB0B">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6AD64AC2">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53ADC92A">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462D1AC4">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69CC89FF">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bl>
    <w:p w14:paraId="19337217">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2877F6B7">
      <w:pPr>
        <w:tabs>
          <w:tab w:val="left" w:pos="7513"/>
        </w:tabs>
        <w:adjustRightInd w:val="0"/>
        <w:snapToGrid w:val="0"/>
        <w:spacing w:line="600" w:lineRule="exact"/>
        <w:outlineLvl w:val="1"/>
        <w:rPr>
          <w:rFonts w:ascii="黑体" w:hAnsi="黑体" w:eastAsia="黑体"/>
          <w:sz w:val="32"/>
          <w:szCs w:val="32"/>
        </w:rPr>
      </w:pPr>
      <w:bookmarkStart w:id="17" w:name="_Toc29952"/>
      <w:r>
        <w:rPr>
          <w:rFonts w:hint="eastAsia" w:ascii="黑体" w:hAnsi="黑体" w:eastAsia="黑体"/>
          <w:sz w:val="32"/>
          <w:szCs w:val="32"/>
        </w:rPr>
        <w:t>十一、单位专项资金管理清单目录</w:t>
      </w:r>
      <w:bookmarkEnd w:id="17"/>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377EEDDE">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15D4DFE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4AE9730C">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42800AF5">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146D3D3B">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6D55C8F7">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2FCB99BA">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5D06B0CD">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468A6751">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6543D1A2">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1572AEDF">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5E38EC3D">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660EAB01">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3B332B31">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458F1CE1">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B323D33">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584DDB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0DC59B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DB7BF6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BA7339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0397E4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B065F7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984095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795EA7C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FDFD97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38575D9E">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63A12FA6">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4BF7BF90">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351A0E7B">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7B098D04">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1AC91850">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48175B76">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79AB44B4">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73799AB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7360215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63F8C01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57FC514C">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30AF335F">
            <w:pPr>
              <w:widowControl/>
              <w:spacing w:line="240" w:lineRule="auto"/>
              <w:jc w:val="left"/>
              <w:rPr>
                <w:rFonts w:ascii="宋体" w:hAnsi="宋体" w:eastAsia="宋体" w:cs="宋体"/>
                <w:b/>
                <w:bCs/>
                <w:color w:val="000000"/>
                <w:kern w:val="0"/>
                <w:sz w:val="22"/>
              </w:rPr>
            </w:pPr>
          </w:p>
        </w:tc>
      </w:tr>
      <w:tr w14:paraId="46645A9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B191A4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215676F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342DA4C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1F0051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E4A4CC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D0534D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280A99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2A7C5F5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6E16CC7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66B2587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1C326234">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C81AF8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DB52EF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CBFF22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13CDFC6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7307E5A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BEE65E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51DD21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4E335F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8A09E1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7AD04B3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056893C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2F1BD70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29838CAA">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6C178F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2058C95B">
      <w:pPr>
        <w:tabs>
          <w:tab w:val="left" w:pos="480"/>
        </w:tabs>
        <w:spacing w:line="240" w:lineRule="auto"/>
        <w:rPr>
          <w:rFonts w:ascii="楷体" w:hAnsi="楷体" w:eastAsia="楷体"/>
          <w:sz w:val="30"/>
          <w:szCs w:val="30"/>
        </w:rPr>
        <w:sectPr>
          <w:pgSz w:w="16838" w:h="11906" w:orient="landscape"/>
          <w:pgMar w:top="1800" w:right="1440" w:bottom="1800" w:left="1440" w:header="851" w:footer="992" w:gutter="0"/>
          <w:cols w:space="425" w:num="1"/>
          <w:docGrid w:type="lines" w:linePitch="312" w:charSpace="0"/>
        </w:sectPr>
      </w:pPr>
      <w:r>
        <w:rPr>
          <w:rFonts w:hint="eastAsia" w:ascii="楷体" w:hAnsi="楷体" w:eastAsia="楷体"/>
          <w:sz w:val="30"/>
          <w:szCs w:val="30"/>
        </w:rPr>
        <w:t>备注：本单位2026年度没有安排单位专项资金。</w:t>
      </w:r>
    </w:p>
    <w:p w14:paraId="6A09291E">
      <w:pPr>
        <w:tabs>
          <w:tab w:val="left" w:pos="480"/>
        </w:tabs>
        <w:spacing w:line="240" w:lineRule="auto"/>
        <w:rPr>
          <w:rFonts w:ascii="楷体" w:hAnsi="楷体" w:eastAsia="楷体"/>
        </w:rPr>
      </w:pPr>
    </w:p>
    <w:p w14:paraId="62C28353">
      <w:pPr>
        <w:pStyle w:val="2"/>
        <w:jc w:val="center"/>
        <w:rPr>
          <w:rFonts w:ascii="黑体" w:hAnsi="黑体" w:eastAsia="黑体"/>
          <w:sz w:val="36"/>
          <w:szCs w:val="36"/>
          <w:lang w:eastAsia="zh-CN"/>
        </w:rPr>
      </w:pPr>
    </w:p>
    <w:p w14:paraId="47EEBB2E">
      <w:pPr>
        <w:pStyle w:val="2"/>
        <w:jc w:val="center"/>
        <w:rPr>
          <w:rFonts w:ascii="黑体" w:hAnsi="黑体" w:eastAsia="黑体"/>
          <w:sz w:val="36"/>
          <w:szCs w:val="36"/>
          <w:lang w:eastAsia="zh-CN"/>
        </w:rPr>
      </w:pPr>
    </w:p>
    <w:p w14:paraId="33BCB9A3">
      <w:pPr>
        <w:pStyle w:val="2"/>
        <w:jc w:val="center"/>
        <w:rPr>
          <w:rFonts w:ascii="黑体" w:hAnsi="黑体" w:eastAsia="黑体"/>
          <w:sz w:val="36"/>
          <w:szCs w:val="36"/>
          <w:lang w:eastAsia="zh-CN"/>
        </w:rPr>
      </w:pPr>
    </w:p>
    <w:p w14:paraId="28C6A7D7">
      <w:pPr>
        <w:pStyle w:val="2"/>
        <w:jc w:val="center"/>
        <w:rPr>
          <w:rFonts w:ascii="黑体" w:hAnsi="黑体" w:eastAsia="黑体"/>
          <w:sz w:val="36"/>
          <w:szCs w:val="36"/>
          <w:lang w:eastAsia="zh-CN"/>
        </w:rPr>
      </w:pPr>
    </w:p>
    <w:p w14:paraId="540F2495">
      <w:pPr>
        <w:pStyle w:val="2"/>
        <w:jc w:val="center"/>
        <w:rPr>
          <w:rFonts w:ascii="黑体" w:hAnsi="黑体" w:eastAsia="黑体"/>
          <w:sz w:val="36"/>
          <w:szCs w:val="36"/>
          <w:lang w:eastAsia="zh-CN"/>
        </w:rPr>
      </w:pPr>
    </w:p>
    <w:p w14:paraId="7DD03C44">
      <w:pPr>
        <w:pStyle w:val="2"/>
        <w:jc w:val="center"/>
        <w:rPr>
          <w:rFonts w:ascii="黑体" w:hAnsi="黑体" w:eastAsia="黑体"/>
          <w:sz w:val="36"/>
          <w:szCs w:val="36"/>
          <w:lang w:eastAsia="zh-CN"/>
        </w:rPr>
      </w:pPr>
    </w:p>
    <w:p w14:paraId="7C13C4B1">
      <w:pPr>
        <w:pStyle w:val="2"/>
        <w:jc w:val="center"/>
        <w:rPr>
          <w:rFonts w:ascii="黑体" w:hAnsi="黑体" w:eastAsia="黑体"/>
          <w:sz w:val="36"/>
          <w:szCs w:val="36"/>
          <w:lang w:eastAsia="zh-CN"/>
        </w:rPr>
      </w:pPr>
    </w:p>
    <w:p w14:paraId="3FCF9865">
      <w:pPr>
        <w:pStyle w:val="2"/>
        <w:jc w:val="center"/>
        <w:rPr>
          <w:rFonts w:ascii="黑体" w:hAnsi="黑体" w:eastAsia="黑体"/>
          <w:sz w:val="36"/>
          <w:szCs w:val="36"/>
          <w:lang w:eastAsia="zh-CN"/>
        </w:rPr>
      </w:pPr>
    </w:p>
    <w:p w14:paraId="179709BD">
      <w:pPr>
        <w:pStyle w:val="2"/>
        <w:outlineLvl w:val="0"/>
        <w:rPr>
          <w:rFonts w:ascii="黑体" w:hAnsi="黑体" w:eastAsia="黑体"/>
          <w:sz w:val="56"/>
          <w:szCs w:val="36"/>
          <w:lang w:eastAsia="zh-CN"/>
        </w:rPr>
      </w:pPr>
      <w:bookmarkStart w:id="18" w:name="_Toc7989"/>
      <w:r>
        <w:rPr>
          <w:rFonts w:hint="eastAsia" w:ascii="黑体" w:hAnsi="黑体" w:eastAsia="黑体"/>
          <w:sz w:val="56"/>
          <w:szCs w:val="36"/>
          <w:lang w:eastAsia="zh-CN"/>
        </w:rPr>
        <w:t>第三部分</w:t>
      </w:r>
      <w:bookmarkEnd w:id="18"/>
      <w:r>
        <w:rPr>
          <w:rFonts w:ascii="黑体" w:hAnsi="黑体" w:eastAsia="黑体"/>
          <w:sz w:val="56"/>
          <w:szCs w:val="36"/>
          <w:lang w:eastAsia="zh-CN"/>
        </w:rPr>
        <w:t xml:space="preserve"> </w:t>
      </w:r>
    </w:p>
    <w:p w14:paraId="07E25D0A">
      <w:pPr>
        <w:pStyle w:val="2"/>
        <w:jc w:val="center"/>
        <w:outlineLvl w:val="0"/>
        <w:rPr>
          <w:rFonts w:ascii="黑体" w:hAnsi="黑体" w:eastAsia="黑体"/>
          <w:sz w:val="56"/>
          <w:szCs w:val="36"/>
          <w:lang w:eastAsia="zh-CN"/>
        </w:rPr>
      </w:pPr>
      <w:bookmarkStart w:id="19" w:name="_Toc3108"/>
      <w:r>
        <w:rPr>
          <w:rFonts w:hint="eastAsia" w:ascii="黑体" w:hAnsi="黑体" w:eastAsia="黑体"/>
          <w:sz w:val="56"/>
          <w:szCs w:val="36"/>
          <w:lang w:eastAsia="zh-CN"/>
        </w:rPr>
        <w:t>2026年度单位预算情况说明</w:t>
      </w:r>
      <w:bookmarkEnd w:id="19"/>
    </w:p>
    <w:p w14:paraId="0F6C1CB6">
      <w:pPr>
        <w:ind w:firstLine="640" w:firstLineChars="200"/>
        <w:rPr>
          <w:rFonts w:ascii="仿宋" w:hAnsi="仿宋" w:eastAsia="仿宋" w:cs="仿宋_GB2312"/>
          <w:sz w:val="32"/>
          <w:szCs w:val="32"/>
        </w:rPr>
      </w:pPr>
    </w:p>
    <w:p w14:paraId="6873C5F0">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7D4A622F">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22367"/>
      <w:r>
        <w:rPr>
          <w:rFonts w:hint="eastAsia" w:ascii="黑体" w:hAnsi="黑体" w:eastAsia="黑体"/>
          <w:sz w:val="32"/>
          <w:szCs w:val="32"/>
        </w:rPr>
        <w:t>一、预算收支总体情况</w:t>
      </w:r>
      <w:bookmarkEnd w:id="20"/>
    </w:p>
    <w:p w14:paraId="01644C3D">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按照综合预算的原则，单位所有收入和支出均纳入单位预算管理。2026年，</w:t>
      </w:r>
      <w:r>
        <w:rPr>
          <w:rFonts w:hint="eastAsia" w:ascii="仿宋" w:hAnsi="仿宋" w:eastAsia="仿宋" w:cs="仿宋_GB2312"/>
          <w:sz w:val="32"/>
          <w:szCs w:val="32"/>
        </w:rPr>
        <w:t>漳平市</w:t>
      </w:r>
      <w:r>
        <w:rPr>
          <w:rFonts w:hint="eastAsia" w:ascii="仿宋" w:hAnsi="仿宋" w:eastAsia="仿宋" w:cs="仿宋_GB2312"/>
          <w:sz w:val="32"/>
          <w:szCs w:val="32"/>
          <w:lang w:eastAsia="zh-CN"/>
        </w:rPr>
        <w:t>双洋</w:t>
      </w:r>
      <w:r>
        <w:rPr>
          <w:rFonts w:hint="eastAsia" w:ascii="仿宋" w:hAnsi="仿宋" w:eastAsia="仿宋" w:cs="仿宋_GB2312"/>
          <w:sz w:val="32"/>
          <w:szCs w:val="32"/>
        </w:rPr>
        <w:t>中心学校</w:t>
      </w:r>
      <w:r>
        <w:rPr>
          <w:rFonts w:hint="eastAsia" w:ascii="仿宋" w:hAnsi="仿宋" w:eastAsia="仿宋"/>
          <w:sz w:val="32"/>
          <w:szCs w:val="32"/>
        </w:rPr>
        <w:t>收入预算为</w:t>
      </w:r>
      <w:r>
        <w:rPr>
          <w:rFonts w:hint="eastAsia" w:ascii="仿宋" w:hAnsi="仿宋" w:eastAsia="仿宋" w:cs="仿宋_GB2312"/>
          <w:sz w:val="32"/>
          <w:szCs w:val="32"/>
          <w:lang w:eastAsia="zh-CN"/>
        </w:rPr>
        <w:t>492.82</w:t>
      </w:r>
      <w:r>
        <w:rPr>
          <w:rFonts w:hint="eastAsia" w:ascii="仿宋" w:hAnsi="仿宋" w:eastAsia="仿宋"/>
          <w:sz w:val="32"/>
          <w:szCs w:val="32"/>
        </w:rPr>
        <w:t>万元，比上年减少</w:t>
      </w:r>
      <w:r>
        <w:rPr>
          <w:rFonts w:hint="eastAsia" w:ascii="仿宋" w:hAnsi="仿宋" w:eastAsia="仿宋" w:cs="仿宋_GB2312"/>
          <w:sz w:val="32"/>
          <w:szCs w:val="32"/>
          <w:lang w:val="en-US" w:eastAsia="zh-CN"/>
        </w:rPr>
        <w:t>17.91</w:t>
      </w:r>
      <w:r>
        <w:rPr>
          <w:rFonts w:hint="eastAsia" w:ascii="仿宋" w:hAnsi="仿宋" w:eastAsia="仿宋"/>
          <w:sz w:val="32"/>
          <w:szCs w:val="32"/>
        </w:rPr>
        <w:t>万元，主要原因是教师退休及调动，</w:t>
      </w:r>
      <w:r>
        <w:rPr>
          <w:rFonts w:hint="eastAsia" w:ascii="仿宋" w:hAnsi="仿宋" w:eastAsia="仿宋" w:cs="仿宋_GB2312"/>
          <w:sz w:val="32"/>
          <w:szCs w:val="32"/>
        </w:rPr>
        <w:t>工资福利支出减少。</w:t>
      </w:r>
      <w:r>
        <w:rPr>
          <w:rFonts w:hint="eastAsia" w:ascii="仿宋" w:hAnsi="仿宋" w:eastAsia="仿宋"/>
          <w:sz w:val="32"/>
          <w:szCs w:val="32"/>
        </w:rPr>
        <w:t>其中：一般公共预算拨款收入</w:t>
      </w:r>
      <w:r>
        <w:rPr>
          <w:rFonts w:hint="eastAsia" w:ascii="仿宋" w:hAnsi="仿宋" w:eastAsia="仿宋" w:cs="仿宋_GB2312"/>
          <w:sz w:val="32"/>
          <w:szCs w:val="32"/>
          <w:lang w:eastAsia="zh-CN"/>
        </w:rPr>
        <w:t>492.82</w:t>
      </w:r>
      <w:r>
        <w:rPr>
          <w:rFonts w:hint="eastAsia" w:ascii="仿宋" w:hAnsi="仿宋" w:eastAsia="仿宋"/>
          <w:sz w:val="32"/>
          <w:szCs w:val="32"/>
        </w:rPr>
        <w:t>万元、政府性基金预算拨款收入</w:t>
      </w:r>
      <w:r>
        <w:rPr>
          <w:rFonts w:hint="eastAsia" w:ascii="仿宋" w:hAnsi="仿宋" w:eastAsia="仿宋" w:cs="仿宋_GB2312"/>
          <w:sz w:val="32"/>
          <w:szCs w:val="32"/>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rPr>
        <w:t>0</w:t>
      </w:r>
      <w:r>
        <w:rPr>
          <w:rFonts w:hint="eastAsia" w:ascii="仿宋" w:hAnsi="仿宋" w:eastAsia="仿宋"/>
          <w:sz w:val="32"/>
          <w:szCs w:val="32"/>
        </w:rPr>
        <w:t>万元、财政专户管理资金收入</w:t>
      </w:r>
      <w:r>
        <w:rPr>
          <w:rFonts w:hint="eastAsia" w:ascii="仿宋" w:hAnsi="仿宋" w:eastAsia="仿宋" w:cs="仿宋_GB2312"/>
          <w:sz w:val="32"/>
          <w:szCs w:val="32"/>
        </w:rPr>
        <w:t>0</w:t>
      </w:r>
      <w:r>
        <w:rPr>
          <w:rFonts w:hint="eastAsia" w:ascii="仿宋" w:hAnsi="仿宋" w:eastAsia="仿宋"/>
          <w:sz w:val="32"/>
          <w:szCs w:val="32"/>
        </w:rPr>
        <w:t>万元、事业收入</w:t>
      </w:r>
      <w:r>
        <w:rPr>
          <w:rFonts w:hint="eastAsia" w:ascii="仿宋" w:hAnsi="仿宋" w:eastAsia="仿宋" w:cs="仿宋_GB2312"/>
          <w:sz w:val="32"/>
          <w:szCs w:val="32"/>
        </w:rPr>
        <w:t>0</w:t>
      </w:r>
      <w:r>
        <w:rPr>
          <w:rFonts w:hint="eastAsia" w:ascii="仿宋" w:hAnsi="仿宋" w:eastAsia="仿宋"/>
          <w:sz w:val="32"/>
          <w:szCs w:val="32"/>
        </w:rPr>
        <w:t>万元、事业单位经营收入</w:t>
      </w:r>
      <w:r>
        <w:rPr>
          <w:rFonts w:hint="eastAsia" w:ascii="仿宋" w:hAnsi="仿宋" w:eastAsia="仿宋" w:cs="仿宋_GB2312"/>
          <w:sz w:val="32"/>
          <w:szCs w:val="32"/>
        </w:rPr>
        <w:t>0</w:t>
      </w:r>
      <w:r>
        <w:rPr>
          <w:rFonts w:hint="eastAsia" w:ascii="仿宋" w:hAnsi="仿宋" w:eastAsia="仿宋"/>
          <w:sz w:val="32"/>
          <w:szCs w:val="32"/>
        </w:rPr>
        <w:t>万元、上级补助收入</w:t>
      </w:r>
      <w:r>
        <w:rPr>
          <w:rFonts w:hint="eastAsia" w:ascii="仿宋" w:hAnsi="仿宋" w:eastAsia="仿宋" w:cs="仿宋_GB2312"/>
          <w:sz w:val="32"/>
          <w:szCs w:val="32"/>
        </w:rPr>
        <w:t>0</w:t>
      </w:r>
      <w:r>
        <w:rPr>
          <w:rFonts w:hint="eastAsia" w:ascii="仿宋" w:hAnsi="仿宋" w:eastAsia="仿宋"/>
          <w:sz w:val="32"/>
          <w:szCs w:val="32"/>
        </w:rPr>
        <w:t>万元、附属单位上缴收入</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万元、上年结转结余</w:t>
      </w:r>
      <w:r>
        <w:rPr>
          <w:rFonts w:hint="eastAsia" w:ascii="仿宋" w:hAnsi="仿宋" w:eastAsia="仿宋" w:cs="仿宋_GB2312"/>
          <w:sz w:val="32"/>
          <w:szCs w:val="32"/>
        </w:rPr>
        <w:t>0</w:t>
      </w:r>
      <w:r>
        <w:rPr>
          <w:rFonts w:hint="eastAsia" w:ascii="仿宋" w:hAnsi="仿宋" w:eastAsia="仿宋"/>
          <w:sz w:val="32"/>
          <w:szCs w:val="32"/>
        </w:rPr>
        <w:t>万元。</w:t>
      </w:r>
    </w:p>
    <w:p w14:paraId="3BAF3315">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lang w:eastAsia="zh-CN"/>
        </w:rPr>
        <w:t>492.82</w:t>
      </w:r>
      <w:r>
        <w:rPr>
          <w:rFonts w:hint="eastAsia" w:ascii="仿宋" w:hAnsi="仿宋" w:eastAsia="仿宋"/>
          <w:sz w:val="32"/>
          <w:szCs w:val="32"/>
        </w:rPr>
        <w:t>万元，比上年减少</w:t>
      </w:r>
      <w:r>
        <w:rPr>
          <w:rFonts w:hint="eastAsia" w:ascii="仿宋" w:hAnsi="仿宋" w:eastAsia="仿宋" w:cs="仿宋_GB2312"/>
          <w:sz w:val="32"/>
          <w:szCs w:val="32"/>
          <w:lang w:val="en-US" w:eastAsia="zh-CN"/>
        </w:rPr>
        <w:t>17.91</w:t>
      </w:r>
      <w:r>
        <w:rPr>
          <w:rFonts w:hint="eastAsia" w:ascii="仿宋" w:hAnsi="仿宋" w:eastAsia="仿宋"/>
          <w:sz w:val="32"/>
          <w:szCs w:val="32"/>
        </w:rPr>
        <w:t>万元，主要原因是教师退休及调动，</w:t>
      </w:r>
      <w:r>
        <w:rPr>
          <w:rFonts w:hint="eastAsia" w:ascii="仿宋" w:hAnsi="仿宋" w:eastAsia="仿宋" w:cs="仿宋_GB2312"/>
          <w:sz w:val="32"/>
          <w:szCs w:val="32"/>
        </w:rPr>
        <w:t>工资福利支出减少。</w:t>
      </w:r>
      <w:r>
        <w:rPr>
          <w:rFonts w:hint="eastAsia" w:ascii="仿宋" w:hAnsi="仿宋" w:eastAsia="仿宋"/>
          <w:sz w:val="32"/>
          <w:szCs w:val="32"/>
        </w:rPr>
        <w:t>其中：基本支出</w:t>
      </w:r>
      <w:r>
        <w:rPr>
          <w:rFonts w:hint="eastAsia" w:ascii="仿宋" w:hAnsi="仿宋" w:eastAsia="仿宋" w:cs="仿宋_GB2312"/>
          <w:sz w:val="32"/>
          <w:szCs w:val="32"/>
          <w:lang w:eastAsia="zh-CN"/>
        </w:rPr>
        <w:t>492.82</w:t>
      </w:r>
      <w:r>
        <w:rPr>
          <w:rFonts w:hint="eastAsia" w:ascii="仿宋" w:hAnsi="仿宋" w:eastAsia="仿宋"/>
          <w:sz w:val="32"/>
          <w:szCs w:val="32"/>
        </w:rPr>
        <w:t>万元、项目支出</w:t>
      </w:r>
      <w:r>
        <w:rPr>
          <w:rFonts w:hint="eastAsia" w:ascii="仿宋" w:hAnsi="仿宋" w:eastAsia="仿宋" w:cs="仿宋_GB2312"/>
          <w:sz w:val="32"/>
          <w:szCs w:val="32"/>
        </w:rPr>
        <w:t>0</w:t>
      </w:r>
      <w:r>
        <w:rPr>
          <w:rFonts w:hint="eastAsia" w:ascii="仿宋" w:hAnsi="仿宋" w:eastAsia="仿宋"/>
          <w:sz w:val="32"/>
          <w:szCs w:val="32"/>
        </w:rPr>
        <w:t>万元、事业单位经营支出</w:t>
      </w:r>
      <w:r>
        <w:rPr>
          <w:rFonts w:hint="eastAsia" w:ascii="仿宋" w:hAnsi="仿宋" w:eastAsia="仿宋" w:cs="仿宋_GB2312"/>
          <w:sz w:val="32"/>
          <w:szCs w:val="32"/>
        </w:rPr>
        <w:t>0</w:t>
      </w:r>
      <w:r>
        <w:rPr>
          <w:rFonts w:hint="eastAsia" w:ascii="仿宋" w:hAnsi="仿宋" w:eastAsia="仿宋"/>
          <w:sz w:val="32"/>
          <w:szCs w:val="32"/>
        </w:rPr>
        <w:t>万元、上缴上级支出</w:t>
      </w:r>
      <w:r>
        <w:rPr>
          <w:rFonts w:hint="eastAsia" w:ascii="仿宋" w:hAnsi="仿宋" w:eastAsia="仿宋" w:cs="仿宋_GB2312"/>
          <w:sz w:val="32"/>
          <w:szCs w:val="32"/>
        </w:rPr>
        <w:t>0</w:t>
      </w:r>
      <w:r>
        <w:rPr>
          <w:rFonts w:hint="eastAsia" w:ascii="仿宋" w:hAnsi="仿宋" w:eastAsia="仿宋"/>
          <w:sz w:val="32"/>
          <w:szCs w:val="32"/>
        </w:rPr>
        <w:t>万元、对附属单位补助支出</w:t>
      </w:r>
      <w:r>
        <w:rPr>
          <w:rFonts w:hint="eastAsia" w:ascii="仿宋" w:hAnsi="仿宋" w:eastAsia="仿宋" w:cs="仿宋_GB2312"/>
          <w:sz w:val="32"/>
          <w:szCs w:val="32"/>
        </w:rPr>
        <w:t>0</w:t>
      </w:r>
      <w:r>
        <w:rPr>
          <w:rFonts w:hint="eastAsia" w:ascii="仿宋" w:hAnsi="仿宋" w:eastAsia="仿宋"/>
          <w:sz w:val="32"/>
          <w:szCs w:val="32"/>
        </w:rPr>
        <w:t>万元。</w:t>
      </w:r>
    </w:p>
    <w:p w14:paraId="50901C6E">
      <w:pPr>
        <w:tabs>
          <w:tab w:val="left" w:pos="7513"/>
        </w:tabs>
        <w:adjustRightInd w:val="0"/>
        <w:snapToGrid w:val="0"/>
        <w:spacing w:line="600" w:lineRule="exact"/>
        <w:ind w:firstLine="640" w:firstLineChars="200"/>
        <w:outlineLvl w:val="1"/>
        <w:rPr>
          <w:rFonts w:ascii="黑体" w:hAnsi="黑体" w:eastAsia="黑体"/>
          <w:sz w:val="32"/>
          <w:szCs w:val="32"/>
        </w:rPr>
      </w:pPr>
      <w:bookmarkStart w:id="21" w:name="_Toc392"/>
      <w:r>
        <w:rPr>
          <w:rFonts w:hint="eastAsia" w:ascii="黑体" w:hAnsi="黑体" w:eastAsia="黑体"/>
          <w:sz w:val="32"/>
          <w:szCs w:val="32"/>
        </w:rPr>
        <w:t>二、一般公共预算拨款支出情况</w:t>
      </w:r>
      <w:bookmarkEnd w:id="21"/>
    </w:p>
    <w:p w14:paraId="62E69BC9">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年度一般公共预算拨款支出</w:t>
      </w:r>
      <w:r>
        <w:rPr>
          <w:rFonts w:hint="eastAsia" w:ascii="仿宋" w:hAnsi="仿宋" w:eastAsia="仿宋" w:cs="仿宋_GB2312"/>
          <w:sz w:val="32"/>
          <w:szCs w:val="32"/>
          <w:lang w:eastAsia="zh-CN"/>
        </w:rPr>
        <w:t>492.82</w:t>
      </w:r>
      <w:r>
        <w:rPr>
          <w:rFonts w:hint="eastAsia" w:ascii="仿宋" w:hAnsi="仿宋" w:eastAsia="仿宋" w:cs="仿宋_GB2312"/>
          <w:sz w:val="32"/>
          <w:szCs w:val="32"/>
        </w:rPr>
        <w:t>万元</w:t>
      </w:r>
      <w:r>
        <w:rPr>
          <w:rFonts w:hint="eastAsia" w:ascii="仿宋" w:hAnsi="仿宋" w:eastAsia="仿宋"/>
          <w:sz w:val="32"/>
          <w:szCs w:val="32"/>
        </w:rPr>
        <w:t>，比上年减少</w:t>
      </w:r>
      <w:r>
        <w:rPr>
          <w:rFonts w:hint="eastAsia" w:ascii="仿宋" w:hAnsi="仿宋" w:eastAsia="仿宋"/>
          <w:sz w:val="32"/>
          <w:szCs w:val="32"/>
          <w:lang w:val="en-US" w:eastAsia="zh-CN"/>
        </w:rPr>
        <w:t>17.91</w:t>
      </w:r>
      <w:r>
        <w:rPr>
          <w:rFonts w:hint="eastAsia" w:ascii="仿宋" w:hAnsi="仿宋" w:eastAsia="仿宋" w:cs="仿宋_GB2312"/>
          <w:kern w:val="0"/>
          <w:sz w:val="32"/>
          <w:szCs w:val="32"/>
        </w:rPr>
        <w:t>万元，</w:t>
      </w:r>
      <w:r>
        <w:rPr>
          <w:rFonts w:hint="eastAsia" w:ascii="仿宋" w:hAnsi="仿宋" w:eastAsia="仿宋" w:cs="仿宋_GB2312"/>
          <w:sz w:val="32"/>
          <w:szCs w:val="32"/>
        </w:rPr>
        <w:t>降低3.</w:t>
      </w:r>
      <w:r>
        <w:rPr>
          <w:rFonts w:hint="eastAsia" w:ascii="仿宋" w:hAnsi="仿宋" w:eastAsia="仿宋" w:cs="仿宋_GB2312"/>
          <w:sz w:val="32"/>
          <w:szCs w:val="32"/>
          <w:lang w:val="en-US" w:eastAsia="zh-CN"/>
        </w:rPr>
        <w:t>51</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主要原因是教师退休及调动，</w:t>
      </w:r>
      <w:r>
        <w:rPr>
          <w:rFonts w:hint="eastAsia" w:ascii="仿宋" w:hAnsi="仿宋" w:eastAsia="仿宋" w:cs="仿宋_GB2312"/>
          <w:sz w:val="32"/>
          <w:szCs w:val="32"/>
        </w:rPr>
        <w:t>工资福利支出减少。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其中：</w:t>
      </w:r>
    </w:p>
    <w:p w14:paraId="1963B51C">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 w:hAnsi="仿宋" w:eastAsia="仿宋" w:cs="仿宋_GB2312"/>
          <w:sz w:val="32"/>
          <w:szCs w:val="32"/>
        </w:rPr>
        <w:t>（一）2050201-学前教育</w:t>
      </w:r>
      <w:r>
        <w:rPr>
          <w:rFonts w:hint="eastAsia" w:ascii="仿宋_GB2312" w:hAnsi="仿宋" w:eastAsia="仿宋_GB2312" w:cs="仿宋_GB2312"/>
          <w:sz w:val="32"/>
          <w:szCs w:val="32"/>
          <w:lang w:val="en-US" w:eastAsia="zh-CN"/>
        </w:rPr>
        <w:t>74.88</w:t>
      </w:r>
      <w:r>
        <w:rPr>
          <w:rFonts w:hint="eastAsia" w:ascii="仿宋" w:hAnsi="仿宋" w:eastAsia="仿宋" w:cs="仿宋_GB2312"/>
          <w:sz w:val="32"/>
          <w:szCs w:val="32"/>
        </w:rPr>
        <w:t>万元。</w:t>
      </w:r>
      <w:r>
        <w:rPr>
          <w:rFonts w:hint="eastAsia" w:ascii="仿宋_GB2312" w:hAnsi="仿宋" w:eastAsia="仿宋_GB2312" w:cs="仿宋_GB2312"/>
          <w:sz w:val="32"/>
          <w:szCs w:val="32"/>
        </w:rPr>
        <w:t>主要用于学前教育人员支出、对个人和家庭的补助支出、公用支出。</w:t>
      </w:r>
    </w:p>
    <w:p w14:paraId="43C0CC68">
      <w:pPr>
        <w:tabs>
          <w:tab w:val="left" w:pos="7513"/>
        </w:tabs>
        <w:adjustRightInd w:val="0"/>
        <w:snapToGrid w:val="0"/>
        <w:spacing w:line="600" w:lineRule="exact"/>
        <w:ind w:firstLine="640" w:firstLineChars="200"/>
        <w:rPr>
          <w:rFonts w:ascii="黑体" w:hAnsi="黑体" w:eastAsia="黑体"/>
          <w:sz w:val="32"/>
          <w:szCs w:val="32"/>
        </w:rPr>
      </w:pPr>
      <w:r>
        <w:rPr>
          <w:rFonts w:hint="eastAsia" w:ascii="仿宋" w:hAnsi="仿宋" w:eastAsia="仿宋" w:cs="仿宋_GB2312"/>
          <w:sz w:val="32"/>
          <w:szCs w:val="32"/>
        </w:rPr>
        <w:t>（二）2050202-小学教育</w:t>
      </w:r>
      <w:r>
        <w:rPr>
          <w:rFonts w:hint="eastAsia" w:ascii="仿宋_GB2312" w:hAnsi="仿宋" w:eastAsia="仿宋_GB2312" w:cs="仿宋_GB2312"/>
          <w:sz w:val="32"/>
          <w:szCs w:val="32"/>
          <w:lang w:val="en-US" w:eastAsia="zh-CN"/>
        </w:rPr>
        <w:t>417.94</w:t>
      </w:r>
      <w:r>
        <w:rPr>
          <w:rFonts w:hint="eastAsia" w:ascii="仿宋_GB2312" w:hAnsi="仿宋" w:eastAsia="仿宋_GB2312" w:cs="仿宋_GB2312"/>
          <w:sz w:val="32"/>
          <w:szCs w:val="32"/>
        </w:rPr>
        <w:t>万元。主要用于小学教育人员支出、对个人和家庭的补助支出、公用支出。</w:t>
      </w:r>
    </w:p>
    <w:p w14:paraId="1A1D07B5">
      <w:pPr>
        <w:tabs>
          <w:tab w:val="left" w:pos="7513"/>
        </w:tabs>
        <w:adjustRightInd w:val="0"/>
        <w:snapToGrid w:val="0"/>
        <w:spacing w:line="600" w:lineRule="exact"/>
        <w:ind w:firstLine="640" w:firstLineChars="200"/>
        <w:outlineLvl w:val="1"/>
        <w:rPr>
          <w:rFonts w:ascii="黑体" w:hAnsi="黑体" w:eastAsia="黑体"/>
          <w:sz w:val="32"/>
          <w:szCs w:val="32"/>
        </w:rPr>
      </w:pPr>
      <w:bookmarkStart w:id="22" w:name="_Toc22963"/>
      <w:r>
        <w:rPr>
          <w:rFonts w:hint="eastAsia" w:ascii="黑体" w:hAnsi="黑体" w:eastAsia="黑体"/>
          <w:sz w:val="32"/>
          <w:szCs w:val="32"/>
        </w:rPr>
        <w:t>三、政府性基金预算拨款支出情况</w:t>
      </w:r>
      <w:bookmarkEnd w:id="22"/>
    </w:p>
    <w:p w14:paraId="66C2D8F3">
      <w:pPr>
        <w:tabs>
          <w:tab w:val="left" w:pos="7513"/>
        </w:tabs>
        <w:adjustRightInd w:val="0"/>
        <w:snapToGrid w:val="0"/>
        <w:spacing w:line="600" w:lineRule="exact"/>
        <w:ind w:firstLine="640" w:firstLineChars="200"/>
        <w:rPr>
          <w:rFonts w:ascii="楷体" w:hAnsi="楷体" w:eastAsia="楷体"/>
          <w:sz w:val="32"/>
          <w:szCs w:val="32"/>
        </w:rPr>
      </w:pPr>
      <w:r>
        <w:rPr>
          <w:rFonts w:hint="eastAsia" w:ascii="楷体" w:hAnsi="楷体" w:eastAsia="楷体" w:cs="仿宋_GB2312"/>
          <w:sz w:val="32"/>
          <w:szCs w:val="32"/>
        </w:rPr>
        <w:t>本单位2026年度没有使用政府性基金预算拨款安排的支出。</w:t>
      </w:r>
    </w:p>
    <w:p w14:paraId="3B978C45">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bookmarkStart w:id="23" w:name="_Toc7857"/>
      <w:r>
        <w:rPr>
          <w:rFonts w:hint="eastAsia" w:ascii="黑体" w:hAnsi="黑体" w:eastAsia="黑体" w:cs="仿宋_GB2312"/>
          <w:bCs/>
          <w:sz w:val="32"/>
          <w:szCs w:val="32"/>
        </w:rPr>
        <w:t>四、国有资本经营预算拨款支出情况</w:t>
      </w:r>
      <w:bookmarkEnd w:id="23"/>
    </w:p>
    <w:p w14:paraId="04235772">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楷体" w:hAnsi="楷体" w:eastAsia="楷体" w:cs="仿宋_GB2312"/>
          <w:sz w:val="32"/>
          <w:szCs w:val="32"/>
        </w:rPr>
        <w:t>本单位2026年度没有使用国有资本经营预算拨款安排的支出。</w:t>
      </w:r>
    </w:p>
    <w:p w14:paraId="552D6DBD">
      <w:pPr>
        <w:tabs>
          <w:tab w:val="left" w:pos="7513"/>
        </w:tabs>
        <w:adjustRightInd w:val="0"/>
        <w:snapToGrid w:val="0"/>
        <w:spacing w:line="600" w:lineRule="exact"/>
        <w:ind w:firstLine="640" w:firstLineChars="200"/>
        <w:outlineLvl w:val="1"/>
        <w:rPr>
          <w:rFonts w:ascii="黑体" w:hAnsi="黑体" w:eastAsia="黑体"/>
          <w:sz w:val="32"/>
          <w:szCs w:val="32"/>
        </w:rPr>
      </w:pPr>
      <w:bookmarkStart w:id="24" w:name="_Toc13034"/>
      <w:r>
        <w:rPr>
          <w:rFonts w:hint="eastAsia" w:ascii="黑体" w:hAnsi="黑体" w:eastAsia="黑体"/>
          <w:sz w:val="32"/>
          <w:szCs w:val="32"/>
        </w:rPr>
        <w:t>五、一般公共预算拨款基本支出情况</w:t>
      </w:r>
      <w:bookmarkEnd w:id="24"/>
    </w:p>
    <w:p w14:paraId="4BC4F268">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年度一般公共预算拨款基本支出</w:t>
      </w:r>
      <w:r>
        <w:rPr>
          <w:rFonts w:hint="eastAsia" w:ascii="仿宋" w:hAnsi="仿宋" w:eastAsia="仿宋" w:cs="仿宋_GB2312"/>
          <w:sz w:val="32"/>
          <w:szCs w:val="32"/>
          <w:lang w:eastAsia="zh-CN"/>
        </w:rPr>
        <w:t>492.82</w:t>
      </w:r>
      <w:r>
        <w:rPr>
          <w:rFonts w:hint="eastAsia" w:ascii="仿宋" w:hAnsi="仿宋" w:eastAsia="仿宋" w:cs="仿宋_GB2312"/>
          <w:sz w:val="32"/>
          <w:szCs w:val="32"/>
        </w:rPr>
        <w:t>万元，其中：</w:t>
      </w:r>
    </w:p>
    <w:p w14:paraId="505F036A">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492.21</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45F2A37B">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（二）公用经费0.</w:t>
      </w:r>
      <w:r>
        <w:rPr>
          <w:rFonts w:hint="eastAsia" w:ascii="仿宋" w:hAnsi="仿宋" w:eastAsia="仿宋" w:cs="仿宋_GB2312"/>
          <w:sz w:val="32"/>
          <w:szCs w:val="32"/>
          <w:lang w:val="en-US" w:eastAsia="zh-CN"/>
        </w:rPr>
        <w:t>61</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1DA9E908">
      <w:pPr>
        <w:tabs>
          <w:tab w:val="left" w:pos="7513"/>
        </w:tabs>
        <w:adjustRightInd w:val="0"/>
        <w:snapToGrid w:val="0"/>
        <w:spacing w:line="600" w:lineRule="exact"/>
        <w:ind w:firstLine="640" w:firstLineChars="200"/>
        <w:outlineLvl w:val="1"/>
        <w:rPr>
          <w:rFonts w:ascii="黑体" w:hAnsi="黑体" w:eastAsia="黑体"/>
          <w:sz w:val="32"/>
          <w:szCs w:val="32"/>
        </w:rPr>
      </w:pPr>
      <w:bookmarkStart w:id="25" w:name="_Toc10647"/>
      <w:r>
        <w:rPr>
          <w:rFonts w:hint="eastAsia" w:ascii="黑体" w:hAnsi="黑体" w:eastAsia="黑体"/>
          <w:sz w:val="32"/>
          <w:szCs w:val="32"/>
        </w:rPr>
        <w:t>六、一般公共预算“三公”经费支出情况</w:t>
      </w:r>
      <w:bookmarkEnd w:id="25"/>
    </w:p>
    <w:p w14:paraId="3E983D78">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6D214639">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bookmarkStart w:id="26" w:name="OLE_LINK2"/>
      <w:bookmarkStart w:id="27" w:name="OLE_LINK3"/>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cs="仿宋_GB2312"/>
          <w:sz w:val="32"/>
          <w:szCs w:val="32"/>
        </w:rPr>
        <w:t>。</w:t>
      </w:r>
      <w:bookmarkEnd w:id="26"/>
      <w:bookmarkEnd w:id="27"/>
      <w:r>
        <w:rPr>
          <w:rFonts w:hint="eastAsia" w:ascii="仿宋" w:hAnsi="仿宋" w:eastAsia="仿宋" w:cs="仿宋_GB2312"/>
          <w:kern w:val="0"/>
          <w:sz w:val="32"/>
          <w:szCs w:val="32"/>
        </w:rPr>
        <w:t>与上年持平，主要原因是: 严格执行中央八项规定精神，减少出国（境）。</w:t>
      </w:r>
    </w:p>
    <w:p w14:paraId="1BDC1C83">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02FC50B4">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cs="仿宋_GB2312"/>
          <w:kern w:val="0"/>
          <w:sz w:val="32"/>
          <w:szCs w:val="32"/>
        </w:rPr>
        <w:t>与上年持平，主要原因是:本年财政无拨公务接待费经费。</w:t>
      </w:r>
    </w:p>
    <w:p w14:paraId="0513126C">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1697B22F">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w:t>
      </w:r>
      <w:r>
        <w:rPr>
          <w:rFonts w:hint="eastAsia" w:ascii="仿宋" w:hAnsi="仿宋" w:eastAsia="仿宋" w:cs="仿宋_GB2312"/>
          <w:kern w:val="0"/>
          <w:sz w:val="32"/>
          <w:szCs w:val="32"/>
        </w:rPr>
        <w:t>0万元，</w:t>
      </w:r>
      <w:r>
        <w:rPr>
          <w:rFonts w:hint="eastAsia" w:ascii="仿宋" w:hAnsi="仿宋" w:eastAsia="仿宋" w:cs="仿宋_GB2312"/>
          <w:sz w:val="32"/>
          <w:szCs w:val="32"/>
        </w:rPr>
        <w:t>降低0%；</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w:t>
      </w:r>
      <w:r>
        <w:rPr>
          <w:rFonts w:hint="eastAsia" w:ascii="仿宋" w:hAnsi="仿宋" w:eastAsia="仿宋" w:cs="仿宋_GB2312"/>
          <w:kern w:val="0"/>
          <w:sz w:val="32"/>
          <w:szCs w:val="32"/>
        </w:rPr>
        <w:t>0万元，</w:t>
      </w:r>
      <w:r>
        <w:rPr>
          <w:rFonts w:hint="eastAsia" w:ascii="仿宋" w:hAnsi="仿宋" w:eastAsia="仿宋" w:cs="仿宋_GB2312"/>
          <w:sz w:val="32"/>
          <w:szCs w:val="32"/>
        </w:rPr>
        <w:t>降低0%，与上年持平。主要原因是:本单位无公务用车。</w:t>
      </w:r>
    </w:p>
    <w:p w14:paraId="331D25EE">
      <w:pPr>
        <w:adjustRightInd w:val="0"/>
        <w:snapToGrid w:val="0"/>
        <w:spacing w:line="600" w:lineRule="exact"/>
        <w:ind w:firstLine="640" w:firstLineChars="200"/>
        <w:outlineLvl w:val="1"/>
        <w:rPr>
          <w:rFonts w:ascii="黑体" w:hAnsi="黑体" w:eastAsia="黑体"/>
          <w:sz w:val="32"/>
          <w:szCs w:val="32"/>
        </w:rPr>
      </w:pPr>
      <w:bookmarkStart w:id="28" w:name="_Toc21685"/>
      <w:r>
        <w:rPr>
          <w:rFonts w:hint="eastAsia" w:ascii="黑体" w:hAnsi="黑体" w:eastAsia="黑体"/>
          <w:sz w:val="32"/>
          <w:szCs w:val="32"/>
        </w:rPr>
        <w:t>七、预算绩效目标情况</w:t>
      </w:r>
      <w:bookmarkEnd w:id="28"/>
    </w:p>
    <w:p w14:paraId="2D57BED1">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4AC96630">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2026年，漳平市</w:t>
      </w:r>
      <w:r>
        <w:rPr>
          <w:rFonts w:hint="eastAsia" w:ascii="仿宋" w:hAnsi="仿宋" w:eastAsia="仿宋" w:cs="仿宋_GB2312"/>
          <w:kern w:val="0"/>
          <w:sz w:val="32"/>
          <w:szCs w:val="32"/>
          <w:lang w:eastAsia="zh-CN"/>
        </w:rPr>
        <w:t>双洋</w:t>
      </w:r>
      <w:r>
        <w:rPr>
          <w:rFonts w:hint="eastAsia" w:ascii="仿宋" w:hAnsi="仿宋" w:eastAsia="仿宋" w:cs="仿宋_GB2312"/>
          <w:kern w:val="0"/>
          <w:sz w:val="32"/>
          <w:szCs w:val="32"/>
        </w:rPr>
        <w:t>中心学校按照全面实施预算绩效管理的要求，编制绩效目标并公开。</w:t>
      </w:r>
    </w:p>
    <w:p w14:paraId="68EEF7B6">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4CA9D4A5">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3093A118">
      <w:pPr>
        <w:spacing w:line="590" w:lineRule="exact"/>
        <w:ind w:firstLine="627" w:firstLineChars="196"/>
        <w:rPr>
          <w:rFonts w:ascii="楷体" w:hAnsi="楷体" w:eastAsia="楷体" w:cs="楷体"/>
          <w:kern w:val="0"/>
          <w:sz w:val="32"/>
          <w:szCs w:val="32"/>
        </w:rPr>
      </w:pPr>
      <w:r>
        <w:rPr>
          <w:rFonts w:hint="eastAsia" w:ascii="楷体" w:hAnsi="楷体" w:eastAsia="楷体" w:cs="楷体"/>
          <w:kern w:val="0"/>
          <w:sz w:val="32"/>
          <w:szCs w:val="32"/>
        </w:rPr>
        <w:t>本单位无项目支出绩效目标表。</w:t>
      </w:r>
    </w:p>
    <w:p w14:paraId="50870AFE">
      <w:pPr>
        <w:spacing w:line="590" w:lineRule="exact"/>
        <w:ind w:firstLine="630" w:firstLineChars="196"/>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6200FF8C">
      <w:pPr>
        <w:spacing w:line="59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本单位无其他需要说明的绩效目标情况。</w:t>
      </w:r>
    </w:p>
    <w:p w14:paraId="7AFE80D0">
      <w:pPr>
        <w:spacing w:line="590" w:lineRule="exact"/>
        <w:ind w:firstLine="640" w:firstLineChars="200"/>
        <w:rPr>
          <w:rFonts w:ascii="仿宋" w:hAnsi="仿宋" w:eastAsia="仿宋" w:cs="仿宋_GB2312"/>
          <w:sz w:val="32"/>
          <w:szCs w:val="32"/>
        </w:rPr>
      </w:pPr>
    </w:p>
    <w:p w14:paraId="12C494EB">
      <w:pPr>
        <w:spacing w:line="600" w:lineRule="exact"/>
        <w:outlineLvl w:val="1"/>
        <w:rPr>
          <w:rFonts w:ascii="黑体" w:hAnsi="黑体" w:eastAsia="黑体"/>
          <w:sz w:val="32"/>
          <w:szCs w:val="32"/>
        </w:rPr>
      </w:pPr>
      <w:bookmarkStart w:id="29" w:name="_Toc27224"/>
      <w:r>
        <w:rPr>
          <w:rFonts w:hint="eastAsia" w:ascii="黑体" w:hAnsi="黑体" w:eastAsia="黑体"/>
          <w:sz w:val="32"/>
          <w:szCs w:val="32"/>
        </w:rPr>
        <w:t>八、其他重要事项说明</w:t>
      </w:r>
      <w:bookmarkEnd w:id="29"/>
    </w:p>
    <w:p w14:paraId="5DE1E86A">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4629F6BE">
      <w:pPr>
        <w:spacing w:line="600" w:lineRule="exact"/>
        <w:ind w:firstLine="640" w:firstLineChars="200"/>
        <w:rPr>
          <w:rFonts w:ascii="仿宋" w:hAnsi="仿宋" w:eastAsia="仿宋"/>
          <w:sz w:val="32"/>
          <w:szCs w:val="32"/>
        </w:rPr>
      </w:pPr>
      <w:r>
        <w:rPr>
          <w:rFonts w:hint="eastAsia" w:ascii="仿宋" w:hAnsi="仿宋" w:eastAsia="仿宋" w:cs="仿宋_GB2312"/>
          <w:kern w:val="0"/>
          <w:sz w:val="32"/>
          <w:szCs w:val="32"/>
        </w:rPr>
        <w:t>2026</w:t>
      </w:r>
      <w:r>
        <w:rPr>
          <w:rFonts w:hint="eastAsia" w:ascii="仿宋" w:hAnsi="仿宋" w:eastAsia="仿宋"/>
          <w:sz w:val="32"/>
          <w:szCs w:val="32"/>
        </w:rPr>
        <w:t>年，</w:t>
      </w:r>
      <w:bookmarkStart w:id="30" w:name="OLE_LINK39"/>
      <w:bookmarkStart w:id="31" w:name="OLE_LINK40"/>
      <w:r>
        <w:rPr>
          <w:rFonts w:hint="eastAsia" w:ascii="仿宋" w:hAnsi="仿宋" w:eastAsia="仿宋" w:cs="仿宋_GB2312"/>
          <w:kern w:val="0"/>
          <w:sz w:val="32"/>
          <w:szCs w:val="32"/>
        </w:rPr>
        <w:t>漳平市</w:t>
      </w:r>
      <w:r>
        <w:rPr>
          <w:rFonts w:hint="eastAsia" w:ascii="仿宋" w:hAnsi="仿宋" w:eastAsia="仿宋" w:cs="仿宋_GB2312"/>
          <w:kern w:val="0"/>
          <w:sz w:val="32"/>
          <w:szCs w:val="32"/>
          <w:lang w:eastAsia="zh-CN"/>
        </w:rPr>
        <w:t>双洋</w:t>
      </w:r>
      <w:r>
        <w:rPr>
          <w:rFonts w:hint="eastAsia" w:ascii="仿宋" w:hAnsi="仿宋" w:eastAsia="仿宋" w:cs="仿宋_GB2312"/>
          <w:kern w:val="0"/>
          <w:sz w:val="32"/>
          <w:szCs w:val="32"/>
        </w:rPr>
        <w:t>中心学校</w:t>
      </w:r>
      <w:bookmarkEnd w:id="30"/>
      <w:bookmarkEnd w:id="31"/>
      <w:r>
        <w:rPr>
          <w:rFonts w:hint="eastAsia" w:ascii="仿宋" w:hAnsi="仿宋" w:eastAsia="仿宋" w:cs="仿宋_GB2312"/>
          <w:kern w:val="0"/>
          <w:sz w:val="32"/>
          <w:szCs w:val="32"/>
        </w:rPr>
        <w:t>单位</w:t>
      </w:r>
      <w:r>
        <w:rPr>
          <w:rFonts w:hint="eastAsia" w:ascii="仿宋" w:hAnsi="仿宋" w:eastAsia="仿宋"/>
          <w:sz w:val="32"/>
          <w:szCs w:val="32"/>
        </w:rPr>
        <w:t>一般公共预算拨款安排的机关运行经费支出</w:t>
      </w:r>
      <w:r>
        <w:rPr>
          <w:rFonts w:hint="eastAsia" w:ascii="仿宋" w:hAnsi="仿宋" w:eastAsia="仿宋" w:cs="仿宋_GB2312"/>
          <w:kern w:val="0"/>
          <w:sz w:val="32"/>
          <w:szCs w:val="32"/>
        </w:rPr>
        <w:t>0</w:t>
      </w:r>
      <w:r>
        <w:rPr>
          <w:rFonts w:hint="eastAsia" w:ascii="仿宋" w:hAnsi="仿宋" w:eastAsia="仿宋"/>
          <w:sz w:val="32"/>
          <w:szCs w:val="32"/>
        </w:rPr>
        <w:t>万元，</w:t>
      </w:r>
      <w:r>
        <w:rPr>
          <w:rFonts w:hint="eastAsia" w:ascii="仿宋" w:hAnsi="仿宋" w:eastAsia="仿宋" w:cs="仿宋_GB2312"/>
          <w:sz w:val="32"/>
          <w:szCs w:val="32"/>
        </w:rPr>
        <w:t>比上年减少</w:t>
      </w:r>
      <w:r>
        <w:rPr>
          <w:rFonts w:hint="eastAsia" w:ascii="仿宋" w:hAnsi="仿宋" w:eastAsia="仿宋" w:cs="仿宋_GB2312"/>
          <w:kern w:val="0"/>
          <w:sz w:val="32"/>
          <w:szCs w:val="32"/>
        </w:rPr>
        <w:t>0万元，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sz w:val="32"/>
          <w:szCs w:val="32"/>
        </w:rPr>
        <w:t>。主要原因是本单位没有机关运行经费。</w:t>
      </w:r>
    </w:p>
    <w:p w14:paraId="7865FDF8">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597D0A37">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2026年，漳平市</w:t>
      </w:r>
      <w:r>
        <w:rPr>
          <w:rFonts w:hint="eastAsia" w:ascii="仿宋" w:hAnsi="仿宋" w:eastAsia="仿宋"/>
          <w:kern w:val="0"/>
          <w:sz w:val="32"/>
          <w:szCs w:val="32"/>
          <w:lang w:eastAsia="zh-CN"/>
        </w:rPr>
        <w:t>双洋</w:t>
      </w:r>
      <w:r>
        <w:rPr>
          <w:rFonts w:hint="eastAsia" w:ascii="仿宋" w:hAnsi="仿宋" w:eastAsia="仿宋"/>
          <w:kern w:val="0"/>
          <w:sz w:val="32"/>
          <w:szCs w:val="32"/>
        </w:rPr>
        <w:t>中心学校政府采购预算总额0万元，其中：政府采购货物预算0万元、政府采购工程预算0万元、政府采购服务预算0万元。</w:t>
      </w:r>
    </w:p>
    <w:p w14:paraId="6A9AD71E">
      <w:pPr>
        <w:spacing w:line="600" w:lineRule="exact"/>
        <w:ind w:firstLine="640" w:firstLineChars="200"/>
        <w:rPr>
          <w:rFonts w:ascii="楷体" w:hAnsi="楷体" w:eastAsia="楷体"/>
          <w:sz w:val="32"/>
          <w:szCs w:val="32"/>
        </w:rPr>
      </w:pPr>
      <w:r>
        <w:rPr>
          <w:rFonts w:hint="eastAsia" w:ascii="楷体" w:hAnsi="楷体" w:eastAsia="楷体"/>
          <w:sz w:val="32"/>
          <w:szCs w:val="32"/>
        </w:rPr>
        <w:t>本单位2026</w:t>
      </w:r>
      <w:r>
        <w:rPr>
          <w:rFonts w:hint="eastAsia" w:ascii="楷体" w:hAnsi="楷体" w:eastAsia="楷体" w:cs="仿宋_GB2312"/>
          <w:sz w:val="32"/>
          <w:szCs w:val="32"/>
        </w:rPr>
        <w:t>年度</w:t>
      </w:r>
      <w:r>
        <w:rPr>
          <w:rFonts w:hint="eastAsia" w:ascii="楷体" w:hAnsi="楷体" w:eastAsia="楷体"/>
          <w:sz w:val="32"/>
          <w:szCs w:val="32"/>
        </w:rPr>
        <w:t>没有政府采购预算。</w:t>
      </w:r>
    </w:p>
    <w:p w14:paraId="4EBBE480">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0D6BCC1E">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2025年12月31日，</w:t>
      </w:r>
      <w:bookmarkStart w:id="32" w:name="OLE_LINK41"/>
      <w:bookmarkStart w:id="33" w:name="OLE_LINK42"/>
      <w:r>
        <w:rPr>
          <w:rFonts w:hint="eastAsia" w:ascii="仿宋" w:hAnsi="仿宋" w:eastAsia="仿宋" w:cs="仿宋_GB2312"/>
          <w:kern w:val="0"/>
          <w:sz w:val="32"/>
          <w:szCs w:val="32"/>
        </w:rPr>
        <w:t>漳平市</w:t>
      </w:r>
      <w:r>
        <w:rPr>
          <w:rFonts w:hint="eastAsia" w:ascii="仿宋" w:hAnsi="仿宋" w:eastAsia="仿宋" w:cs="仿宋_GB2312"/>
          <w:kern w:val="0"/>
          <w:sz w:val="32"/>
          <w:szCs w:val="32"/>
          <w:lang w:eastAsia="zh-CN"/>
        </w:rPr>
        <w:t>双洋</w:t>
      </w:r>
      <w:r>
        <w:rPr>
          <w:rFonts w:hint="eastAsia" w:ascii="仿宋" w:hAnsi="仿宋" w:eastAsia="仿宋" w:cs="仿宋_GB2312"/>
          <w:kern w:val="0"/>
          <w:sz w:val="32"/>
          <w:szCs w:val="32"/>
        </w:rPr>
        <w:t>中心学校</w:t>
      </w:r>
      <w:bookmarkEnd w:id="32"/>
      <w:bookmarkEnd w:id="33"/>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47D4016E">
      <w:pPr>
        <w:ind w:firstLine="640" w:firstLineChars="200"/>
        <w:rPr>
          <w:rFonts w:ascii="仿宋" w:hAnsi="仿宋" w:eastAsia="仿宋" w:cs="楷体"/>
          <w:kern w:val="0"/>
          <w:sz w:val="32"/>
          <w:szCs w:val="32"/>
        </w:rPr>
      </w:pPr>
      <w:r>
        <w:rPr>
          <w:rFonts w:hint="eastAsia" w:ascii="仿宋" w:hAnsi="仿宋" w:eastAsia="仿宋" w:cs="楷体"/>
          <w:kern w:val="0"/>
          <w:sz w:val="32"/>
          <w:szCs w:val="32"/>
        </w:rPr>
        <w:t>2026年漳平市</w:t>
      </w:r>
      <w:r>
        <w:rPr>
          <w:rFonts w:hint="eastAsia" w:ascii="仿宋" w:hAnsi="仿宋" w:eastAsia="仿宋" w:cs="楷体"/>
          <w:kern w:val="0"/>
          <w:sz w:val="32"/>
          <w:szCs w:val="32"/>
          <w:lang w:eastAsia="zh-CN"/>
        </w:rPr>
        <w:t>双洋</w:t>
      </w:r>
      <w:r>
        <w:rPr>
          <w:rFonts w:hint="eastAsia" w:ascii="仿宋" w:hAnsi="仿宋" w:eastAsia="仿宋" w:cs="楷体"/>
          <w:kern w:val="0"/>
          <w:sz w:val="32"/>
          <w:szCs w:val="32"/>
        </w:rPr>
        <w:t>中心学校预算安排购置车辆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5E0E43B8">
      <w:pPr>
        <w:ind w:firstLine="640" w:firstLineChars="200"/>
        <w:rPr>
          <w:rFonts w:ascii="仿宋" w:hAnsi="仿宋" w:eastAsia="仿宋" w:cs="仿宋_GB2312"/>
          <w:kern w:val="0"/>
          <w:sz w:val="32"/>
          <w:szCs w:val="32"/>
        </w:rPr>
      </w:pPr>
    </w:p>
    <w:p w14:paraId="1EAC8F89">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7513C4CB">
      <w:pPr>
        <w:jc w:val="center"/>
        <w:rPr>
          <w:rFonts w:ascii="黑体" w:hAnsi="黑体" w:eastAsia="黑体"/>
          <w:sz w:val="56"/>
        </w:rPr>
      </w:pPr>
    </w:p>
    <w:p w14:paraId="6CFD2D86">
      <w:pPr>
        <w:jc w:val="center"/>
        <w:rPr>
          <w:rFonts w:ascii="黑体" w:hAnsi="黑体" w:eastAsia="黑体"/>
          <w:sz w:val="56"/>
        </w:rPr>
      </w:pPr>
    </w:p>
    <w:p w14:paraId="265A2F0A">
      <w:pPr>
        <w:jc w:val="center"/>
        <w:rPr>
          <w:rFonts w:ascii="黑体" w:hAnsi="黑体" w:eastAsia="黑体"/>
          <w:sz w:val="56"/>
        </w:rPr>
      </w:pPr>
    </w:p>
    <w:p w14:paraId="03AF8C6D">
      <w:pPr>
        <w:jc w:val="center"/>
        <w:rPr>
          <w:rFonts w:ascii="黑体" w:hAnsi="黑体" w:eastAsia="黑体"/>
          <w:sz w:val="56"/>
        </w:rPr>
      </w:pPr>
    </w:p>
    <w:p w14:paraId="44CC5B2B">
      <w:pPr>
        <w:jc w:val="center"/>
        <w:rPr>
          <w:rFonts w:ascii="黑体" w:hAnsi="黑体" w:eastAsia="黑体"/>
          <w:sz w:val="56"/>
        </w:rPr>
      </w:pPr>
    </w:p>
    <w:p w14:paraId="4A81E391">
      <w:pPr>
        <w:jc w:val="left"/>
        <w:outlineLvl w:val="0"/>
        <w:rPr>
          <w:rFonts w:ascii="黑体" w:hAnsi="黑体" w:eastAsia="黑体"/>
          <w:sz w:val="56"/>
        </w:rPr>
      </w:pPr>
      <w:bookmarkStart w:id="34" w:name="_Toc22312"/>
      <w:r>
        <w:rPr>
          <w:rFonts w:hint="eastAsia" w:ascii="黑体" w:hAnsi="黑体" w:eastAsia="黑体"/>
          <w:sz w:val="56"/>
        </w:rPr>
        <w:t>第四部分</w:t>
      </w:r>
      <w:bookmarkEnd w:id="34"/>
      <w:r>
        <w:rPr>
          <w:rFonts w:ascii="黑体" w:hAnsi="黑体" w:eastAsia="黑体"/>
          <w:sz w:val="56"/>
        </w:rPr>
        <w:t xml:space="preserve"> </w:t>
      </w:r>
    </w:p>
    <w:p w14:paraId="4ED4E636">
      <w:pPr>
        <w:jc w:val="center"/>
        <w:outlineLvl w:val="0"/>
        <w:rPr>
          <w:rFonts w:ascii="黑体" w:hAnsi="黑体" w:eastAsia="黑体"/>
          <w:sz w:val="56"/>
        </w:rPr>
      </w:pPr>
      <w:bookmarkStart w:id="35" w:name="_Toc28542"/>
      <w:r>
        <w:rPr>
          <w:rFonts w:hint="eastAsia" w:ascii="黑体" w:hAnsi="黑体" w:eastAsia="黑体"/>
          <w:sz w:val="56"/>
        </w:rPr>
        <w:t>名词解释</w:t>
      </w:r>
      <w:bookmarkEnd w:id="35"/>
    </w:p>
    <w:p w14:paraId="28344AD9">
      <w:pPr>
        <w:jc w:val="center"/>
        <w:rPr>
          <w:rFonts w:asciiTheme="majorEastAsia" w:hAnsiTheme="majorEastAsia" w:eastAsiaTheme="majorEastAsia"/>
          <w:b/>
          <w:sz w:val="40"/>
        </w:rPr>
      </w:pPr>
    </w:p>
    <w:p w14:paraId="4A2AEE15">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47F1723A">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06D79831">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2FD24103">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551D58A9">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2691BC3C">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26FDB69B">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26D59A20">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5EA4045B">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027A6055">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741B8B35">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2DBA5E6E">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76AC4C07">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3AE4686">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2817497"/>
    </w:sdtPr>
    <w:sdtEndPr>
      <w:rPr>
        <w:rFonts w:ascii="宋体" w:hAnsi="宋体" w:eastAsia="宋体"/>
        <w:sz w:val="28"/>
        <w:szCs w:val="28"/>
      </w:rPr>
    </w:sdtEndPr>
    <w:sdtContent>
      <w:p w14:paraId="34189479">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3</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B4E8D">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317140"/>
    <w:rsid w:val="000000B0"/>
    <w:rsid w:val="000126E4"/>
    <w:rsid w:val="000137C6"/>
    <w:rsid w:val="00015F8A"/>
    <w:rsid w:val="00021833"/>
    <w:rsid w:val="00025CD7"/>
    <w:rsid w:val="00033F71"/>
    <w:rsid w:val="0003780F"/>
    <w:rsid w:val="000470A9"/>
    <w:rsid w:val="00050A65"/>
    <w:rsid w:val="00080CC1"/>
    <w:rsid w:val="0008592D"/>
    <w:rsid w:val="00085F2B"/>
    <w:rsid w:val="00096056"/>
    <w:rsid w:val="000B35CC"/>
    <w:rsid w:val="000B7977"/>
    <w:rsid w:val="000C0629"/>
    <w:rsid w:val="000C0D0F"/>
    <w:rsid w:val="000D443D"/>
    <w:rsid w:val="000F5217"/>
    <w:rsid w:val="00102EC8"/>
    <w:rsid w:val="00105219"/>
    <w:rsid w:val="001163F2"/>
    <w:rsid w:val="00123DBA"/>
    <w:rsid w:val="001315FC"/>
    <w:rsid w:val="00134215"/>
    <w:rsid w:val="00144345"/>
    <w:rsid w:val="0014464B"/>
    <w:rsid w:val="00145976"/>
    <w:rsid w:val="001569B3"/>
    <w:rsid w:val="00162161"/>
    <w:rsid w:val="00167378"/>
    <w:rsid w:val="00172CC0"/>
    <w:rsid w:val="00176507"/>
    <w:rsid w:val="001767B3"/>
    <w:rsid w:val="001801C6"/>
    <w:rsid w:val="00197315"/>
    <w:rsid w:val="001A47A7"/>
    <w:rsid w:val="001A5903"/>
    <w:rsid w:val="001B45ED"/>
    <w:rsid w:val="001D4196"/>
    <w:rsid w:val="001D4414"/>
    <w:rsid w:val="001D7EFE"/>
    <w:rsid w:val="001E0090"/>
    <w:rsid w:val="001E2339"/>
    <w:rsid w:val="001F391B"/>
    <w:rsid w:val="002020AE"/>
    <w:rsid w:val="00221F98"/>
    <w:rsid w:val="002243EF"/>
    <w:rsid w:val="00227DEF"/>
    <w:rsid w:val="002311C9"/>
    <w:rsid w:val="002363D7"/>
    <w:rsid w:val="00240977"/>
    <w:rsid w:val="00244E2B"/>
    <w:rsid w:val="002456B8"/>
    <w:rsid w:val="00245FED"/>
    <w:rsid w:val="00247B93"/>
    <w:rsid w:val="002562C1"/>
    <w:rsid w:val="00264B96"/>
    <w:rsid w:val="00290C77"/>
    <w:rsid w:val="002B1982"/>
    <w:rsid w:val="002B699A"/>
    <w:rsid w:val="002D3F89"/>
    <w:rsid w:val="002E123F"/>
    <w:rsid w:val="002F0ECE"/>
    <w:rsid w:val="002F1995"/>
    <w:rsid w:val="002F1B6F"/>
    <w:rsid w:val="00305267"/>
    <w:rsid w:val="00305616"/>
    <w:rsid w:val="00306B77"/>
    <w:rsid w:val="00311E91"/>
    <w:rsid w:val="00312014"/>
    <w:rsid w:val="00313E1B"/>
    <w:rsid w:val="00317140"/>
    <w:rsid w:val="003322AE"/>
    <w:rsid w:val="00334F93"/>
    <w:rsid w:val="00353125"/>
    <w:rsid w:val="00355BAB"/>
    <w:rsid w:val="00360D9A"/>
    <w:rsid w:val="00364C5A"/>
    <w:rsid w:val="00366CA3"/>
    <w:rsid w:val="00372059"/>
    <w:rsid w:val="003748F1"/>
    <w:rsid w:val="00381D4F"/>
    <w:rsid w:val="003A7372"/>
    <w:rsid w:val="003B2C9B"/>
    <w:rsid w:val="003B798E"/>
    <w:rsid w:val="003C2183"/>
    <w:rsid w:val="003C24EA"/>
    <w:rsid w:val="003E148E"/>
    <w:rsid w:val="00405EA3"/>
    <w:rsid w:val="00414790"/>
    <w:rsid w:val="0042125F"/>
    <w:rsid w:val="00421FB1"/>
    <w:rsid w:val="00434CBE"/>
    <w:rsid w:val="00442172"/>
    <w:rsid w:val="00442F0A"/>
    <w:rsid w:val="00445C9B"/>
    <w:rsid w:val="0044633A"/>
    <w:rsid w:val="004725BE"/>
    <w:rsid w:val="004B505D"/>
    <w:rsid w:val="004D3F03"/>
    <w:rsid w:val="004D696A"/>
    <w:rsid w:val="004E16C5"/>
    <w:rsid w:val="004F0B75"/>
    <w:rsid w:val="00501F68"/>
    <w:rsid w:val="00504A24"/>
    <w:rsid w:val="00511B4C"/>
    <w:rsid w:val="00521E28"/>
    <w:rsid w:val="005354CD"/>
    <w:rsid w:val="00535E87"/>
    <w:rsid w:val="00560B0B"/>
    <w:rsid w:val="00562319"/>
    <w:rsid w:val="00563806"/>
    <w:rsid w:val="00577AEF"/>
    <w:rsid w:val="00584849"/>
    <w:rsid w:val="005A57DD"/>
    <w:rsid w:val="005A69E4"/>
    <w:rsid w:val="005B00AC"/>
    <w:rsid w:val="005B1EBF"/>
    <w:rsid w:val="005D7140"/>
    <w:rsid w:val="005E4BB6"/>
    <w:rsid w:val="00606548"/>
    <w:rsid w:val="00606A72"/>
    <w:rsid w:val="006107F1"/>
    <w:rsid w:val="006309BE"/>
    <w:rsid w:val="006354A5"/>
    <w:rsid w:val="00635566"/>
    <w:rsid w:val="00637EA1"/>
    <w:rsid w:val="00645111"/>
    <w:rsid w:val="00657863"/>
    <w:rsid w:val="00664C48"/>
    <w:rsid w:val="006966BC"/>
    <w:rsid w:val="006A5A31"/>
    <w:rsid w:val="006B6EAE"/>
    <w:rsid w:val="006B70C6"/>
    <w:rsid w:val="006C38C5"/>
    <w:rsid w:val="006C4713"/>
    <w:rsid w:val="006F1EE5"/>
    <w:rsid w:val="007015F0"/>
    <w:rsid w:val="00702253"/>
    <w:rsid w:val="007030FB"/>
    <w:rsid w:val="0071455B"/>
    <w:rsid w:val="00723EF2"/>
    <w:rsid w:val="00743C81"/>
    <w:rsid w:val="00753E47"/>
    <w:rsid w:val="00754908"/>
    <w:rsid w:val="00760DCF"/>
    <w:rsid w:val="00763A54"/>
    <w:rsid w:val="00765FF3"/>
    <w:rsid w:val="00773637"/>
    <w:rsid w:val="00775567"/>
    <w:rsid w:val="007966D1"/>
    <w:rsid w:val="007A30B9"/>
    <w:rsid w:val="007B32F9"/>
    <w:rsid w:val="007C4877"/>
    <w:rsid w:val="007C60CF"/>
    <w:rsid w:val="00800408"/>
    <w:rsid w:val="00800C7B"/>
    <w:rsid w:val="00804D1C"/>
    <w:rsid w:val="0080527E"/>
    <w:rsid w:val="008071E4"/>
    <w:rsid w:val="00811B98"/>
    <w:rsid w:val="008479D6"/>
    <w:rsid w:val="008519DD"/>
    <w:rsid w:val="00855527"/>
    <w:rsid w:val="00857799"/>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A6764"/>
    <w:rsid w:val="009C7FB5"/>
    <w:rsid w:val="009D1DDA"/>
    <w:rsid w:val="009D76A4"/>
    <w:rsid w:val="00A0449D"/>
    <w:rsid w:val="00A10948"/>
    <w:rsid w:val="00A122A0"/>
    <w:rsid w:val="00A22731"/>
    <w:rsid w:val="00A23912"/>
    <w:rsid w:val="00A304F7"/>
    <w:rsid w:val="00A36EAA"/>
    <w:rsid w:val="00A37D5A"/>
    <w:rsid w:val="00A403DC"/>
    <w:rsid w:val="00A4118D"/>
    <w:rsid w:val="00A6048C"/>
    <w:rsid w:val="00A709B7"/>
    <w:rsid w:val="00A818C9"/>
    <w:rsid w:val="00A855BE"/>
    <w:rsid w:val="00AA455B"/>
    <w:rsid w:val="00AB1283"/>
    <w:rsid w:val="00AB1C5D"/>
    <w:rsid w:val="00AB691F"/>
    <w:rsid w:val="00AD04C1"/>
    <w:rsid w:val="00AD7433"/>
    <w:rsid w:val="00B07727"/>
    <w:rsid w:val="00B110FA"/>
    <w:rsid w:val="00B22AF6"/>
    <w:rsid w:val="00B43BCC"/>
    <w:rsid w:val="00B43E47"/>
    <w:rsid w:val="00B47684"/>
    <w:rsid w:val="00B50C8A"/>
    <w:rsid w:val="00B57EAF"/>
    <w:rsid w:val="00B67551"/>
    <w:rsid w:val="00B713B9"/>
    <w:rsid w:val="00B80A6F"/>
    <w:rsid w:val="00B83C27"/>
    <w:rsid w:val="00BA2F65"/>
    <w:rsid w:val="00BE133A"/>
    <w:rsid w:val="00BF6327"/>
    <w:rsid w:val="00BF7317"/>
    <w:rsid w:val="00C02DE3"/>
    <w:rsid w:val="00C16FD3"/>
    <w:rsid w:val="00C308A4"/>
    <w:rsid w:val="00C33A0A"/>
    <w:rsid w:val="00C40AE7"/>
    <w:rsid w:val="00C43C36"/>
    <w:rsid w:val="00C7095D"/>
    <w:rsid w:val="00C82173"/>
    <w:rsid w:val="00C9493F"/>
    <w:rsid w:val="00CA39A1"/>
    <w:rsid w:val="00CB50EE"/>
    <w:rsid w:val="00CC6B40"/>
    <w:rsid w:val="00CD35CD"/>
    <w:rsid w:val="00CD6F45"/>
    <w:rsid w:val="00CD7F91"/>
    <w:rsid w:val="00D11E70"/>
    <w:rsid w:val="00D15C3B"/>
    <w:rsid w:val="00D208E9"/>
    <w:rsid w:val="00D4799A"/>
    <w:rsid w:val="00D66CDC"/>
    <w:rsid w:val="00D750B0"/>
    <w:rsid w:val="00D90E4B"/>
    <w:rsid w:val="00D95257"/>
    <w:rsid w:val="00DD0E76"/>
    <w:rsid w:val="00DD596A"/>
    <w:rsid w:val="00DF317E"/>
    <w:rsid w:val="00DF36F1"/>
    <w:rsid w:val="00E005FB"/>
    <w:rsid w:val="00E05319"/>
    <w:rsid w:val="00E117A7"/>
    <w:rsid w:val="00E13962"/>
    <w:rsid w:val="00E1454B"/>
    <w:rsid w:val="00E236B8"/>
    <w:rsid w:val="00E24E96"/>
    <w:rsid w:val="00E332A8"/>
    <w:rsid w:val="00E37F9C"/>
    <w:rsid w:val="00E61441"/>
    <w:rsid w:val="00E67E4C"/>
    <w:rsid w:val="00E71AA9"/>
    <w:rsid w:val="00E90672"/>
    <w:rsid w:val="00E93BA5"/>
    <w:rsid w:val="00E9659E"/>
    <w:rsid w:val="00EA0606"/>
    <w:rsid w:val="00EA2AAC"/>
    <w:rsid w:val="00EA2CC5"/>
    <w:rsid w:val="00EA6416"/>
    <w:rsid w:val="00EB2ECA"/>
    <w:rsid w:val="00ED1D1C"/>
    <w:rsid w:val="00EF3EDC"/>
    <w:rsid w:val="00F233C0"/>
    <w:rsid w:val="00F32365"/>
    <w:rsid w:val="00F3255D"/>
    <w:rsid w:val="00F32D3C"/>
    <w:rsid w:val="00F6039F"/>
    <w:rsid w:val="00F62AD2"/>
    <w:rsid w:val="00F63DD0"/>
    <w:rsid w:val="00F937DA"/>
    <w:rsid w:val="00FB0D23"/>
    <w:rsid w:val="00FB3D59"/>
    <w:rsid w:val="00FB6CC5"/>
    <w:rsid w:val="00FC4095"/>
    <w:rsid w:val="00FD1AC5"/>
    <w:rsid w:val="00FE616A"/>
    <w:rsid w:val="00FE6949"/>
    <w:rsid w:val="00FF5F08"/>
    <w:rsid w:val="00FF6212"/>
    <w:rsid w:val="00FF7B38"/>
    <w:rsid w:val="00FF7EA0"/>
    <w:rsid w:val="0F711E78"/>
    <w:rsid w:val="2080016D"/>
    <w:rsid w:val="257A162F"/>
    <w:rsid w:val="29086F52"/>
    <w:rsid w:val="3264217C"/>
    <w:rsid w:val="344D7F0F"/>
    <w:rsid w:val="3BFD221A"/>
    <w:rsid w:val="3F9E7B15"/>
    <w:rsid w:val="45F96148"/>
    <w:rsid w:val="46D40D0A"/>
    <w:rsid w:val="4791583C"/>
    <w:rsid w:val="4B1F03FF"/>
    <w:rsid w:val="4D424BF3"/>
    <w:rsid w:val="50E6470E"/>
    <w:rsid w:val="5BCD1176"/>
    <w:rsid w:val="5F045E54"/>
    <w:rsid w:val="75397EDA"/>
    <w:rsid w:val="7DD278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uiPriority w:val="39"/>
  </w:style>
  <w:style w:type="paragraph" w:styleId="7">
    <w:name w:val="toc 2"/>
    <w:basedOn w:val="1"/>
    <w:next w:val="1"/>
    <w:semiHidden/>
    <w:unhideWhenUsed/>
    <w:uiPriority w:val="39"/>
    <w:pPr>
      <w:ind w:left="420" w:leftChars="20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D0F1D-2BF9-4D9F-8624-7AC50CD6DF6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6367</Words>
  <Characters>7345</Characters>
  <Lines>25</Lines>
  <Paragraphs>18</Paragraphs>
  <TotalTime>0</TotalTime>
  <ScaleCrop>false</ScaleCrop>
  <LinksUpToDate>false</LinksUpToDate>
  <CharactersWithSpaces>7717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2019-03-10T08:45:00Z</dcterms:created>
  <dc:creator>null</dc:creator>
  <cp:lastModifiedBy>叶公(书法培训)</cp:lastModifiedBy>
  <cp:lastPrinted>2026-01-19T06:35:00Z</cp:lastPrinted>
  <dcterms:modified xsi:type="dcterms:W3CDTF">2026-01-20T13:30:40Z</dcterms:modified>
  <cp:revision>228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eyJoZGlkIjoiNDI3YjllNmU5MjE1YTEwNzRkNzJlNzYyYWJlYTZmMDEiLCJ1c2VySWQiOiIzMzMwMTQxMDUifQ==</vt:lpwstr>
  </property>
  <property fmtid="{D5CDD505-2E9C-101B-9397-08002B2CF9AE}" pid="4" name="ICV">
    <vt:lpwstr>FE1D4A69BF904A2BBBE93EC81D533F6E_12</vt:lpwstr>
  </property>
</Properties>
</file>