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1182E7">
      <w:pPr>
        <w:pStyle w:val="12"/>
        <w:rPr>
          <w:rFonts w:ascii="黑体" w:hAnsi="黑体" w:eastAsia="黑体"/>
          <w:sz w:val="32"/>
          <w:szCs w:val="32"/>
        </w:rPr>
      </w:pPr>
    </w:p>
    <w:p w14:paraId="074564B6">
      <w:pPr>
        <w:widowControl/>
        <w:rPr>
          <w:sz w:val="32"/>
          <w:szCs w:val="32"/>
        </w:rPr>
      </w:pPr>
    </w:p>
    <w:p w14:paraId="65D5E576">
      <w:pPr>
        <w:widowControl/>
        <w:jc w:val="center"/>
        <w:rPr>
          <w:sz w:val="84"/>
          <w:szCs w:val="84"/>
        </w:rPr>
      </w:pPr>
    </w:p>
    <w:p w14:paraId="10DBE4C1">
      <w:pPr>
        <w:widowControl/>
        <w:jc w:val="center"/>
        <w:rPr>
          <w:sz w:val="84"/>
          <w:szCs w:val="84"/>
        </w:rPr>
      </w:pPr>
    </w:p>
    <w:p w14:paraId="7BE02FC4">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0842C985">
      <w:pPr>
        <w:widowControl/>
        <w:jc w:val="center"/>
        <w:rPr>
          <w:rFonts w:ascii="方正小标宋简体" w:eastAsia="方正小标宋简体"/>
          <w:sz w:val="84"/>
          <w:szCs w:val="84"/>
        </w:rPr>
      </w:pPr>
      <w:r>
        <w:rPr>
          <w:rFonts w:hint="eastAsia" w:ascii="方正小标宋简体" w:eastAsia="方正小标宋简体"/>
          <w:sz w:val="84"/>
          <w:szCs w:val="84"/>
          <w:lang w:val="en-US" w:eastAsia="zh-CN"/>
        </w:rPr>
        <w:t>漳平市第二实验小学</w:t>
      </w:r>
      <w:r>
        <w:rPr>
          <w:rFonts w:hint="eastAsia" w:ascii="方正小标宋简体" w:eastAsia="方正小标宋简体"/>
          <w:sz w:val="84"/>
          <w:szCs w:val="84"/>
        </w:rPr>
        <w:t>单位预算</w:t>
      </w:r>
    </w:p>
    <w:p w14:paraId="6D109369">
      <w:pPr>
        <w:widowControl/>
        <w:rPr>
          <w:sz w:val="84"/>
          <w:szCs w:val="84"/>
        </w:rPr>
      </w:pPr>
      <w:r>
        <w:rPr>
          <w:sz w:val="84"/>
          <w:szCs w:val="84"/>
        </w:rPr>
        <w:br w:type="page"/>
      </w:r>
    </w:p>
    <w:p w14:paraId="499D42A9">
      <w:pPr>
        <w:pStyle w:val="2"/>
        <w:jc w:val="center"/>
        <w:rPr>
          <w:rFonts w:ascii="方正小标宋简体" w:eastAsia="方正小标宋简体" w:hAnsiTheme="majorEastAsia"/>
          <w:sz w:val="44"/>
          <w:lang w:eastAsia="zh-CN"/>
        </w:rPr>
      </w:pPr>
      <w:r>
        <w:rPr>
          <w:rFonts w:hint="eastAsia" w:ascii="方正小标宋简体" w:eastAsia="方正小标宋简体" w:hAnsiTheme="majorEastAsia"/>
          <w:sz w:val="44"/>
          <w:lang w:eastAsia="zh-CN"/>
        </w:rPr>
        <w:t>目</w:t>
      </w:r>
      <w:r>
        <w:rPr>
          <w:rFonts w:ascii="方正小标宋简体" w:eastAsia="方正小标宋简体" w:hAnsiTheme="majorEastAsia"/>
          <w:sz w:val="44"/>
          <w:lang w:eastAsia="zh-CN"/>
        </w:rPr>
        <w:t xml:space="preserve">  </w:t>
      </w:r>
      <w:r>
        <w:rPr>
          <w:rFonts w:hint="eastAsia" w:ascii="方正小标宋简体" w:eastAsia="方正小标宋简体" w:hAnsiTheme="majorEastAsia"/>
          <w:sz w:val="44"/>
          <w:lang w:eastAsia="zh-CN"/>
        </w:rPr>
        <w:t>录</w:t>
      </w:r>
    </w:p>
    <w:p w14:paraId="299E5ED0">
      <w:pPr>
        <w:pStyle w:val="2"/>
        <w:rPr>
          <w:rFonts w:asciiTheme="majorEastAsia" w:hAnsiTheme="majorEastAsia" w:eastAsiaTheme="majorEastAsia"/>
          <w:sz w:val="36"/>
          <w:lang w:eastAsia="zh-CN"/>
        </w:rPr>
      </w:pPr>
    </w:p>
    <w:p w14:paraId="09A323BE">
      <w:pPr>
        <w:pStyle w:val="2"/>
        <w:rPr>
          <w:rFonts w:hint="default" w:ascii="仿宋" w:hAnsi="仿宋" w:eastAsia="仿宋"/>
          <w:b/>
          <w:sz w:val="36"/>
          <w:lang w:val="en-US" w:eastAsia="zh-CN"/>
        </w:rPr>
      </w:pPr>
      <w:r>
        <w:rPr>
          <w:rFonts w:hint="eastAsia" w:ascii="仿宋" w:hAnsi="仿宋" w:eastAsia="仿宋"/>
          <w:b/>
          <w:sz w:val="36"/>
          <w:lang w:eastAsia="zh-CN"/>
        </w:rPr>
        <w:t>第一部分</w:t>
      </w:r>
      <w:r>
        <w:rPr>
          <w:rFonts w:ascii="仿宋" w:hAnsi="仿宋" w:eastAsia="仿宋"/>
          <w:b/>
          <w:sz w:val="36"/>
          <w:lang w:eastAsia="zh-CN"/>
        </w:rPr>
        <w:t xml:space="preserve"> </w:t>
      </w:r>
      <w:r>
        <w:rPr>
          <w:rFonts w:hint="eastAsia" w:ascii="仿宋" w:hAnsi="仿宋" w:eastAsia="仿宋"/>
          <w:b/>
          <w:sz w:val="36"/>
          <w:lang w:eastAsia="zh-CN"/>
        </w:rPr>
        <w:t>单位概况</w:t>
      </w:r>
      <w:r>
        <w:rPr>
          <w:rFonts w:ascii="仿宋" w:hAnsi="仿宋" w:eastAsia="仿宋"/>
          <w:b/>
          <w:sz w:val="36"/>
          <w:lang w:eastAsia="zh-CN"/>
        </w:rPr>
        <w:t>…………………………………</w:t>
      </w:r>
      <w:r>
        <w:rPr>
          <w:rFonts w:hint="eastAsia" w:ascii="仿宋" w:hAnsi="仿宋" w:eastAsia="仿宋"/>
          <w:b/>
          <w:sz w:val="36"/>
          <w:lang w:val="en-US" w:eastAsia="zh-CN"/>
        </w:rPr>
        <w:t>4</w:t>
      </w:r>
    </w:p>
    <w:p w14:paraId="4338DF89">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一、单位主要职责</w:t>
      </w:r>
      <w:r>
        <w:rPr>
          <w:rFonts w:ascii="仿宋" w:hAnsi="仿宋" w:eastAsia="仿宋"/>
          <w:b/>
          <w:sz w:val="36"/>
          <w:lang w:eastAsia="zh-CN"/>
        </w:rPr>
        <w:t>…………………………………</w:t>
      </w:r>
      <w:r>
        <w:rPr>
          <w:rFonts w:hint="eastAsia" w:ascii="仿宋" w:hAnsi="仿宋" w:eastAsia="仿宋"/>
          <w:b/>
          <w:sz w:val="36"/>
          <w:lang w:val="en-US" w:eastAsia="zh-CN"/>
        </w:rPr>
        <w:t>5</w:t>
      </w:r>
    </w:p>
    <w:p w14:paraId="23977514">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二、单位预算单位构成</w:t>
      </w:r>
      <w:r>
        <w:rPr>
          <w:rFonts w:ascii="仿宋" w:hAnsi="仿宋" w:eastAsia="仿宋"/>
          <w:sz w:val="36"/>
          <w:lang w:eastAsia="zh-CN"/>
        </w:rPr>
        <w:t>……………………………</w:t>
      </w:r>
      <w:r>
        <w:rPr>
          <w:rFonts w:hint="eastAsia" w:ascii="仿宋" w:hAnsi="仿宋" w:eastAsia="仿宋"/>
          <w:sz w:val="36"/>
          <w:lang w:val="en-US" w:eastAsia="zh-CN"/>
        </w:rPr>
        <w:t>5</w:t>
      </w:r>
    </w:p>
    <w:p w14:paraId="0B68E3AF">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三、单位主要工作任务</w:t>
      </w:r>
      <w:r>
        <w:rPr>
          <w:rFonts w:ascii="仿宋" w:hAnsi="仿宋" w:eastAsia="仿宋"/>
          <w:sz w:val="36"/>
          <w:lang w:eastAsia="zh-CN"/>
        </w:rPr>
        <w:t>……………………………</w:t>
      </w:r>
      <w:r>
        <w:rPr>
          <w:rFonts w:hint="eastAsia" w:ascii="仿宋" w:hAnsi="仿宋" w:eastAsia="仿宋"/>
          <w:sz w:val="36"/>
          <w:lang w:val="en-US" w:eastAsia="zh-CN"/>
        </w:rPr>
        <w:t>6</w:t>
      </w:r>
    </w:p>
    <w:p w14:paraId="32B12003">
      <w:pPr>
        <w:pStyle w:val="2"/>
        <w:rPr>
          <w:rFonts w:hint="default" w:ascii="仿宋" w:hAnsi="仿宋" w:eastAsia="仿宋"/>
          <w:b/>
          <w:sz w:val="36"/>
          <w:lang w:val="en-US" w:eastAsia="zh-CN"/>
        </w:rPr>
      </w:pPr>
      <w:r>
        <w:rPr>
          <w:rFonts w:hint="eastAsia" w:ascii="仿宋" w:hAnsi="仿宋" w:eastAsia="仿宋"/>
          <w:b/>
          <w:sz w:val="36"/>
          <w:lang w:eastAsia="zh-CN"/>
        </w:rPr>
        <w:t>第二部分</w:t>
      </w:r>
      <w:r>
        <w:rPr>
          <w:rFonts w:ascii="仿宋" w:hAnsi="仿宋" w:eastAsia="仿宋"/>
          <w:b/>
          <w:sz w:val="36"/>
          <w:lang w:eastAsia="zh-CN"/>
        </w:rPr>
        <w:t xml:space="preserve"> </w:t>
      </w:r>
      <w:r>
        <w:rPr>
          <w:rFonts w:hint="eastAsia" w:ascii="仿宋" w:hAnsi="仿宋" w:eastAsia="仿宋"/>
          <w:b/>
          <w:sz w:val="36"/>
          <w:lang w:eastAsia="zh-CN"/>
        </w:rPr>
        <w:t>2026年度单位预算表</w:t>
      </w:r>
      <w:r>
        <w:rPr>
          <w:rFonts w:ascii="仿宋" w:hAnsi="仿宋" w:eastAsia="仿宋"/>
          <w:sz w:val="36"/>
          <w:lang w:eastAsia="zh-CN"/>
        </w:rPr>
        <w:t>……………………</w:t>
      </w:r>
      <w:r>
        <w:rPr>
          <w:rFonts w:hint="eastAsia" w:ascii="仿宋" w:hAnsi="仿宋" w:eastAsia="仿宋"/>
          <w:sz w:val="36"/>
          <w:lang w:val="en-US" w:eastAsia="zh-CN"/>
        </w:rPr>
        <w:t>7</w:t>
      </w:r>
    </w:p>
    <w:p w14:paraId="1BC459FF">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一、收支预算总表</w:t>
      </w:r>
      <w:r>
        <w:rPr>
          <w:rFonts w:ascii="仿宋" w:hAnsi="仿宋" w:eastAsia="仿宋"/>
          <w:sz w:val="36"/>
          <w:lang w:eastAsia="zh-CN"/>
        </w:rPr>
        <w:t>…………………………………</w:t>
      </w:r>
      <w:r>
        <w:rPr>
          <w:rFonts w:hint="eastAsia" w:ascii="仿宋" w:hAnsi="仿宋" w:eastAsia="仿宋"/>
          <w:sz w:val="36"/>
          <w:lang w:val="en-US" w:eastAsia="zh-CN"/>
        </w:rPr>
        <w:t>8</w:t>
      </w:r>
    </w:p>
    <w:p w14:paraId="15FB836E">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二、收入预算总表</w:t>
      </w:r>
      <w:r>
        <w:rPr>
          <w:rFonts w:ascii="仿宋" w:hAnsi="仿宋" w:eastAsia="仿宋"/>
          <w:sz w:val="36"/>
          <w:lang w:eastAsia="zh-CN"/>
        </w:rPr>
        <w:t>…………………………………</w:t>
      </w:r>
      <w:r>
        <w:rPr>
          <w:rFonts w:hint="eastAsia" w:ascii="仿宋" w:hAnsi="仿宋" w:eastAsia="仿宋"/>
          <w:sz w:val="36"/>
          <w:lang w:val="en-US" w:eastAsia="zh-CN"/>
        </w:rPr>
        <w:t>9</w:t>
      </w:r>
    </w:p>
    <w:p w14:paraId="1ACC4ED4">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三、支出预算总表</w:t>
      </w:r>
      <w:r>
        <w:rPr>
          <w:rFonts w:ascii="仿宋" w:hAnsi="仿宋" w:eastAsia="仿宋"/>
          <w:sz w:val="36"/>
          <w:lang w:eastAsia="zh-CN"/>
        </w:rPr>
        <w:t>…………………………………</w:t>
      </w:r>
      <w:r>
        <w:rPr>
          <w:rFonts w:hint="eastAsia" w:ascii="仿宋" w:hAnsi="仿宋" w:eastAsia="仿宋"/>
          <w:sz w:val="36"/>
          <w:lang w:val="en-US" w:eastAsia="zh-CN"/>
        </w:rPr>
        <w:t>11</w:t>
      </w:r>
    </w:p>
    <w:p w14:paraId="60480EF8">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四、财政拨款收支预算总表</w:t>
      </w:r>
      <w:r>
        <w:rPr>
          <w:rFonts w:ascii="仿宋" w:hAnsi="仿宋" w:eastAsia="仿宋"/>
          <w:sz w:val="36"/>
          <w:lang w:eastAsia="zh-CN"/>
        </w:rPr>
        <w:t>………………………</w:t>
      </w:r>
      <w:r>
        <w:rPr>
          <w:rFonts w:hint="eastAsia" w:ascii="仿宋" w:hAnsi="仿宋" w:eastAsia="仿宋"/>
          <w:sz w:val="36"/>
          <w:lang w:val="en-US" w:eastAsia="zh-CN"/>
        </w:rPr>
        <w:t>12</w:t>
      </w:r>
    </w:p>
    <w:p w14:paraId="0711FC79">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五、一般公共预算拨款支出预算表</w:t>
      </w:r>
      <w:r>
        <w:rPr>
          <w:rFonts w:ascii="仿宋" w:hAnsi="仿宋" w:eastAsia="仿宋"/>
          <w:sz w:val="36"/>
          <w:lang w:eastAsia="zh-CN"/>
        </w:rPr>
        <w:t>………………</w:t>
      </w:r>
      <w:r>
        <w:rPr>
          <w:rFonts w:hint="eastAsia" w:ascii="仿宋" w:hAnsi="仿宋" w:eastAsia="仿宋"/>
          <w:sz w:val="36"/>
          <w:lang w:val="en-US" w:eastAsia="zh-CN"/>
        </w:rPr>
        <w:t>13</w:t>
      </w:r>
    </w:p>
    <w:p w14:paraId="5698E274">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六、政府性基金预算拨款支出预算表</w:t>
      </w:r>
      <w:r>
        <w:rPr>
          <w:rFonts w:ascii="仿宋" w:hAnsi="仿宋" w:eastAsia="仿宋"/>
          <w:sz w:val="36"/>
          <w:lang w:eastAsia="zh-CN"/>
        </w:rPr>
        <w:t>……………</w:t>
      </w:r>
      <w:r>
        <w:rPr>
          <w:rFonts w:hint="eastAsia" w:ascii="仿宋" w:hAnsi="仿宋" w:eastAsia="仿宋"/>
          <w:sz w:val="36"/>
          <w:lang w:val="en-US" w:eastAsia="zh-CN"/>
        </w:rPr>
        <w:t>14</w:t>
      </w:r>
    </w:p>
    <w:p w14:paraId="27BB6F80">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七、国有资本经营预算拨款支出预算表…………</w:t>
      </w:r>
      <w:r>
        <w:rPr>
          <w:rFonts w:hint="eastAsia" w:ascii="仿宋" w:hAnsi="仿宋" w:eastAsia="仿宋"/>
          <w:sz w:val="36"/>
          <w:lang w:val="en-US" w:eastAsia="zh-CN"/>
        </w:rPr>
        <w:t>15</w:t>
      </w:r>
    </w:p>
    <w:p w14:paraId="696A9CAF">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八、一般公共预算支出经济分类情况表</w:t>
      </w:r>
      <w:r>
        <w:rPr>
          <w:rFonts w:ascii="仿宋" w:hAnsi="仿宋" w:eastAsia="仿宋"/>
          <w:sz w:val="36"/>
          <w:lang w:eastAsia="zh-CN"/>
        </w:rPr>
        <w:t>…………</w:t>
      </w:r>
      <w:r>
        <w:rPr>
          <w:rFonts w:hint="eastAsia" w:ascii="仿宋" w:hAnsi="仿宋" w:eastAsia="仿宋"/>
          <w:sz w:val="36"/>
          <w:lang w:val="en-US" w:eastAsia="zh-CN"/>
        </w:rPr>
        <w:t>16</w:t>
      </w:r>
    </w:p>
    <w:p w14:paraId="582F768C">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九、一般公共预算基本支出经济分类情况表</w:t>
      </w:r>
      <w:r>
        <w:rPr>
          <w:rFonts w:ascii="仿宋" w:hAnsi="仿宋" w:eastAsia="仿宋"/>
          <w:sz w:val="36"/>
          <w:lang w:eastAsia="zh-CN"/>
        </w:rPr>
        <w:t>……</w:t>
      </w:r>
      <w:r>
        <w:rPr>
          <w:rFonts w:hint="eastAsia" w:ascii="仿宋" w:hAnsi="仿宋" w:eastAsia="仿宋"/>
          <w:sz w:val="36"/>
          <w:lang w:val="en-US" w:eastAsia="zh-CN"/>
        </w:rPr>
        <w:t>17</w:t>
      </w:r>
    </w:p>
    <w:p w14:paraId="43FF750E">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十、一般公共预算“三公”经费支出预算表</w:t>
      </w:r>
      <w:r>
        <w:rPr>
          <w:rFonts w:ascii="仿宋" w:hAnsi="仿宋" w:eastAsia="仿宋"/>
          <w:sz w:val="36"/>
          <w:lang w:eastAsia="zh-CN"/>
        </w:rPr>
        <w:t>……</w:t>
      </w:r>
      <w:r>
        <w:rPr>
          <w:rFonts w:hint="eastAsia" w:ascii="仿宋" w:hAnsi="仿宋" w:eastAsia="仿宋"/>
          <w:sz w:val="36"/>
          <w:lang w:val="en-US" w:eastAsia="zh-CN"/>
        </w:rPr>
        <w:t>20</w:t>
      </w:r>
    </w:p>
    <w:p w14:paraId="34617285">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十一、单位专项资金管理清单目录</w:t>
      </w:r>
      <w:r>
        <w:rPr>
          <w:rFonts w:ascii="仿宋" w:hAnsi="仿宋" w:eastAsia="仿宋"/>
          <w:sz w:val="36"/>
          <w:lang w:eastAsia="zh-CN"/>
        </w:rPr>
        <w:t>………………</w:t>
      </w:r>
      <w:r>
        <w:rPr>
          <w:rFonts w:hint="eastAsia" w:ascii="仿宋" w:hAnsi="仿宋" w:eastAsia="仿宋"/>
          <w:sz w:val="36"/>
          <w:lang w:val="en-US" w:eastAsia="zh-CN"/>
        </w:rPr>
        <w:t>21</w:t>
      </w:r>
    </w:p>
    <w:p w14:paraId="2B063076">
      <w:pPr>
        <w:pStyle w:val="2"/>
        <w:rPr>
          <w:rFonts w:hint="default" w:ascii="仿宋" w:hAnsi="仿宋" w:eastAsia="仿宋"/>
          <w:b/>
          <w:sz w:val="36"/>
          <w:lang w:val="en-US" w:eastAsia="zh-CN"/>
        </w:rPr>
      </w:pPr>
      <w:r>
        <w:rPr>
          <w:rFonts w:hint="eastAsia" w:ascii="仿宋" w:hAnsi="仿宋" w:eastAsia="仿宋"/>
          <w:b/>
          <w:sz w:val="36"/>
          <w:lang w:eastAsia="zh-CN"/>
        </w:rPr>
        <w:t>第三部分</w:t>
      </w:r>
      <w:r>
        <w:rPr>
          <w:rFonts w:ascii="仿宋" w:hAnsi="仿宋" w:eastAsia="仿宋"/>
          <w:b/>
          <w:sz w:val="36"/>
          <w:lang w:eastAsia="zh-CN"/>
        </w:rPr>
        <w:t xml:space="preserve"> </w:t>
      </w:r>
      <w:r>
        <w:rPr>
          <w:rFonts w:hint="eastAsia" w:ascii="仿宋" w:hAnsi="仿宋" w:eastAsia="仿宋"/>
          <w:b/>
          <w:sz w:val="36"/>
          <w:lang w:eastAsia="zh-CN"/>
        </w:rPr>
        <w:t>2026年度单位预算情况说明</w:t>
      </w:r>
      <w:r>
        <w:rPr>
          <w:rFonts w:ascii="仿宋" w:hAnsi="仿宋" w:eastAsia="仿宋"/>
          <w:b/>
          <w:sz w:val="36"/>
          <w:lang w:eastAsia="zh-CN"/>
        </w:rPr>
        <w:t>……………</w:t>
      </w:r>
      <w:r>
        <w:rPr>
          <w:rFonts w:hint="eastAsia" w:ascii="仿宋" w:hAnsi="仿宋" w:eastAsia="仿宋"/>
          <w:b/>
          <w:sz w:val="36"/>
          <w:lang w:val="en-US" w:eastAsia="zh-CN"/>
        </w:rPr>
        <w:t>22</w:t>
      </w:r>
    </w:p>
    <w:p w14:paraId="1544DD93">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一、预算收支总体情况</w:t>
      </w:r>
      <w:r>
        <w:rPr>
          <w:rFonts w:ascii="仿宋" w:hAnsi="仿宋" w:eastAsia="仿宋"/>
          <w:sz w:val="36"/>
        </w:rPr>
        <w:t>…………………</w:t>
      </w:r>
      <w:r>
        <w:rPr>
          <w:rFonts w:ascii="仿宋" w:hAnsi="仿宋" w:eastAsia="仿宋" w:cs="Times New Roman"/>
          <w:kern w:val="0"/>
          <w:sz w:val="36"/>
          <w:szCs w:val="20"/>
        </w:rPr>
        <w:t>…</w:t>
      </w:r>
      <w:r>
        <w:rPr>
          <w:rFonts w:ascii="仿宋" w:hAnsi="仿宋" w:eastAsia="仿宋"/>
          <w:sz w:val="36"/>
        </w:rPr>
        <w:t>………</w:t>
      </w:r>
      <w:r>
        <w:rPr>
          <w:rFonts w:hint="eastAsia" w:ascii="仿宋" w:hAnsi="仿宋" w:eastAsia="仿宋"/>
          <w:sz w:val="36"/>
          <w:lang w:val="en-US" w:eastAsia="zh-CN"/>
        </w:rPr>
        <w:t>22</w:t>
      </w:r>
    </w:p>
    <w:p w14:paraId="60849353">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二、一般公共预算拨款支出情况</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22</w:t>
      </w:r>
    </w:p>
    <w:p w14:paraId="28AF2574">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三、政府性基金预算拨款支出情况</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22</w:t>
      </w:r>
    </w:p>
    <w:p w14:paraId="3C94F935">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四、国有资本经营预算拨款支出情况……………</w:t>
      </w:r>
      <w:r>
        <w:rPr>
          <w:rFonts w:hint="eastAsia" w:ascii="仿宋" w:hAnsi="仿宋" w:eastAsia="仿宋" w:cs="Times New Roman"/>
          <w:kern w:val="0"/>
          <w:sz w:val="36"/>
          <w:szCs w:val="20"/>
          <w:lang w:val="en-US" w:eastAsia="zh-CN"/>
        </w:rPr>
        <w:t>22</w:t>
      </w:r>
    </w:p>
    <w:p w14:paraId="3C1B1C26">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五、一般公共预算拨款基本支出情况</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23</w:t>
      </w:r>
    </w:p>
    <w:p w14:paraId="02F65A3A">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六、一般公共预算“三公”经费支出情况</w:t>
      </w:r>
      <w:r>
        <w:rPr>
          <w:rFonts w:ascii="仿宋" w:hAnsi="仿宋" w:eastAsia="仿宋" w:cs="Times New Roman"/>
          <w:kern w:val="0"/>
          <w:sz w:val="36"/>
          <w:szCs w:val="20"/>
        </w:rPr>
        <w:t>…</w:t>
      </w:r>
      <w:r>
        <w:rPr>
          <w:rFonts w:hint="eastAsia" w:ascii="仿宋" w:hAnsi="仿宋" w:eastAsia="仿宋" w:cs="Times New Roman"/>
          <w:kern w:val="0"/>
          <w:sz w:val="36"/>
          <w:szCs w:val="20"/>
        </w:rPr>
        <w:t>…</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23</w:t>
      </w:r>
    </w:p>
    <w:p w14:paraId="559389A3">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七、预算绩效目标情况</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24</w:t>
      </w:r>
      <w:r>
        <w:rPr>
          <w:rFonts w:hint="eastAsia" w:ascii="仿宋" w:hAnsi="仿宋" w:eastAsia="仿宋" w:cs="Times New Roman"/>
          <w:kern w:val="0"/>
          <w:sz w:val="36"/>
          <w:szCs w:val="20"/>
        </w:rPr>
        <w:t>八、其他重要事项说明</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24</w:t>
      </w:r>
    </w:p>
    <w:p w14:paraId="00DEBD46">
      <w:pPr>
        <w:pStyle w:val="2"/>
        <w:spacing w:before="3"/>
        <w:rPr>
          <w:rFonts w:hint="default" w:ascii="仿宋" w:hAnsi="仿宋" w:eastAsia="仿宋"/>
          <w:sz w:val="36"/>
          <w:szCs w:val="36"/>
          <w:lang w:val="en-US" w:eastAsia="zh-CN"/>
        </w:rPr>
      </w:pPr>
      <w:r>
        <w:rPr>
          <w:rFonts w:hint="eastAsia" w:ascii="仿宋" w:hAnsi="仿宋" w:eastAsia="仿宋"/>
          <w:b/>
          <w:sz w:val="36"/>
          <w:szCs w:val="36"/>
          <w:lang w:eastAsia="zh-CN"/>
        </w:rPr>
        <w:t>第四部分</w:t>
      </w:r>
      <w:r>
        <w:rPr>
          <w:rFonts w:ascii="仿宋" w:hAnsi="仿宋" w:eastAsia="仿宋"/>
          <w:b/>
          <w:sz w:val="36"/>
          <w:szCs w:val="36"/>
          <w:lang w:eastAsia="zh-CN"/>
        </w:rPr>
        <w:t xml:space="preserve"> </w:t>
      </w:r>
      <w:r>
        <w:rPr>
          <w:rFonts w:hint="eastAsia" w:ascii="仿宋" w:hAnsi="仿宋" w:eastAsia="仿宋"/>
          <w:b/>
          <w:sz w:val="36"/>
          <w:szCs w:val="36"/>
          <w:lang w:eastAsia="zh-CN"/>
        </w:rPr>
        <w:t>名词解释</w:t>
      </w:r>
      <w:r>
        <w:rPr>
          <w:rFonts w:ascii="仿宋" w:hAnsi="仿宋" w:eastAsia="仿宋"/>
          <w:sz w:val="36"/>
          <w:szCs w:val="36"/>
          <w:lang w:eastAsia="zh-CN"/>
        </w:rPr>
        <w:t>…………………………………</w:t>
      </w:r>
      <w:r>
        <w:rPr>
          <w:rFonts w:hint="eastAsia" w:ascii="仿宋" w:hAnsi="仿宋" w:eastAsia="仿宋"/>
          <w:sz w:val="36"/>
          <w:szCs w:val="36"/>
          <w:lang w:val="en-US" w:eastAsia="zh-CN"/>
        </w:rPr>
        <w:t>26</w:t>
      </w:r>
    </w:p>
    <w:p w14:paraId="0B8198F7">
      <w:pPr>
        <w:widowControl/>
      </w:pPr>
      <w:r>
        <w:tab/>
      </w:r>
    </w:p>
    <w:p w14:paraId="56479B03">
      <w:pPr>
        <w:widowControl/>
        <w:spacing w:line="240" w:lineRule="auto"/>
        <w:jc w:val="left"/>
        <w:rPr>
          <w:rFonts w:ascii="黑体" w:hAnsi="黑体" w:eastAsia="黑体" w:cs="Times New Roman"/>
          <w:kern w:val="0"/>
          <w:sz w:val="36"/>
          <w:szCs w:val="36"/>
        </w:rPr>
      </w:pPr>
      <w:r>
        <w:rPr>
          <w:rFonts w:ascii="黑体" w:hAnsi="黑体" w:eastAsia="黑体"/>
          <w:sz w:val="36"/>
          <w:szCs w:val="36"/>
        </w:rPr>
        <w:br w:type="page"/>
      </w:r>
    </w:p>
    <w:p w14:paraId="6BCAD72C">
      <w:pPr>
        <w:pStyle w:val="2"/>
        <w:jc w:val="center"/>
        <w:rPr>
          <w:rFonts w:ascii="黑体" w:hAnsi="黑体" w:eastAsia="黑体"/>
          <w:sz w:val="36"/>
          <w:szCs w:val="36"/>
          <w:lang w:eastAsia="zh-CN"/>
        </w:rPr>
      </w:pPr>
    </w:p>
    <w:p w14:paraId="262E6AD1">
      <w:pPr>
        <w:pStyle w:val="2"/>
        <w:jc w:val="center"/>
        <w:rPr>
          <w:rFonts w:ascii="黑体" w:hAnsi="黑体" w:eastAsia="黑体"/>
          <w:sz w:val="36"/>
          <w:szCs w:val="36"/>
          <w:lang w:eastAsia="zh-CN"/>
        </w:rPr>
      </w:pPr>
    </w:p>
    <w:p w14:paraId="25A88C94">
      <w:pPr>
        <w:pStyle w:val="2"/>
        <w:jc w:val="center"/>
        <w:rPr>
          <w:rFonts w:ascii="黑体" w:hAnsi="黑体" w:eastAsia="黑体"/>
          <w:sz w:val="36"/>
          <w:szCs w:val="36"/>
          <w:lang w:eastAsia="zh-CN"/>
        </w:rPr>
      </w:pPr>
    </w:p>
    <w:p w14:paraId="1300DB49">
      <w:pPr>
        <w:pStyle w:val="2"/>
        <w:jc w:val="center"/>
        <w:rPr>
          <w:rFonts w:ascii="黑体" w:hAnsi="黑体" w:eastAsia="黑体"/>
          <w:sz w:val="36"/>
          <w:szCs w:val="36"/>
          <w:lang w:eastAsia="zh-CN"/>
        </w:rPr>
      </w:pPr>
    </w:p>
    <w:p w14:paraId="4A0925FE">
      <w:pPr>
        <w:pStyle w:val="2"/>
        <w:jc w:val="center"/>
        <w:rPr>
          <w:rFonts w:ascii="黑体" w:hAnsi="黑体" w:eastAsia="黑体"/>
          <w:sz w:val="36"/>
          <w:szCs w:val="36"/>
          <w:lang w:eastAsia="zh-CN"/>
        </w:rPr>
      </w:pPr>
    </w:p>
    <w:p w14:paraId="1039CC22">
      <w:pPr>
        <w:pStyle w:val="2"/>
        <w:jc w:val="center"/>
        <w:rPr>
          <w:rFonts w:ascii="黑体" w:hAnsi="黑体" w:eastAsia="黑体"/>
          <w:sz w:val="36"/>
          <w:szCs w:val="36"/>
          <w:lang w:eastAsia="zh-CN"/>
        </w:rPr>
      </w:pPr>
    </w:p>
    <w:p w14:paraId="0FCD54CA">
      <w:pPr>
        <w:pStyle w:val="2"/>
        <w:jc w:val="center"/>
        <w:rPr>
          <w:rFonts w:ascii="黑体" w:hAnsi="黑体" w:eastAsia="黑体"/>
          <w:sz w:val="36"/>
          <w:szCs w:val="36"/>
          <w:lang w:eastAsia="zh-CN"/>
        </w:rPr>
      </w:pPr>
    </w:p>
    <w:p w14:paraId="676230C1">
      <w:pPr>
        <w:pStyle w:val="2"/>
        <w:jc w:val="center"/>
        <w:rPr>
          <w:rFonts w:ascii="黑体" w:hAnsi="黑体" w:eastAsia="黑体"/>
          <w:sz w:val="36"/>
          <w:szCs w:val="36"/>
          <w:lang w:eastAsia="zh-CN"/>
        </w:rPr>
      </w:pPr>
    </w:p>
    <w:p w14:paraId="477BF2CB">
      <w:pPr>
        <w:pStyle w:val="2"/>
        <w:rPr>
          <w:rFonts w:ascii="黑体" w:hAnsi="黑体" w:eastAsia="黑体"/>
          <w:sz w:val="56"/>
          <w:szCs w:val="36"/>
          <w:lang w:eastAsia="zh-CN"/>
        </w:rPr>
      </w:pPr>
      <w:r>
        <w:rPr>
          <w:rFonts w:hint="eastAsia" w:ascii="黑体" w:hAnsi="黑体" w:eastAsia="黑体"/>
          <w:sz w:val="56"/>
          <w:szCs w:val="36"/>
          <w:lang w:eastAsia="zh-CN"/>
        </w:rPr>
        <w:t>第一部分</w:t>
      </w:r>
      <w:r>
        <w:rPr>
          <w:rFonts w:ascii="黑体" w:hAnsi="黑体" w:eastAsia="黑体"/>
          <w:sz w:val="56"/>
          <w:szCs w:val="36"/>
          <w:lang w:eastAsia="zh-CN"/>
        </w:rPr>
        <w:t xml:space="preserve"> </w:t>
      </w:r>
    </w:p>
    <w:p w14:paraId="7F6DEB2F">
      <w:pPr>
        <w:pStyle w:val="2"/>
        <w:jc w:val="center"/>
        <w:rPr>
          <w:rFonts w:ascii="黑体" w:hAnsi="黑体" w:eastAsia="黑体"/>
          <w:sz w:val="56"/>
          <w:szCs w:val="36"/>
          <w:lang w:eastAsia="zh-CN"/>
        </w:rPr>
      </w:pPr>
      <w:r>
        <w:rPr>
          <w:rFonts w:hint="eastAsia" w:ascii="黑体" w:hAnsi="黑体" w:eastAsia="黑体"/>
          <w:sz w:val="56"/>
          <w:szCs w:val="36"/>
          <w:lang w:eastAsia="zh-CN"/>
        </w:rPr>
        <w:t>单位概况</w:t>
      </w:r>
    </w:p>
    <w:p w14:paraId="0E03C955">
      <w:pPr>
        <w:pStyle w:val="2"/>
        <w:rPr>
          <w:rFonts w:ascii="黑体" w:hAnsi="黑体" w:eastAsia="黑体"/>
          <w:sz w:val="36"/>
          <w:szCs w:val="36"/>
          <w:lang w:eastAsia="zh-CN"/>
        </w:rPr>
      </w:pPr>
    </w:p>
    <w:p w14:paraId="21ABB4E7">
      <w:pPr>
        <w:pStyle w:val="2"/>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06EAC994">
      <w:pPr>
        <w:pStyle w:val="2"/>
        <w:ind w:firstLine="640" w:firstLineChars="200"/>
        <w:rPr>
          <w:rFonts w:ascii="黑体" w:hAnsi="黑体" w:eastAsia="黑体" w:cstheme="minorBidi"/>
          <w:kern w:val="2"/>
          <w:sz w:val="32"/>
          <w:szCs w:val="32"/>
          <w:lang w:eastAsia="zh-CN"/>
        </w:rPr>
      </w:pPr>
      <w:r>
        <w:rPr>
          <w:rFonts w:hint="eastAsia" w:ascii="黑体" w:hAnsi="黑体" w:eastAsia="黑体" w:cstheme="minorBidi"/>
          <w:kern w:val="2"/>
          <w:sz w:val="32"/>
          <w:szCs w:val="32"/>
          <w:lang w:eastAsia="zh-CN"/>
        </w:rPr>
        <w:t>一、单位主要职责</w:t>
      </w:r>
    </w:p>
    <w:p w14:paraId="15EFDBD2">
      <w:pPr>
        <w:ind w:firstLine="640" w:firstLineChars="200"/>
        <w:rPr>
          <w:rFonts w:hint="eastAsia" w:ascii="仿宋" w:hAnsi="仿宋" w:eastAsia="仿宋"/>
          <w:sz w:val="32"/>
          <w:szCs w:val="32"/>
        </w:rPr>
      </w:pPr>
      <w:r>
        <w:rPr>
          <w:rFonts w:hint="eastAsia" w:ascii="仿宋" w:hAnsi="仿宋" w:eastAsia="仿宋"/>
          <w:sz w:val="32"/>
          <w:szCs w:val="32"/>
          <w:lang w:val="en-US" w:eastAsia="zh-CN"/>
        </w:rPr>
        <w:t>漳平市第二实验小学</w:t>
      </w:r>
      <w:r>
        <w:rPr>
          <w:rFonts w:hint="eastAsia" w:ascii="仿宋" w:hAnsi="仿宋" w:eastAsia="仿宋"/>
          <w:sz w:val="32"/>
          <w:szCs w:val="32"/>
        </w:rPr>
        <w:t>的主要职责是：根据《漳平市人民政府关于印发教育部门主要职责内设机构和人员编制规定的通知》（漳政办〔2002〕150号），主要职责是：</w:t>
      </w:r>
    </w:p>
    <w:p w14:paraId="7FA7A5E7">
      <w:pPr>
        <w:ind w:firstLine="640" w:firstLineChars="200"/>
        <w:rPr>
          <w:rFonts w:hint="eastAsia" w:ascii="仿宋" w:hAnsi="仿宋" w:eastAsia="仿宋"/>
          <w:sz w:val="32"/>
          <w:szCs w:val="32"/>
        </w:rPr>
      </w:pPr>
      <w:r>
        <w:rPr>
          <w:rFonts w:hint="eastAsia" w:ascii="仿宋" w:hAnsi="仿宋" w:eastAsia="仿宋"/>
          <w:sz w:val="32"/>
          <w:szCs w:val="32"/>
        </w:rPr>
        <w:t>（一）教育教学管理。</w:t>
      </w:r>
    </w:p>
    <w:p w14:paraId="21D747B8">
      <w:pPr>
        <w:ind w:firstLine="640" w:firstLineChars="200"/>
        <w:rPr>
          <w:rFonts w:hint="eastAsia" w:ascii="仿宋" w:hAnsi="仿宋" w:eastAsia="仿宋"/>
          <w:sz w:val="32"/>
          <w:szCs w:val="32"/>
        </w:rPr>
      </w:pPr>
      <w:r>
        <w:rPr>
          <w:rFonts w:hint="eastAsia" w:ascii="仿宋" w:hAnsi="仿宋" w:eastAsia="仿宋"/>
          <w:sz w:val="32"/>
          <w:szCs w:val="32"/>
        </w:rPr>
        <w:t>（二）教师队伍建设。</w:t>
      </w:r>
    </w:p>
    <w:p w14:paraId="3CA04882">
      <w:pPr>
        <w:ind w:firstLine="640" w:firstLineChars="200"/>
        <w:rPr>
          <w:rFonts w:hint="eastAsia" w:ascii="仿宋" w:hAnsi="仿宋" w:eastAsia="仿宋"/>
          <w:sz w:val="32"/>
          <w:szCs w:val="32"/>
        </w:rPr>
      </w:pPr>
      <w:r>
        <w:rPr>
          <w:rFonts w:hint="eastAsia" w:ascii="仿宋" w:hAnsi="仿宋" w:eastAsia="仿宋"/>
          <w:sz w:val="32"/>
          <w:szCs w:val="32"/>
        </w:rPr>
        <w:t>（三）基础设施建设。</w:t>
      </w:r>
    </w:p>
    <w:p w14:paraId="24628312">
      <w:pPr>
        <w:pStyle w:val="2"/>
        <w:ind w:firstLine="640" w:firstLineChars="200"/>
        <w:rPr>
          <w:rFonts w:ascii="黑体" w:hAnsi="黑体" w:eastAsia="黑体" w:cstheme="minorBidi"/>
          <w:kern w:val="2"/>
          <w:sz w:val="32"/>
          <w:szCs w:val="32"/>
          <w:lang w:eastAsia="zh-CN"/>
        </w:rPr>
      </w:pPr>
      <w:r>
        <w:rPr>
          <w:rFonts w:hint="eastAsia" w:ascii="黑体" w:hAnsi="黑体" w:eastAsia="黑体" w:cstheme="minorBidi"/>
          <w:kern w:val="2"/>
          <w:sz w:val="32"/>
          <w:szCs w:val="32"/>
          <w:lang w:eastAsia="zh-CN"/>
        </w:rPr>
        <w:t>二、单位预算单位构成</w:t>
      </w:r>
    </w:p>
    <w:p w14:paraId="36E59A71">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列入</w:t>
      </w:r>
      <w:r>
        <w:rPr>
          <w:rFonts w:hint="eastAsia" w:ascii="仿宋" w:hAnsi="仿宋" w:eastAsia="仿宋" w:cs="仿宋_GB2312"/>
          <w:sz w:val="32"/>
          <w:szCs w:val="32"/>
          <w:lang w:val="en-US" w:eastAsia="zh-CN"/>
        </w:rPr>
        <w:t>2026</w:t>
      </w:r>
      <w:r>
        <w:rPr>
          <w:rFonts w:hint="eastAsia" w:ascii="仿宋" w:hAnsi="仿宋" w:eastAsia="仿宋"/>
          <w:sz w:val="32"/>
          <w:szCs w:val="32"/>
        </w:rPr>
        <w:t>年单位预算编制范围的单位详细情况见下表：</w:t>
      </w:r>
    </w:p>
    <w:tbl>
      <w:tblPr>
        <w:tblStyle w:val="6"/>
        <w:tblW w:w="79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4"/>
        <w:gridCol w:w="1559"/>
        <w:gridCol w:w="1559"/>
      </w:tblGrid>
      <w:tr w14:paraId="3A67E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298FD37C">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1559" w:type="dxa"/>
            <w:shd w:val="clear" w:color="auto" w:fill="auto"/>
          </w:tcPr>
          <w:p w14:paraId="298B8390">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1559" w:type="dxa"/>
          </w:tcPr>
          <w:p w14:paraId="14FED2CC">
            <w:pPr>
              <w:tabs>
                <w:tab w:val="left" w:pos="7513"/>
              </w:tabs>
              <w:adjustRightInd w:val="0"/>
              <w:snapToGrid w:val="0"/>
              <w:spacing w:line="600" w:lineRule="exact"/>
              <w:jc w:val="center"/>
              <w:rPr>
                <w:rFonts w:hint="eastAsia" w:ascii="仿宋" w:hAnsi="仿宋" w:eastAsia="仿宋"/>
                <w:sz w:val="32"/>
                <w:szCs w:val="32"/>
              </w:rPr>
            </w:pPr>
            <w:r>
              <w:rPr>
                <w:rFonts w:hint="eastAsia" w:ascii="仿宋" w:hAnsi="仿宋" w:eastAsia="仿宋"/>
                <w:sz w:val="32"/>
                <w:szCs w:val="32"/>
              </w:rPr>
              <w:t>在职人数</w:t>
            </w:r>
          </w:p>
        </w:tc>
      </w:tr>
      <w:tr w14:paraId="5200B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4F4B4CEA">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漳平市第二实验小学</w:t>
            </w:r>
          </w:p>
        </w:tc>
        <w:tc>
          <w:tcPr>
            <w:tcW w:w="1559" w:type="dxa"/>
            <w:shd w:val="clear" w:color="auto" w:fill="auto"/>
          </w:tcPr>
          <w:p w14:paraId="0BCCDE20">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财政核拨</w:t>
            </w:r>
          </w:p>
        </w:tc>
        <w:tc>
          <w:tcPr>
            <w:tcW w:w="1559" w:type="dxa"/>
          </w:tcPr>
          <w:p w14:paraId="154DC454">
            <w:pPr>
              <w:tabs>
                <w:tab w:val="left" w:pos="7513"/>
              </w:tabs>
              <w:adjustRightInd w:val="0"/>
              <w:snapToGrid w:val="0"/>
              <w:spacing w:line="600" w:lineRule="exact"/>
              <w:rPr>
                <w:rFonts w:hint="default" w:ascii="仿宋" w:hAnsi="仿宋" w:eastAsia="仿宋"/>
                <w:sz w:val="32"/>
                <w:szCs w:val="32"/>
                <w:lang w:val="en-US" w:eastAsia="zh-CN"/>
              </w:rPr>
            </w:pPr>
            <w:r>
              <w:rPr>
                <w:rFonts w:hint="eastAsia" w:ascii="仿宋" w:hAnsi="仿宋" w:eastAsia="仿宋"/>
                <w:sz w:val="32"/>
                <w:szCs w:val="32"/>
                <w:lang w:val="en-US" w:eastAsia="zh-CN"/>
              </w:rPr>
              <w:t>58</w:t>
            </w:r>
          </w:p>
        </w:tc>
      </w:tr>
    </w:tbl>
    <w:p w14:paraId="24B9BE13">
      <w:pPr>
        <w:tabs>
          <w:tab w:val="left" w:pos="7513"/>
        </w:tabs>
        <w:adjustRightInd w:val="0"/>
        <w:snapToGrid w:val="0"/>
        <w:spacing w:line="600" w:lineRule="exact"/>
        <w:rPr>
          <w:rFonts w:ascii="黑体" w:hAnsi="黑体" w:eastAsia="黑体"/>
          <w:sz w:val="32"/>
          <w:szCs w:val="32"/>
        </w:rPr>
      </w:pPr>
      <w:r>
        <w:rPr>
          <w:rFonts w:hint="eastAsia" w:cs="Times New Roman" w:asciiTheme="majorEastAsia" w:hAnsiTheme="majorEastAsia" w:eastAsiaTheme="majorEastAsia"/>
          <w:kern w:val="0"/>
          <w:sz w:val="36"/>
          <w:szCs w:val="20"/>
        </w:rPr>
        <w:t xml:space="preserve">    </w:t>
      </w:r>
      <w:r>
        <w:rPr>
          <w:rFonts w:hint="eastAsia" w:ascii="黑体" w:hAnsi="黑体" w:eastAsia="黑体"/>
          <w:sz w:val="32"/>
          <w:szCs w:val="32"/>
        </w:rPr>
        <w:t>三、单位主要工作任务</w:t>
      </w:r>
    </w:p>
    <w:p w14:paraId="289B5C74">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val="en-US" w:eastAsia="zh-CN"/>
        </w:rPr>
        <w:t>2026</w:t>
      </w:r>
      <w:r>
        <w:rPr>
          <w:rFonts w:hint="eastAsia" w:ascii="仿宋" w:hAnsi="仿宋" w:eastAsia="仿宋"/>
          <w:sz w:val="32"/>
          <w:szCs w:val="32"/>
        </w:rPr>
        <w:t>年，</w:t>
      </w:r>
      <w:r>
        <w:rPr>
          <w:rFonts w:hint="eastAsia" w:ascii="仿宋" w:hAnsi="仿宋" w:eastAsia="仿宋" w:cs="仿宋_GB2312"/>
          <w:sz w:val="32"/>
          <w:szCs w:val="32"/>
          <w:lang w:val="en-US" w:eastAsia="zh-CN"/>
        </w:rPr>
        <w:t>漳平市第二实验小学</w:t>
      </w:r>
      <w:r>
        <w:rPr>
          <w:rFonts w:hint="eastAsia" w:ascii="仿宋" w:hAnsi="仿宋" w:eastAsia="仿宋"/>
          <w:sz w:val="32"/>
          <w:szCs w:val="32"/>
        </w:rPr>
        <w:t>主要任务是：</w:t>
      </w:r>
      <w:r>
        <w:rPr>
          <w:rFonts w:ascii="仿宋" w:hAnsi="仿宋" w:eastAsia="仿宋" w:cs="仿宋_GB2312"/>
          <w:sz w:val="32"/>
          <w:szCs w:val="32"/>
        </w:rPr>
        <w:t>以习近平新时代中国特色社会主义思想为指导，以创建“教育强市”为目标。按照“明确一个宗旨，树立两大理念，落实三步规划，实施四大方略，实现五美目标”的办学思想，实施“以美育人”特色建设，开展“六美一体，艺体两翼”特色校园创建工作，努力把学校建成一所布局合理、环境优美、设施齐全、质量一流、特色鲜明的城区重点优质小学。　</w:t>
      </w:r>
    </w:p>
    <w:p w14:paraId="4A5EA4C2">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围绕上述任务，重点完成了以下工作：</w:t>
      </w:r>
    </w:p>
    <w:p w14:paraId="68EC578F">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1、</w:t>
      </w:r>
      <w:r>
        <w:rPr>
          <w:rFonts w:ascii="仿宋" w:hAnsi="仿宋" w:eastAsia="仿宋" w:cs="仿宋_GB2312"/>
          <w:sz w:val="32"/>
          <w:szCs w:val="32"/>
        </w:rPr>
        <w:t>规范办学行为，保障学生权益</w:t>
      </w:r>
      <w:r>
        <w:rPr>
          <w:rFonts w:hint="eastAsia" w:ascii="仿宋" w:hAnsi="仿宋" w:eastAsia="仿宋" w:cs="仿宋_GB2312"/>
          <w:sz w:val="32"/>
          <w:szCs w:val="32"/>
        </w:rPr>
        <w:t>。</w:t>
      </w:r>
    </w:p>
    <w:p w14:paraId="572EAA57">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w:t>
      </w:r>
      <w:r>
        <w:rPr>
          <w:rFonts w:ascii="仿宋" w:hAnsi="仿宋" w:eastAsia="仿宋" w:cs="仿宋_GB2312"/>
          <w:sz w:val="32"/>
          <w:szCs w:val="32"/>
        </w:rPr>
        <w:t>加强党建工作，提升党建水平</w:t>
      </w:r>
      <w:r>
        <w:rPr>
          <w:rFonts w:hint="eastAsia" w:ascii="仿宋" w:hAnsi="仿宋" w:eastAsia="仿宋" w:cs="仿宋_GB2312"/>
          <w:sz w:val="32"/>
          <w:szCs w:val="32"/>
        </w:rPr>
        <w:t>。</w:t>
      </w:r>
    </w:p>
    <w:p w14:paraId="36144E68">
      <w:pPr>
        <w:tabs>
          <w:tab w:val="left" w:pos="7513"/>
        </w:tabs>
        <w:adjustRightInd w:val="0"/>
        <w:snapToGrid w:val="0"/>
        <w:spacing w:line="600" w:lineRule="exact"/>
        <w:ind w:firstLine="640" w:firstLineChars="200"/>
        <w:rPr>
          <w:lang w:val="en-US" w:eastAsia="zh-CN"/>
        </w:rPr>
        <w:sectPr>
          <w:pgSz w:w="11906" w:h="16838"/>
          <w:pgMar w:top="1440" w:right="1800" w:bottom="1440" w:left="1800" w:header="851" w:footer="992" w:gutter="0"/>
          <w:cols w:space="425" w:num="1"/>
          <w:docGrid w:type="lines" w:linePitch="312" w:charSpace="0"/>
        </w:sectPr>
      </w:pPr>
      <w:r>
        <w:rPr>
          <w:rFonts w:hint="eastAsia" w:ascii="仿宋" w:hAnsi="仿宋" w:eastAsia="仿宋" w:cs="仿宋_GB2312"/>
          <w:sz w:val="32"/>
          <w:szCs w:val="32"/>
        </w:rPr>
        <w:t>3、</w:t>
      </w:r>
      <w:r>
        <w:rPr>
          <w:rFonts w:ascii="仿宋" w:hAnsi="仿宋" w:eastAsia="仿宋" w:cs="仿宋_GB2312"/>
          <w:sz w:val="32"/>
          <w:szCs w:val="32"/>
        </w:rPr>
        <w:t>加强教学管理，提升教育质</w:t>
      </w:r>
    </w:p>
    <w:p w14:paraId="03EC5BA1">
      <w:pPr>
        <w:pStyle w:val="2"/>
        <w:jc w:val="both"/>
        <w:rPr>
          <w:rFonts w:ascii="黑体" w:hAnsi="黑体" w:eastAsia="黑体"/>
          <w:sz w:val="36"/>
          <w:szCs w:val="36"/>
          <w:lang w:eastAsia="zh-CN"/>
        </w:rPr>
      </w:pPr>
    </w:p>
    <w:p w14:paraId="56FC750C">
      <w:pPr>
        <w:pStyle w:val="2"/>
        <w:rPr>
          <w:rFonts w:ascii="黑体" w:hAnsi="黑体" w:eastAsia="黑体"/>
          <w:sz w:val="56"/>
          <w:szCs w:val="36"/>
          <w:lang w:eastAsia="zh-CN"/>
        </w:rPr>
      </w:pPr>
      <w:r>
        <w:rPr>
          <w:rFonts w:hint="eastAsia" w:ascii="黑体" w:hAnsi="黑体" w:eastAsia="黑体"/>
          <w:sz w:val="56"/>
          <w:szCs w:val="36"/>
          <w:lang w:eastAsia="zh-CN"/>
        </w:rPr>
        <w:t>第二部分</w:t>
      </w:r>
      <w:r>
        <w:rPr>
          <w:rFonts w:ascii="黑体" w:hAnsi="黑体" w:eastAsia="黑体"/>
          <w:sz w:val="56"/>
          <w:szCs w:val="36"/>
          <w:lang w:eastAsia="zh-CN"/>
        </w:rPr>
        <w:t xml:space="preserve"> </w:t>
      </w:r>
    </w:p>
    <w:p w14:paraId="45CF60E7">
      <w:pPr>
        <w:pStyle w:val="2"/>
        <w:jc w:val="center"/>
        <w:rPr>
          <w:rFonts w:ascii="黑体" w:hAnsi="黑体" w:eastAsia="黑体"/>
          <w:sz w:val="56"/>
          <w:szCs w:val="36"/>
          <w:lang w:eastAsia="zh-CN"/>
        </w:rPr>
      </w:pPr>
      <w:r>
        <w:rPr>
          <w:rFonts w:hint="eastAsia" w:ascii="黑体" w:hAnsi="黑体" w:eastAsia="黑体"/>
          <w:sz w:val="56"/>
          <w:szCs w:val="36"/>
          <w:lang w:eastAsia="zh-CN"/>
        </w:rPr>
        <w:t>2026年度单位预算表</w:t>
      </w:r>
    </w:p>
    <w:p w14:paraId="41D94026">
      <w:pPr>
        <w:tabs>
          <w:tab w:val="left" w:pos="7513"/>
        </w:tabs>
        <w:adjustRightInd w:val="0"/>
        <w:snapToGrid w:val="0"/>
        <w:spacing w:line="600" w:lineRule="exact"/>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38089E73">
      <w:pPr>
        <w:tabs>
          <w:tab w:val="left" w:pos="7513"/>
        </w:tabs>
        <w:adjustRightInd w:val="0"/>
        <w:snapToGrid w:val="0"/>
        <w:spacing w:line="600" w:lineRule="exact"/>
        <w:rPr>
          <w:rFonts w:ascii="楷体" w:hAnsi="楷体" w:eastAsia="楷体"/>
          <w:sz w:val="28"/>
          <w:szCs w:val="28"/>
        </w:rPr>
      </w:pPr>
      <w:r>
        <w:rPr>
          <w:rFonts w:hint="eastAsia" w:ascii="黑体" w:hAnsi="黑体" w:eastAsia="黑体"/>
          <w:sz w:val="32"/>
          <w:szCs w:val="32"/>
        </w:rPr>
        <w:t>一、收支预算总表</w:t>
      </w:r>
    </w:p>
    <w:tbl>
      <w:tblPr>
        <w:tblStyle w:val="6"/>
        <w:tblW w:w="8789" w:type="dxa"/>
        <w:tblInd w:w="-34" w:type="dxa"/>
        <w:tblLayout w:type="autofit"/>
        <w:tblCellMar>
          <w:top w:w="0" w:type="dxa"/>
          <w:left w:w="108" w:type="dxa"/>
          <w:bottom w:w="0" w:type="dxa"/>
          <w:right w:w="108" w:type="dxa"/>
        </w:tblCellMar>
      </w:tblPr>
      <w:tblGrid>
        <w:gridCol w:w="2977"/>
        <w:gridCol w:w="1276"/>
        <w:gridCol w:w="3260"/>
        <w:gridCol w:w="1276"/>
      </w:tblGrid>
      <w:tr w14:paraId="30B05BEF">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3FDCC80D">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年度收支预算总表</w:t>
            </w:r>
          </w:p>
        </w:tc>
      </w:tr>
      <w:tr w14:paraId="0FB470A3">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14:paraId="4DF11D34">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1109ACDB">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50723E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6D50BED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60B3AF6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B9C1A6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07BB891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5A0154B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4574A06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3A2C335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4B1AC8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4D7F857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811.65　</w:t>
            </w:r>
          </w:p>
        </w:tc>
        <w:tc>
          <w:tcPr>
            <w:tcW w:w="3260" w:type="dxa"/>
            <w:tcBorders>
              <w:top w:val="nil"/>
              <w:left w:val="nil"/>
              <w:bottom w:val="single" w:color="auto" w:sz="4" w:space="0"/>
              <w:right w:val="single" w:color="auto" w:sz="4" w:space="0"/>
            </w:tcBorders>
            <w:shd w:val="clear" w:color="auto" w:fill="auto"/>
            <w:noWrap/>
            <w:vAlign w:val="center"/>
          </w:tcPr>
          <w:p w14:paraId="23C1B64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555BD95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726DE6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729BF6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6E0C8FA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033A72C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6949C4F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68494B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FC585A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2EC7BC6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712D87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4C0474E9">
            <w:pPr>
              <w:widowControl/>
              <w:spacing w:line="240" w:lineRule="auto"/>
              <w:jc w:val="right"/>
              <w:rPr>
                <w:rFonts w:ascii="宋体" w:hAnsi="宋体" w:eastAsia="宋体" w:cs="宋体"/>
                <w:kern w:val="0"/>
                <w:sz w:val="18"/>
                <w:szCs w:val="18"/>
              </w:rPr>
            </w:pPr>
          </w:p>
        </w:tc>
      </w:tr>
      <w:tr w14:paraId="2830455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282406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795D912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78B90F3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783D908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F006FA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65F3CB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45DCAE6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7D5FED3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64392EF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811.65　</w:t>
            </w:r>
          </w:p>
        </w:tc>
      </w:tr>
      <w:tr w14:paraId="519A802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6599D0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129C27E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13F664B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341BA6C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907745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4CAE52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45F4417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8E167A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659D2F6F">
            <w:pPr>
              <w:widowControl/>
              <w:spacing w:line="240" w:lineRule="auto"/>
              <w:jc w:val="right"/>
              <w:rPr>
                <w:rFonts w:ascii="宋体" w:hAnsi="宋体" w:eastAsia="宋体" w:cs="宋体"/>
                <w:kern w:val="0"/>
                <w:sz w:val="18"/>
                <w:szCs w:val="18"/>
              </w:rPr>
            </w:pPr>
          </w:p>
        </w:tc>
      </w:tr>
      <w:tr w14:paraId="0F75A1B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B759F5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5BFC502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9BC7C4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1499C381">
            <w:pPr>
              <w:widowControl/>
              <w:spacing w:line="240" w:lineRule="auto"/>
              <w:jc w:val="right"/>
              <w:rPr>
                <w:rFonts w:ascii="宋体" w:hAnsi="宋体" w:eastAsia="宋体" w:cs="宋体"/>
                <w:kern w:val="0"/>
                <w:sz w:val="18"/>
                <w:szCs w:val="18"/>
              </w:rPr>
            </w:pPr>
          </w:p>
        </w:tc>
      </w:tr>
      <w:tr w14:paraId="5BCED9E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A35428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3752334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33B18D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44D9BBB4">
            <w:pPr>
              <w:widowControl/>
              <w:spacing w:line="240" w:lineRule="auto"/>
              <w:jc w:val="right"/>
              <w:rPr>
                <w:rFonts w:ascii="宋体" w:hAnsi="宋体" w:eastAsia="宋体" w:cs="宋体"/>
                <w:kern w:val="0"/>
                <w:sz w:val="18"/>
                <w:szCs w:val="18"/>
              </w:rPr>
            </w:pPr>
          </w:p>
        </w:tc>
      </w:tr>
      <w:tr w14:paraId="4BA20D4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B56CED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55F595F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32556A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27DF1652">
            <w:pPr>
              <w:widowControl/>
              <w:spacing w:line="240" w:lineRule="auto"/>
              <w:jc w:val="right"/>
              <w:rPr>
                <w:rFonts w:ascii="宋体" w:hAnsi="宋体" w:eastAsia="宋体" w:cs="宋体"/>
                <w:kern w:val="0"/>
                <w:sz w:val="18"/>
                <w:szCs w:val="18"/>
              </w:rPr>
            </w:pPr>
          </w:p>
        </w:tc>
      </w:tr>
      <w:tr w14:paraId="39EEB8A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DBEC67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81B823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3434CA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491174ED">
            <w:pPr>
              <w:widowControl/>
              <w:spacing w:line="240" w:lineRule="auto"/>
              <w:jc w:val="right"/>
              <w:rPr>
                <w:rFonts w:ascii="宋体" w:hAnsi="宋体" w:eastAsia="宋体" w:cs="宋体"/>
                <w:kern w:val="0"/>
                <w:sz w:val="18"/>
                <w:szCs w:val="18"/>
              </w:rPr>
            </w:pPr>
          </w:p>
        </w:tc>
      </w:tr>
      <w:tr w14:paraId="34C7215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4311A5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44035C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0BFB8B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0872A404">
            <w:pPr>
              <w:widowControl/>
              <w:spacing w:line="240" w:lineRule="auto"/>
              <w:jc w:val="right"/>
              <w:rPr>
                <w:rFonts w:ascii="宋体" w:hAnsi="宋体" w:eastAsia="宋体" w:cs="宋体"/>
                <w:kern w:val="0"/>
                <w:sz w:val="18"/>
                <w:szCs w:val="18"/>
              </w:rPr>
            </w:pPr>
          </w:p>
        </w:tc>
      </w:tr>
      <w:tr w14:paraId="7B0A361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9C2621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6F29FE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AF2648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092467C0">
            <w:pPr>
              <w:widowControl/>
              <w:spacing w:line="240" w:lineRule="auto"/>
              <w:jc w:val="right"/>
              <w:rPr>
                <w:rFonts w:ascii="宋体" w:hAnsi="宋体" w:eastAsia="宋体" w:cs="宋体"/>
                <w:kern w:val="0"/>
                <w:sz w:val="18"/>
                <w:szCs w:val="18"/>
              </w:rPr>
            </w:pPr>
          </w:p>
        </w:tc>
      </w:tr>
      <w:tr w14:paraId="30F3CF6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950414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D8FCB1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3F134A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0382780D">
            <w:pPr>
              <w:widowControl/>
              <w:spacing w:line="240" w:lineRule="auto"/>
              <w:jc w:val="right"/>
              <w:rPr>
                <w:rFonts w:ascii="宋体" w:hAnsi="宋体" w:eastAsia="宋体" w:cs="宋体"/>
                <w:kern w:val="0"/>
                <w:sz w:val="18"/>
                <w:szCs w:val="18"/>
              </w:rPr>
            </w:pPr>
          </w:p>
        </w:tc>
      </w:tr>
      <w:tr w14:paraId="7D5AE98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22B52C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9F3070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9344AE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67810BB3">
            <w:pPr>
              <w:widowControl/>
              <w:spacing w:line="240" w:lineRule="auto"/>
              <w:jc w:val="right"/>
              <w:rPr>
                <w:rFonts w:ascii="宋体" w:hAnsi="宋体" w:eastAsia="宋体" w:cs="宋体"/>
                <w:kern w:val="0"/>
                <w:sz w:val="18"/>
                <w:szCs w:val="18"/>
              </w:rPr>
            </w:pPr>
          </w:p>
        </w:tc>
      </w:tr>
      <w:tr w14:paraId="3146A05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0D9C00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E7BD89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559963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7CCC6C1A">
            <w:pPr>
              <w:widowControl/>
              <w:spacing w:line="240" w:lineRule="auto"/>
              <w:jc w:val="right"/>
              <w:rPr>
                <w:rFonts w:ascii="宋体" w:hAnsi="宋体" w:eastAsia="宋体" w:cs="宋体"/>
                <w:kern w:val="0"/>
                <w:sz w:val="18"/>
                <w:szCs w:val="18"/>
              </w:rPr>
            </w:pPr>
          </w:p>
        </w:tc>
      </w:tr>
      <w:tr w14:paraId="006BC26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F9B46F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816065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9E4450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73FC9B9D">
            <w:pPr>
              <w:widowControl/>
              <w:spacing w:line="240" w:lineRule="auto"/>
              <w:jc w:val="right"/>
              <w:rPr>
                <w:rFonts w:ascii="宋体" w:hAnsi="宋体" w:eastAsia="宋体" w:cs="宋体"/>
                <w:kern w:val="0"/>
                <w:sz w:val="18"/>
                <w:szCs w:val="18"/>
              </w:rPr>
            </w:pPr>
          </w:p>
        </w:tc>
      </w:tr>
      <w:tr w14:paraId="6E67AAA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41FEF2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B049D1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E835A4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3E442CC3">
            <w:pPr>
              <w:widowControl/>
              <w:spacing w:line="240" w:lineRule="auto"/>
              <w:jc w:val="right"/>
              <w:rPr>
                <w:rFonts w:ascii="宋体" w:hAnsi="宋体" w:eastAsia="宋体" w:cs="宋体"/>
                <w:kern w:val="0"/>
                <w:sz w:val="18"/>
                <w:szCs w:val="18"/>
              </w:rPr>
            </w:pPr>
          </w:p>
        </w:tc>
      </w:tr>
      <w:tr w14:paraId="0C3B634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A5E7BF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45226E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27E212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26E5494C">
            <w:pPr>
              <w:widowControl/>
              <w:spacing w:line="240" w:lineRule="auto"/>
              <w:jc w:val="right"/>
              <w:rPr>
                <w:rFonts w:ascii="宋体" w:hAnsi="宋体" w:eastAsia="宋体" w:cs="宋体"/>
                <w:kern w:val="0"/>
                <w:sz w:val="18"/>
                <w:szCs w:val="18"/>
              </w:rPr>
            </w:pPr>
          </w:p>
        </w:tc>
      </w:tr>
      <w:tr w14:paraId="1B08494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37B74E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C7E733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1CCC70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2EA199D3">
            <w:pPr>
              <w:widowControl/>
              <w:spacing w:line="240" w:lineRule="auto"/>
              <w:jc w:val="right"/>
              <w:rPr>
                <w:rFonts w:ascii="宋体" w:hAnsi="宋体" w:eastAsia="宋体" w:cs="宋体"/>
                <w:kern w:val="0"/>
                <w:sz w:val="18"/>
                <w:szCs w:val="18"/>
              </w:rPr>
            </w:pPr>
          </w:p>
        </w:tc>
      </w:tr>
      <w:tr w14:paraId="7FBEED3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7A0FD6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ADBEFF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770481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671744B4">
            <w:pPr>
              <w:widowControl/>
              <w:spacing w:line="240" w:lineRule="auto"/>
              <w:jc w:val="right"/>
              <w:rPr>
                <w:rFonts w:ascii="宋体" w:hAnsi="宋体" w:eastAsia="宋体" w:cs="宋体"/>
                <w:kern w:val="0"/>
                <w:sz w:val="18"/>
                <w:szCs w:val="18"/>
              </w:rPr>
            </w:pPr>
          </w:p>
        </w:tc>
      </w:tr>
      <w:tr w14:paraId="1DCEEB4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CF8299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582D31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9508E6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5D50F9F6">
            <w:pPr>
              <w:widowControl/>
              <w:spacing w:line="240" w:lineRule="auto"/>
              <w:jc w:val="right"/>
              <w:rPr>
                <w:rFonts w:ascii="宋体" w:hAnsi="宋体" w:eastAsia="宋体" w:cs="宋体"/>
                <w:kern w:val="0"/>
                <w:sz w:val="18"/>
                <w:szCs w:val="18"/>
              </w:rPr>
            </w:pPr>
          </w:p>
        </w:tc>
      </w:tr>
      <w:tr w14:paraId="1961D6E2">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04D0F3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847E39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BF0665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62FF5B5A">
            <w:pPr>
              <w:widowControl/>
              <w:spacing w:line="240" w:lineRule="auto"/>
              <w:jc w:val="right"/>
              <w:rPr>
                <w:rFonts w:ascii="宋体" w:hAnsi="宋体" w:eastAsia="宋体" w:cs="宋体"/>
                <w:kern w:val="0"/>
                <w:sz w:val="18"/>
                <w:szCs w:val="18"/>
              </w:rPr>
            </w:pPr>
          </w:p>
        </w:tc>
      </w:tr>
      <w:tr w14:paraId="1289AC6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8DF55C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0ACD4E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4C5B8E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2DD19CC6">
            <w:pPr>
              <w:widowControl/>
              <w:spacing w:line="240" w:lineRule="auto"/>
              <w:jc w:val="right"/>
              <w:rPr>
                <w:rFonts w:ascii="宋体" w:hAnsi="宋体" w:eastAsia="宋体" w:cs="宋体"/>
                <w:kern w:val="0"/>
                <w:sz w:val="18"/>
                <w:szCs w:val="18"/>
              </w:rPr>
            </w:pPr>
          </w:p>
        </w:tc>
      </w:tr>
      <w:tr w14:paraId="30C9F83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207E0F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E09B8E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E4D5C9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57B97C9B">
            <w:pPr>
              <w:widowControl/>
              <w:spacing w:line="240" w:lineRule="auto"/>
              <w:jc w:val="right"/>
              <w:rPr>
                <w:rFonts w:ascii="宋体" w:hAnsi="宋体" w:eastAsia="宋体" w:cs="宋体"/>
                <w:kern w:val="0"/>
                <w:sz w:val="18"/>
                <w:szCs w:val="18"/>
              </w:rPr>
            </w:pPr>
          </w:p>
        </w:tc>
      </w:tr>
      <w:tr w14:paraId="498AE5C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9EF258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BF9727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B565BD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262C2327">
            <w:pPr>
              <w:widowControl/>
              <w:spacing w:line="240" w:lineRule="auto"/>
              <w:jc w:val="right"/>
              <w:rPr>
                <w:rFonts w:ascii="宋体" w:hAnsi="宋体" w:eastAsia="宋体" w:cs="宋体"/>
                <w:kern w:val="0"/>
                <w:sz w:val="18"/>
                <w:szCs w:val="18"/>
              </w:rPr>
            </w:pPr>
          </w:p>
        </w:tc>
      </w:tr>
      <w:tr w14:paraId="6CEBD56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F50299F">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367555F6">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811.65　</w:t>
            </w:r>
          </w:p>
        </w:tc>
        <w:tc>
          <w:tcPr>
            <w:tcW w:w="3260" w:type="dxa"/>
            <w:tcBorders>
              <w:top w:val="nil"/>
              <w:left w:val="nil"/>
              <w:bottom w:val="single" w:color="auto" w:sz="4" w:space="0"/>
              <w:right w:val="single" w:color="auto" w:sz="4" w:space="0"/>
            </w:tcBorders>
            <w:shd w:val="clear" w:color="auto" w:fill="auto"/>
            <w:noWrap/>
            <w:vAlign w:val="center"/>
          </w:tcPr>
          <w:p w14:paraId="7175C4FC">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7F99F835">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811.65　</w:t>
            </w:r>
          </w:p>
        </w:tc>
      </w:tr>
    </w:tbl>
    <w:p w14:paraId="76D27A36">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二、收入预算总表</w:t>
      </w:r>
    </w:p>
    <w:tbl>
      <w:tblPr>
        <w:tblStyle w:val="6"/>
        <w:tblW w:w="13907" w:type="dxa"/>
        <w:tblInd w:w="93" w:type="dxa"/>
        <w:tblLayout w:type="autofit"/>
        <w:tblCellMar>
          <w:top w:w="0" w:type="dxa"/>
          <w:left w:w="108" w:type="dxa"/>
          <w:bottom w:w="0" w:type="dxa"/>
          <w:right w:w="108" w:type="dxa"/>
        </w:tblCellMar>
      </w:tblPr>
      <w:tblGrid>
        <w:gridCol w:w="1149"/>
        <w:gridCol w:w="91"/>
        <w:gridCol w:w="1160"/>
        <w:gridCol w:w="1017"/>
        <w:gridCol w:w="1134"/>
        <w:gridCol w:w="1134"/>
        <w:gridCol w:w="1134"/>
        <w:gridCol w:w="1134"/>
        <w:gridCol w:w="993"/>
        <w:gridCol w:w="992"/>
        <w:gridCol w:w="992"/>
        <w:gridCol w:w="992"/>
        <w:gridCol w:w="993"/>
        <w:gridCol w:w="992"/>
      </w:tblGrid>
      <w:tr w14:paraId="4F3248E5">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5401DCA1">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年度收入预算总表</w:t>
            </w:r>
          </w:p>
        </w:tc>
      </w:tr>
      <w:tr w14:paraId="41D35C07">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1A40E8F4">
            <w:pPr>
              <w:widowControl/>
              <w:spacing w:line="240" w:lineRule="auto"/>
              <w:jc w:val="left"/>
              <w:rPr>
                <w:rFonts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7A503756">
            <w:pPr>
              <w:widowControl/>
              <w:spacing w:line="240" w:lineRule="auto"/>
              <w:jc w:val="left"/>
              <w:rPr>
                <w:rFonts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2656F5B3">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7451170F">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74259589">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1FB3D694">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54A28568">
            <w:pPr>
              <w:widowControl/>
              <w:spacing w:line="240" w:lineRule="auto"/>
              <w:jc w:val="center"/>
              <w:rPr>
                <w:rFonts w:ascii="宋体" w:hAnsi="宋体" w:eastAsia="宋体" w:cs="宋体"/>
                <w:kern w:val="0"/>
                <w:sz w:val="24"/>
                <w:szCs w:val="24"/>
              </w:rPr>
            </w:pPr>
          </w:p>
        </w:tc>
        <w:tc>
          <w:tcPr>
            <w:tcW w:w="993" w:type="dxa"/>
            <w:tcBorders>
              <w:top w:val="nil"/>
              <w:left w:val="nil"/>
              <w:bottom w:val="single" w:color="auto" w:sz="4" w:space="0"/>
              <w:right w:val="nil"/>
            </w:tcBorders>
          </w:tcPr>
          <w:p w14:paraId="0445EE62">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43FD3A32">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2A5AB9CB">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6F8771AF">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54C68416">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72C0E6A6">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1720A16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20DA9D1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3A3FAD8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1125ECA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0DEB1D7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5142529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7BCA0B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70BC26B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28EEC0B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1EEA3DD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157544B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5CC5B2A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180C770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352B38F4">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4AD18A91">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310E1599">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811.65</w:t>
            </w:r>
          </w:p>
        </w:tc>
        <w:tc>
          <w:tcPr>
            <w:tcW w:w="1134" w:type="dxa"/>
            <w:tcBorders>
              <w:top w:val="nil"/>
              <w:left w:val="nil"/>
              <w:bottom w:val="single" w:color="auto" w:sz="4" w:space="0"/>
              <w:right w:val="single" w:color="auto" w:sz="4" w:space="0"/>
            </w:tcBorders>
            <w:shd w:val="clear" w:color="auto" w:fill="auto"/>
            <w:noWrap/>
            <w:vAlign w:val="center"/>
          </w:tcPr>
          <w:p w14:paraId="2F586136">
            <w:pPr>
              <w:widowControl/>
              <w:spacing w:line="240" w:lineRule="auto"/>
              <w:jc w:val="right"/>
              <w:rPr>
                <w:rFonts w:ascii="宋体" w:hAnsi="宋体" w:eastAsia="宋体" w:cs="宋体"/>
                <w:kern w:val="0"/>
                <w:sz w:val="22"/>
              </w:rPr>
            </w:pPr>
            <w:r>
              <w:rPr>
                <w:rFonts w:hint="eastAsia" w:ascii="宋体" w:hAnsi="宋体" w:eastAsia="宋体" w:cs="宋体"/>
                <w:kern w:val="0"/>
                <w:sz w:val="22"/>
              </w:rPr>
              <w:t>811.65</w:t>
            </w:r>
          </w:p>
        </w:tc>
        <w:tc>
          <w:tcPr>
            <w:tcW w:w="1134" w:type="dxa"/>
            <w:tcBorders>
              <w:top w:val="nil"/>
              <w:left w:val="nil"/>
              <w:bottom w:val="single" w:color="auto" w:sz="4" w:space="0"/>
              <w:right w:val="single" w:color="auto" w:sz="4" w:space="0"/>
            </w:tcBorders>
            <w:shd w:val="clear" w:color="auto" w:fill="auto"/>
            <w:vAlign w:val="center"/>
          </w:tcPr>
          <w:p w14:paraId="3373E2BE">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5493FE03">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06610EF">
            <w:pPr>
              <w:widowControl/>
              <w:spacing w:line="240" w:lineRule="auto"/>
              <w:jc w:val="right"/>
              <w:rPr>
                <w:rFonts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1B14DC11">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158C801">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F18D5D4">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8934798">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888F71">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643C1637">
            <w:pPr>
              <w:widowControl/>
              <w:spacing w:line="240" w:lineRule="auto"/>
              <w:jc w:val="right"/>
              <w:rPr>
                <w:rFonts w:ascii="宋体" w:hAnsi="宋体" w:eastAsia="宋体" w:cs="宋体"/>
                <w:color w:val="000000"/>
                <w:kern w:val="0"/>
                <w:sz w:val="22"/>
              </w:rPr>
            </w:pPr>
          </w:p>
        </w:tc>
      </w:tr>
      <w:tr w14:paraId="63098B3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1BBBFB48">
            <w:pPr>
              <w:widowControl/>
              <w:spacing w:line="240" w:lineRule="auto"/>
              <w:jc w:val="center"/>
              <w:rPr>
                <w:rFonts w:ascii="宋体" w:hAnsi="宋体" w:eastAsia="宋体" w:cs="宋体"/>
                <w:kern w:val="0"/>
                <w:sz w:val="22"/>
              </w:rPr>
            </w:pPr>
            <w:r>
              <w:rPr>
                <w:rFonts w:hint="eastAsia" w:ascii="宋体" w:hAnsi="宋体" w:eastAsia="宋体" w:cs="宋体"/>
                <w:kern w:val="0"/>
                <w:sz w:val="22"/>
              </w:rPr>
              <w:t>205</w:t>
            </w:r>
          </w:p>
        </w:tc>
        <w:tc>
          <w:tcPr>
            <w:tcW w:w="1251" w:type="dxa"/>
            <w:gridSpan w:val="2"/>
            <w:tcBorders>
              <w:top w:val="nil"/>
              <w:left w:val="nil"/>
              <w:bottom w:val="single" w:color="auto" w:sz="4" w:space="0"/>
              <w:right w:val="single" w:color="auto" w:sz="4" w:space="0"/>
            </w:tcBorders>
            <w:shd w:val="clear" w:color="auto" w:fill="auto"/>
            <w:vAlign w:val="center"/>
          </w:tcPr>
          <w:p w14:paraId="5705E69C">
            <w:pPr>
              <w:widowControl/>
              <w:spacing w:line="240" w:lineRule="auto"/>
              <w:jc w:val="center"/>
              <w:rPr>
                <w:rFonts w:ascii="宋体" w:hAnsi="宋体" w:eastAsia="宋体" w:cs="宋体"/>
                <w:kern w:val="0"/>
                <w:sz w:val="22"/>
              </w:rPr>
            </w:pPr>
            <w:r>
              <w:rPr>
                <w:rFonts w:hint="eastAsia" w:ascii="宋体" w:hAnsi="宋体" w:eastAsia="宋体" w:cs="宋体"/>
                <w:kern w:val="0"/>
                <w:sz w:val="22"/>
              </w:rPr>
              <w:t>教育支出</w:t>
            </w:r>
          </w:p>
        </w:tc>
        <w:tc>
          <w:tcPr>
            <w:tcW w:w="1017" w:type="dxa"/>
            <w:tcBorders>
              <w:top w:val="nil"/>
              <w:left w:val="nil"/>
              <w:bottom w:val="single" w:color="auto" w:sz="4" w:space="0"/>
              <w:right w:val="single" w:color="auto" w:sz="4" w:space="0"/>
            </w:tcBorders>
            <w:shd w:val="clear" w:color="auto" w:fill="auto"/>
            <w:vAlign w:val="center"/>
          </w:tcPr>
          <w:p w14:paraId="1A046571">
            <w:pPr>
              <w:widowControl/>
              <w:spacing w:line="240" w:lineRule="auto"/>
              <w:jc w:val="right"/>
              <w:rPr>
                <w:rFonts w:ascii="宋体" w:hAnsi="宋体" w:eastAsia="宋体" w:cs="宋体"/>
                <w:kern w:val="0"/>
                <w:sz w:val="22"/>
              </w:rPr>
            </w:pPr>
            <w:r>
              <w:rPr>
                <w:rFonts w:hint="eastAsia" w:ascii="宋体" w:hAnsi="宋体" w:eastAsia="宋体" w:cs="宋体"/>
                <w:kern w:val="0"/>
                <w:sz w:val="22"/>
              </w:rPr>
              <w:t>811.65　</w:t>
            </w:r>
          </w:p>
        </w:tc>
        <w:tc>
          <w:tcPr>
            <w:tcW w:w="1134" w:type="dxa"/>
            <w:tcBorders>
              <w:top w:val="nil"/>
              <w:left w:val="nil"/>
              <w:bottom w:val="single" w:color="auto" w:sz="4" w:space="0"/>
              <w:right w:val="single" w:color="auto" w:sz="4" w:space="0"/>
            </w:tcBorders>
            <w:shd w:val="clear" w:color="auto" w:fill="auto"/>
            <w:vAlign w:val="center"/>
          </w:tcPr>
          <w:p w14:paraId="008747E6">
            <w:pPr>
              <w:widowControl/>
              <w:spacing w:line="240" w:lineRule="auto"/>
              <w:jc w:val="right"/>
              <w:rPr>
                <w:rFonts w:ascii="宋体" w:hAnsi="宋体" w:eastAsia="宋体" w:cs="宋体"/>
                <w:kern w:val="0"/>
                <w:sz w:val="22"/>
              </w:rPr>
            </w:pPr>
            <w:r>
              <w:rPr>
                <w:rFonts w:hint="eastAsia" w:ascii="宋体" w:hAnsi="宋体" w:eastAsia="宋体" w:cs="宋体"/>
                <w:kern w:val="0"/>
                <w:sz w:val="22"/>
              </w:rPr>
              <w:t>811.65　</w:t>
            </w:r>
          </w:p>
        </w:tc>
        <w:tc>
          <w:tcPr>
            <w:tcW w:w="1134" w:type="dxa"/>
            <w:tcBorders>
              <w:top w:val="nil"/>
              <w:left w:val="nil"/>
              <w:bottom w:val="single" w:color="auto" w:sz="4" w:space="0"/>
              <w:right w:val="single" w:color="auto" w:sz="4" w:space="0"/>
            </w:tcBorders>
            <w:shd w:val="clear" w:color="auto" w:fill="auto"/>
            <w:vAlign w:val="center"/>
          </w:tcPr>
          <w:p w14:paraId="138C865E">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7926BE1B">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4DB8FE9">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1A170EB3">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6B13E60">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E2D1F05">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5CC651A">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4C40EB4F">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333B0449">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25F3485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5463BB50">
            <w:pPr>
              <w:widowControl/>
              <w:spacing w:line="240" w:lineRule="auto"/>
              <w:jc w:val="center"/>
              <w:rPr>
                <w:rFonts w:ascii="宋体" w:hAnsi="宋体" w:eastAsia="宋体" w:cs="宋体"/>
                <w:kern w:val="0"/>
                <w:sz w:val="22"/>
              </w:rPr>
            </w:pPr>
            <w:r>
              <w:rPr>
                <w:rFonts w:hint="eastAsia" w:ascii="宋体" w:hAnsi="宋体" w:eastAsia="宋体" w:cs="宋体"/>
                <w:kern w:val="0"/>
                <w:sz w:val="22"/>
              </w:rPr>
              <w:t>20502</w:t>
            </w:r>
          </w:p>
        </w:tc>
        <w:tc>
          <w:tcPr>
            <w:tcW w:w="1251" w:type="dxa"/>
            <w:gridSpan w:val="2"/>
            <w:tcBorders>
              <w:top w:val="nil"/>
              <w:left w:val="nil"/>
              <w:bottom w:val="single" w:color="auto" w:sz="4" w:space="0"/>
              <w:right w:val="single" w:color="auto" w:sz="4" w:space="0"/>
            </w:tcBorders>
            <w:shd w:val="clear" w:color="auto" w:fill="auto"/>
            <w:vAlign w:val="center"/>
          </w:tcPr>
          <w:p w14:paraId="134D91E2">
            <w:pPr>
              <w:widowControl/>
              <w:spacing w:line="240" w:lineRule="auto"/>
              <w:jc w:val="center"/>
              <w:rPr>
                <w:rFonts w:ascii="宋体" w:hAnsi="宋体" w:eastAsia="宋体" w:cs="宋体"/>
                <w:kern w:val="0"/>
                <w:sz w:val="22"/>
              </w:rPr>
            </w:pPr>
            <w:r>
              <w:rPr>
                <w:rFonts w:hint="eastAsia" w:ascii="宋体" w:hAnsi="宋体" w:eastAsia="宋体" w:cs="宋体"/>
                <w:kern w:val="0"/>
                <w:sz w:val="22"/>
              </w:rPr>
              <w:t>普通教育</w:t>
            </w:r>
          </w:p>
        </w:tc>
        <w:tc>
          <w:tcPr>
            <w:tcW w:w="1017" w:type="dxa"/>
            <w:tcBorders>
              <w:top w:val="nil"/>
              <w:left w:val="nil"/>
              <w:bottom w:val="single" w:color="auto" w:sz="4" w:space="0"/>
              <w:right w:val="single" w:color="auto" w:sz="4" w:space="0"/>
            </w:tcBorders>
            <w:shd w:val="clear" w:color="auto" w:fill="auto"/>
            <w:vAlign w:val="center"/>
          </w:tcPr>
          <w:p w14:paraId="3C0E267F">
            <w:pPr>
              <w:widowControl/>
              <w:spacing w:line="240" w:lineRule="auto"/>
              <w:jc w:val="right"/>
              <w:rPr>
                <w:rFonts w:ascii="宋体" w:hAnsi="宋体" w:eastAsia="宋体" w:cs="宋体"/>
                <w:kern w:val="0"/>
                <w:sz w:val="22"/>
              </w:rPr>
            </w:pPr>
            <w:r>
              <w:rPr>
                <w:rFonts w:hint="eastAsia" w:ascii="宋体" w:hAnsi="宋体" w:eastAsia="宋体" w:cs="宋体"/>
                <w:kern w:val="0"/>
                <w:sz w:val="22"/>
              </w:rPr>
              <w:t>811.65　</w:t>
            </w:r>
          </w:p>
        </w:tc>
        <w:tc>
          <w:tcPr>
            <w:tcW w:w="1134" w:type="dxa"/>
            <w:tcBorders>
              <w:top w:val="nil"/>
              <w:left w:val="nil"/>
              <w:bottom w:val="single" w:color="auto" w:sz="4" w:space="0"/>
              <w:right w:val="single" w:color="auto" w:sz="4" w:space="0"/>
            </w:tcBorders>
            <w:shd w:val="clear" w:color="auto" w:fill="auto"/>
            <w:vAlign w:val="center"/>
          </w:tcPr>
          <w:p w14:paraId="15868C41">
            <w:pPr>
              <w:widowControl/>
              <w:spacing w:line="240" w:lineRule="auto"/>
              <w:jc w:val="right"/>
              <w:rPr>
                <w:rFonts w:ascii="宋体" w:hAnsi="宋体" w:eastAsia="宋体" w:cs="宋体"/>
                <w:kern w:val="0"/>
                <w:sz w:val="22"/>
              </w:rPr>
            </w:pPr>
            <w:r>
              <w:rPr>
                <w:rFonts w:hint="eastAsia" w:ascii="宋体" w:hAnsi="宋体" w:eastAsia="宋体" w:cs="宋体"/>
                <w:kern w:val="0"/>
                <w:sz w:val="22"/>
              </w:rPr>
              <w:t>811.65</w:t>
            </w:r>
          </w:p>
        </w:tc>
        <w:tc>
          <w:tcPr>
            <w:tcW w:w="1134" w:type="dxa"/>
            <w:tcBorders>
              <w:top w:val="nil"/>
              <w:left w:val="nil"/>
              <w:bottom w:val="single" w:color="auto" w:sz="4" w:space="0"/>
              <w:right w:val="single" w:color="auto" w:sz="4" w:space="0"/>
            </w:tcBorders>
            <w:shd w:val="clear" w:color="auto" w:fill="auto"/>
            <w:vAlign w:val="center"/>
          </w:tcPr>
          <w:p w14:paraId="4F0EACC7">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5D081653">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F766AD3">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311B6F14">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5132EBE">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140939A">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6B97B2C">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684DB177">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4581D94F">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1C490B5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2F2A16B5">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2050202</w:t>
            </w:r>
          </w:p>
        </w:tc>
        <w:tc>
          <w:tcPr>
            <w:tcW w:w="1251" w:type="dxa"/>
            <w:gridSpan w:val="2"/>
            <w:tcBorders>
              <w:top w:val="nil"/>
              <w:left w:val="nil"/>
              <w:bottom w:val="single" w:color="auto" w:sz="4" w:space="0"/>
              <w:right w:val="single" w:color="auto" w:sz="4" w:space="0"/>
            </w:tcBorders>
            <w:shd w:val="clear" w:color="auto" w:fill="auto"/>
            <w:noWrap/>
            <w:vAlign w:val="center"/>
          </w:tcPr>
          <w:p w14:paraId="2548EE4C">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小学教育</w:t>
            </w:r>
          </w:p>
        </w:tc>
        <w:tc>
          <w:tcPr>
            <w:tcW w:w="1017" w:type="dxa"/>
            <w:tcBorders>
              <w:top w:val="nil"/>
              <w:left w:val="nil"/>
              <w:bottom w:val="single" w:color="auto" w:sz="4" w:space="0"/>
              <w:right w:val="single" w:color="auto" w:sz="4" w:space="0"/>
            </w:tcBorders>
            <w:shd w:val="clear" w:color="auto" w:fill="auto"/>
            <w:noWrap/>
            <w:vAlign w:val="center"/>
          </w:tcPr>
          <w:p w14:paraId="12250ED6">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rPr>
              <w:t>811.65</w:t>
            </w: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center"/>
          </w:tcPr>
          <w:p w14:paraId="43C3BAD7">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rPr>
              <w:t>811.65</w:t>
            </w: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center"/>
          </w:tcPr>
          <w:p w14:paraId="3834D7B8">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single" w:color="auto" w:sz="4" w:space="0"/>
              <w:left w:val="nil"/>
              <w:bottom w:val="single" w:color="auto" w:sz="4" w:space="0"/>
              <w:right w:val="single" w:color="auto" w:sz="4" w:space="0"/>
            </w:tcBorders>
            <w:vAlign w:val="center"/>
          </w:tcPr>
          <w:p w14:paraId="74D31E6B">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E87226">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3" w:type="dxa"/>
            <w:tcBorders>
              <w:top w:val="single" w:color="auto" w:sz="4" w:space="0"/>
              <w:left w:val="single" w:color="auto" w:sz="4" w:space="0"/>
              <w:bottom w:val="single" w:color="auto" w:sz="4" w:space="0"/>
              <w:right w:val="single" w:color="auto" w:sz="4" w:space="0"/>
            </w:tcBorders>
            <w:vAlign w:val="center"/>
          </w:tcPr>
          <w:p w14:paraId="77D3925E">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36C81C7A">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7E3BBDD4">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32185EA6">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78CC48">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2" w:type="dxa"/>
            <w:tcBorders>
              <w:top w:val="nil"/>
              <w:left w:val="nil"/>
              <w:bottom w:val="single" w:color="auto" w:sz="4" w:space="0"/>
              <w:right w:val="single" w:color="auto" w:sz="4" w:space="0"/>
            </w:tcBorders>
            <w:shd w:val="clear" w:color="auto" w:fill="auto"/>
            <w:noWrap/>
            <w:vAlign w:val="center"/>
          </w:tcPr>
          <w:p w14:paraId="3E2F3741">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r>
    </w:tbl>
    <w:p w14:paraId="4455804F">
      <w:pPr>
        <w:tabs>
          <w:tab w:val="left" w:pos="7513"/>
        </w:tabs>
        <w:adjustRightInd w:val="0"/>
        <w:snapToGrid w:val="0"/>
        <w:spacing w:line="600" w:lineRule="exact"/>
        <w:rPr>
          <w:rFonts w:cs="Times New Roman" w:asciiTheme="majorEastAsia" w:hAnsiTheme="majorEastAsia" w:eastAsiaTheme="majorEastAsia"/>
          <w:kern w:val="0"/>
          <w:sz w:val="36"/>
          <w:szCs w:val="20"/>
        </w:rPr>
      </w:pPr>
    </w:p>
    <w:p w14:paraId="2CC14C1E">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4FDDE040">
      <w:pPr>
        <w:rPr>
          <w:rFonts w:cs="Times New Roman" w:asciiTheme="majorEastAsia" w:hAnsiTheme="majorEastAsia" w:eastAsiaTheme="majorEastAsia"/>
          <w:sz w:val="36"/>
          <w:szCs w:val="20"/>
        </w:rPr>
      </w:pPr>
    </w:p>
    <w:p w14:paraId="7478CDED">
      <w:pPr>
        <w:rPr>
          <w:rFonts w:cs="Times New Roman" w:asciiTheme="majorEastAsia" w:hAnsiTheme="majorEastAsia" w:eastAsiaTheme="majorEastAsia"/>
          <w:sz w:val="36"/>
          <w:szCs w:val="20"/>
        </w:rPr>
        <w:sectPr>
          <w:pgSz w:w="16838" w:h="11906" w:orient="landscape"/>
          <w:pgMar w:top="1800" w:right="1440" w:bottom="1800" w:left="1440" w:header="851" w:footer="992" w:gutter="0"/>
          <w:cols w:space="425" w:num="1"/>
          <w:docGrid w:type="lines" w:linePitch="312" w:charSpace="0"/>
        </w:sectPr>
      </w:pPr>
    </w:p>
    <w:p w14:paraId="20943178">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三、支出预算总表</w:t>
      </w:r>
    </w:p>
    <w:tbl>
      <w:tblPr>
        <w:tblStyle w:val="6"/>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2CCAF65A">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1DE339E4">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年度支出预算总表</w:t>
            </w:r>
          </w:p>
          <w:p w14:paraId="28D6711F">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 xml:space="preserve">单位：万元 </w:t>
            </w:r>
          </w:p>
        </w:tc>
      </w:tr>
      <w:tr w14:paraId="1F5D60A6">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51969DB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77BA784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11D2679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71BAB22E">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E18DF29">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4771338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5F9DB5D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40532D9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356A2099">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0BC65A6">
            <w:pPr>
              <w:widowControl/>
              <w:spacing w:line="240" w:lineRule="auto"/>
              <w:jc w:val="center"/>
              <w:rPr>
                <w:rFonts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43E6679A">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300818E7">
            <w:pPr>
              <w:widowControl/>
              <w:spacing w:line="240" w:lineRule="auto"/>
              <w:jc w:val="right"/>
              <w:rPr>
                <w:rFonts w:ascii="宋体" w:hAnsi="宋体" w:eastAsia="宋体" w:cs="宋体"/>
                <w:color w:val="000000"/>
                <w:kern w:val="0"/>
                <w:sz w:val="22"/>
              </w:rPr>
            </w:pP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01E04D4D">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0CBD4975">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950EFCA">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74775CD">
            <w:pPr>
              <w:widowControl/>
              <w:spacing w:line="240" w:lineRule="auto"/>
              <w:jc w:val="right"/>
              <w:rPr>
                <w:rFonts w:ascii="宋体" w:hAnsi="宋体" w:eastAsia="宋体" w:cs="宋体"/>
                <w:color w:val="000000"/>
                <w:kern w:val="0"/>
                <w:sz w:val="22"/>
              </w:rPr>
            </w:pPr>
          </w:p>
        </w:tc>
      </w:tr>
      <w:tr w14:paraId="7781FA26">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77C0300A">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205</w:t>
            </w:r>
          </w:p>
        </w:tc>
        <w:tc>
          <w:tcPr>
            <w:tcW w:w="3118" w:type="dxa"/>
            <w:tcBorders>
              <w:top w:val="single" w:color="auto" w:sz="4" w:space="0"/>
              <w:left w:val="nil"/>
              <w:bottom w:val="single" w:color="auto" w:sz="4" w:space="0"/>
              <w:right w:val="single" w:color="auto" w:sz="4" w:space="0"/>
            </w:tcBorders>
            <w:shd w:val="clear" w:color="auto" w:fill="auto"/>
            <w:vAlign w:val="center"/>
          </w:tcPr>
          <w:p w14:paraId="6D5D8591">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教育支出</w:t>
            </w:r>
          </w:p>
        </w:tc>
        <w:tc>
          <w:tcPr>
            <w:tcW w:w="1559" w:type="dxa"/>
            <w:tcBorders>
              <w:top w:val="single" w:color="auto" w:sz="4" w:space="0"/>
              <w:left w:val="nil"/>
              <w:bottom w:val="single" w:color="auto" w:sz="4" w:space="0"/>
              <w:right w:val="single" w:color="auto" w:sz="4" w:space="0"/>
            </w:tcBorders>
            <w:shd w:val="clear" w:color="auto" w:fill="auto"/>
            <w:vAlign w:val="center"/>
          </w:tcPr>
          <w:p w14:paraId="4A9E9165">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811.65　</w:t>
            </w:r>
          </w:p>
        </w:tc>
        <w:tc>
          <w:tcPr>
            <w:tcW w:w="1559" w:type="dxa"/>
            <w:tcBorders>
              <w:top w:val="single" w:color="auto" w:sz="4" w:space="0"/>
              <w:left w:val="nil"/>
              <w:bottom w:val="single" w:color="auto" w:sz="4" w:space="0"/>
              <w:right w:val="single" w:color="auto" w:sz="4" w:space="0"/>
            </w:tcBorders>
            <w:shd w:val="clear" w:color="auto" w:fill="auto"/>
            <w:vAlign w:val="center"/>
          </w:tcPr>
          <w:p w14:paraId="7409F3EA">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811.65　</w:t>
            </w:r>
          </w:p>
        </w:tc>
        <w:tc>
          <w:tcPr>
            <w:tcW w:w="1560" w:type="dxa"/>
            <w:tcBorders>
              <w:top w:val="single" w:color="auto" w:sz="4" w:space="0"/>
              <w:left w:val="nil"/>
              <w:bottom w:val="single" w:color="auto" w:sz="4" w:space="0"/>
              <w:right w:val="single" w:color="auto" w:sz="4" w:space="0"/>
            </w:tcBorders>
            <w:shd w:val="clear" w:color="auto" w:fill="auto"/>
            <w:vAlign w:val="center"/>
          </w:tcPr>
          <w:p w14:paraId="50C8615A">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4E295F0E">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8433F14">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1AF21C8">
            <w:pPr>
              <w:widowControl/>
              <w:spacing w:line="240" w:lineRule="auto"/>
              <w:jc w:val="right"/>
              <w:rPr>
                <w:rFonts w:ascii="宋体" w:hAnsi="宋体" w:eastAsia="宋体" w:cs="宋体"/>
                <w:color w:val="000000"/>
                <w:kern w:val="0"/>
                <w:sz w:val="22"/>
              </w:rPr>
            </w:pPr>
          </w:p>
        </w:tc>
      </w:tr>
      <w:tr w14:paraId="00931063">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0F6D55F3">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20502</w:t>
            </w:r>
          </w:p>
        </w:tc>
        <w:tc>
          <w:tcPr>
            <w:tcW w:w="3118" w:type="dxa"/>
            <w:tcBorders>
              <w:top w:val="single" w:color="auto" w:sz="4" w:space="0"/>
              <w:left w:val="nil"/>
              <w:bottom w:val="single" w:color="auto" w:sz="4" w:space="0"/>
              <w:right w:val="single" w:color="auto" w:sz="4" w:space="0"/>
            </w:tcBorders>
            <w:shd w:val="clear" w:color="auto" w:fill="auto"/>
            <w:vAlign w:val="center"/>
          </w:tcPr>
          <w:p w14:paraId="237F19F8">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普通教育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4F307EB4">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811.65　</w:t>
            </w:r>
          </w:p>
        </w:tc>
        <w:tc>
          <w:tcPr>
            <w:tcW w:w="1559" w:type="dxa"/>
            <w:tcBorders>
              <w:top w:val="single" w:color="auto" w:sz="4" w:space="0"/>
              <w:left w:val="nil"/>
              <w:bottom w:val="single" w:color="auto" w:sz="4" w:space="0"/>
              <w:right w:val="single" w:color="auto" w:sz="4" w:space="0"/>
            </w:tcBorders>
            <w:shd w:val="clear" w:color="auto" w:fill="auto"/>
            <w:vAlign w:val="center"/>
          </w:tcPr>
          <w:p w14:paraId="51ACE10D">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811.65　</w:t>
            </w:r>
          </w:p>
        </w:tc>
        <w:tc>
          <w:tcPr>
            <w:tcW w:w="1560" w:type="dxa"/>
            <w:tcBorders>
              <w:top w:val="single" w:color="auto" w:sz="4" w:space="0"/>
              <w:left w:val="nil"/>
              <w:bottom w:val="single" w:color="auto" w:sz="4" w:space="0"/>
              <w:right w:val="single" w:color="auto" w:sz="4" w:space="0"/>
            </w:tcBorders>
            <w:shd w:val="clear" w:color="auto" w:fill="auto"/>
            <w:vAlign w:val="center"/>
          </w:tcPr>
          <w:p w14:paraId="2B709202">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2EC420D2">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39F8A316">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00AF2E9">
            <w:pPr>
              <w:widowControl/>
              <w:spacing w:line="240" w:lineRule="auto"/>
              <w:jc w:val="right"/>
              <w:rPr>
                <w:rFonts w:ascii="宋体" w:hAnsi="宋体" w:eastAsia="宋体" w:cs="宋体"/>
                <w:color w:val="000000"/>
                <w:kern w:val="0"/>
                <w:sz w:val="22"/>
              </w:rPr>
            </w:pPr>
          </w:p>
        </w:tc>
      </w:tr>
      <w:tr w14:paraId="7443E644">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41E2BA">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2050202</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632D5F8C">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小学教育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6185386A">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811.65　</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6080658C">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811.65　</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7F31EC94">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6EFA2249">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6A31B80">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5E8A730">
            <w:pPr>
              <w:widowControl/>
              <w:spacing w:line="240" w:lineRule="auto"/>
              <w:jc w:val="right"/>
              <w:rPr>
                <w:rFonts w:ascii="宋体" w:hAnsi="宋体" w:eastAsia="宋体" w:cs="宋体"/>
                <w:color w:val="000000"/>
                <w:kern w:val="0"/>
                <w:sz w:val="22"/>
              </w:rPr>
            </w:pPr>
          </w:p>
        </w:tc>
      </w:tr>
    </w:tbl>
    <w:p w14:paraId="165F1CA9">
      <w:pPr>
        <w:tabs>
          <w:tab w:val="left" w:pos="7513"/>
        </w:tabs>
        <w:spacing w:line="300" w:lineRule="auto"/>
        <w:ind w:firstLine="424" w:firstLineChars="202"/>
        <w:jc w:val="left"/>
        <w:rPr>
          <w:rFonts w:ascii="楷体" w:hAnsi="楷体" w:eastAsia="楷体" w:cs="Times New Roman"/>
          <w:kern w:val="0"/>
          <w:szCs w:val="21"/>
        </w:rPr>
      </w:pPr>
      <w:r>
        <w:rPr>
          <w:rFonts w:hint="eastAsia" w:ascii="楷体" w:hAnsi="楷体" w:eastAsia="楷体" w:cs="Times New Roman"/>
          <w:kern w:val="0"/>
          <w:szCs w:val="21"/>
        </w:rPr>
        <w:t>。</w:t>
      </w:r>
    </w:p>
    <w:p w14:paraId="1A104C98">
      <w:pPr>
        <w:tabs>
          <w:tab w:val="left" w:pos="7513"/>
        </w:tabs>
        <w:spacing w:line="300" w:lineRule="auto"/>
        <w:ind w:firstLine="727" w:firstLineChars="202"/>
        <w:jc w:val="left"/>
        <w:rPr>
          <w:rFonts w:cs="Times New Roman" w:asciiTheme="majorEastAsia" w:hAnsiTheme="majorEastAsia" w:eastAsiaTheme="majorEastAsia"/>
          <w:kern w:val="0"/>
          <w:sz w:val="36"/>
          <w:szCs w:val="20"/>
        </w:rPr>
        <w:sectPr>
          <w:pgSz w:w="16838" w:h="11906" w:orient="landscape"/>
          <w:pgMar w:top="1800" w:right="1440" w:bottom="1800" w:left="1440" w:header="851" w:footer="992" w:gutter="0"/>
          <w:cols w:space="425" w:num="1"/>
          <w:docGrid w:type="lines" w:linePitch="312" w:charSpace="0"/>
        </w:sectPr>
      </w:pPr>
    </w:p>
    <w:p w14:paraId="7F2ABEB9">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四、财政拨款收支预算总表</w:t>
      </w:r>
    </w:p>
    <w:tbl>
      <w:tblPr>
        <w:tblStyle w:val="6"/>
        <w:tblW w:w="8648" w:type="dxa"/>
        <w:tblInd w:w="-34" w:type="dxa"/>
        <w:tblLayout w:type="autofit"/>
        <w:tblCellMar>
          <w:top w:w="0" w:type="dxa"/>
          <w:left w:w="108" w:type="dxa"/>
          <w:bottom w:w="0" w:type="dxa"/>
          <w:right w:w="108" w:type="dxa"/>
        </w:tblCellMar>
      </w:tblPr>
      <w:tblGrid>
        <w:gridCol w:w="2977"/>
        <w:gridCol w:w="1276"/>
        <w:gridCol w:w="3119"/>
        <w:gridCol w:w="1276"/>
      </w:tblGrid>
      <w:tr w14:paraId="44956E1D">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65EBF913">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年度财政拨款收支预算总表</w:t>
            </w:r>
          </w:p>
        </w:tc>
      </w:tr>
      <w:tr w14:paraId="5CD3931A">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47DD8DD0">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0AAE6B37">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C39C9D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282FA16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5A22D18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8EE9ED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5DF8E86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14:paraId="64BBEF0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63D18F1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06C6D31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1CCB7E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76C601B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811.65　</w:t>
            </w:r>
          </w:p>
        </w:tc>
        <w:tc>
          <w:tcPr>
            <w:tcW w:w="3119" w:type="dxa"/>
            <w:tcBorders>
              <w:top w:val="nil"/>
              <w:left w:val="nil"/>
              <w:bottom w:val="single" w:color="auto" w:sz="4" w:space="0"/>
              <w:right w:val="single" w:color="auto" w:sz="4" w:space="0"/>
            </w:tcBorders>
            <w:shd w:val="clear" w:color="auto" w:fill="auto"/>
            <w:noWrap/>
            <w:vAlign w:val="center"/>
          </w:tcPr>
          <w:p w14:paraId="653BBEA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2D548CC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556845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21C860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15FE0AE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5FA608E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68331DD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B64621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75AC99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2DFA854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97D96C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23AE9DC1">
            <w:pPr>
              <w:widowControl/>
              <w:spacing w:line="240" w:lineRule="auto"/>
              <w:jc w:val="right"/>
              <w:rPr>
                <w:rFonts w:ascii="宋体" w:hAnsi="宋体" w:eastAsia="宋体" w:cs="宋体"/>
                <w:kern w:val="0"/>
                <w:sz w:val="18"/>
                <w:szCs w:val="18"/>
              </w:rPr>
            </w:pPr>
          </w:p>
        </w:tc>
      </w:tr>
      <w:tr w14:paraId="64CD838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65051C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DE60A2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58B0772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6D836F0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E0CE0C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B550ED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C20AD7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5889C5F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56DE081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811.65　</w:t>
            </w:r>
          </w:p>
        </w:tc>
      </w:tr>
      <w:tr w14:paraId="33E4E07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329D11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D125CF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3489AC6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1B35787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EFFD5B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8D6543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0438D8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275E90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08B8E508">
            <w:pPr>
              <w:widowControl/>
              <w:spacing w:line="240" w:lineRule="auto"/>
              <w:jc w:val="right"/>
              <w:rPr>
                <w:rFonts w:ascii="宋体" w:hAnsi="宋体" w:eastAsia="宋体" w:cs="宋体"/>
                <w:kern w:val="0"/>
                <w:sz w:val="18"/>
                <w:szCs w:val="18"/>
              </w:rPr>
            </w:pPr>
          </w:p>
        </w:tc>
      </w:tr>
      <w:tr w14:paraId="1F61735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78ED38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CA6855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B557BE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748E2D31">
            <w:pPr>
              <w:widowControl/>
              <w:spacing w:line="240" w:lineRule="auto"/>
              <w:jc w:val="right"/>
              <w:rPr>
                <w:rFonts w:ascii="宋体" w:hAnsi="宋体" w:eastAsia="宋体" w:cs="宋体"/>
                <w:kern w:val="0"/>
                <w:sz w:val="18"/>
                <w:szCs w:val="18"/>
              </w:rPr>
            </w:pPr>
          </w:p>
        </w:tc>
      </w:tr>
      <w:tr w14:paraId="736EA9F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B0C369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67ABF7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E6D884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27FE4C5F">
            <w:pPr>
              <w:widowControl/>
              <w:spacing w:line="240" w:lineRule="auto"/>
              <w:jc w:val="right"/>
              <w:rPr>
                <w:rFonts w:ascii="宋体" w:hAnsi="宋体" w:eastAsia="宋体" w:cs="宋体"/>
                <w:kern w:val="0"/>
                <w:sz w:val="18"/>
                <w:szCs w:val="18"/>
              </w:rPr>
            </w:pPr>
          </w:p>
        </w:tc>
      </w:tr>
      <w:tr w14:paraId="1DEC06E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90856C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1090B2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5050D1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763AFBD2">
            <w:pPr>
              <w:widowControl/>
              <w:spacing w:line="240" w:lineRule="auto"/>
              <w:jc w:val="right"/>
              <w:rPr>
                <w:rFonts w:ascii="宋体" w:hAnsi="宋体" w:eastAsia="宋体" w:cs="宋体"/>
                <w:kern w:val="0"/>
                <w:sz w:val="18"/>
                <w:szCs w:val="18"/>
              </w:rPr>
            </w:pPr>
          </w:p>
        </w:tc>
      </w:tr>
      <w:tr w14:paraId="4066355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047CA7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97F02C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4DA576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5A8CBC15">
            <w:pPr>
              <w:widowControl/>
              <w:spacing w:line="240" w:lineRule="auto"/>
              <w:jc w:val="right"/>
              <w:rPr>
                <w:rFonts w:ascii="宋体" w:hAnsi="宋体" w:eastAsia="宋体" w:cs="宋体"/>
                <w:kern w:val="0"/>
                <w:sz w:val="18"/>
                <w:szCs w:val="18"/>
              </w:rPr>
            </w:pPr>
          </w:p>
        </w:tc>
      </w:tr>
      <w:tr w14:paraId="59AEAB5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5685CA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5F563F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89199F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6DAED34B">
            <w:pPr>
              <w:widowControl/>
              <w:spacing w:line="240" w:lineRule="auto"/>
              <w:jc w:val="right"/>
              <w:rPr>
                <w:rFonts w:ascii="宋体" w:hAnsi="宋体" w:eastAsia="宋体" w:cs="宋体"/>
                <w:kern w:val="0"/>
                <w:sz w:val="18"/>
                <w:szCs w:val="18"/>
              </w:rPr>
            </w:pPr>
          </w:p>
        </w:tc>
      </w:tr>
      <w:tr w14:paraId="04C6445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0EB94A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8D53BB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ABA727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33115F71">
            <w:pPr>
              <w:widowControl/>
              <w:spacing w:line="240" w:lineRule="auto"/>
              <w:jc w:val="right"/>
              <w:rPr>
                <w:rFonts w:ascii="宋体" w:hAnsi="宋体" w:eastAsia="宋体" w:cs="宋体"/>
                <w:kern w:val="0"/>
                <w:sz w:val="18"/>
                <w:szCs w:val="18"/>
              </w:rPr>
            </w:pPr>
          </w:p>
        </w:tc>
      </w:tr>
      <w:tr w14:paraId="1428672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102E8F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33500D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88C3AB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16A500A6">
            <w:pPr>
              <w:widowControl/>
              <w:spacing w:line="240" w:lineRule="auto"/>
              <w:jc w:val="right"/>
              <w:rPr>
                <w:rFonts w:ascii="宋体" w:hAnsi="宋体" w:eastAsia="宋体" w:cs="宋体"/>
                <w:kern w:val="0"/>
                <w:sz w:val="18"/>
                <w:szCs w:val="18"/>
              </w:rPr>
            </w:pPr>
          </w:p>
        </w:tc>
      </w:tr>
      <w:tr w14:paraId="25DAF1B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BA77DB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E7B5A7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CD6A0B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1EA89A58">
            <w:pPr>
              <w:widowControl/>
              <w:spacing w:line="240" w:lineRule="auto"/>
              <w:jc w:val="right"/>
              <w:rPr>
                <w:rFonts w:ascii="宋体" w:hAnsi="宋体" w:eastAsia="宋体" w:cs="宋体"/>
                <w:kern w:val="0"/>
                <w:sz w:val="18"/>
                <w:szCs w:val="18"/>
              </w:rPr>
            </w:pPr>
          </w:p>
        </w:tc>
      </w:tr>
      <w:tr w14:paraId="068B531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E610A0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0B7950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9A3222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29672EB4">
            <w:pPr>
              <w:widowControl/>
              <w:spacing w:line="240" w:lineRule="auto"/>
              <w:jc w:val="right"/>
              <w:rPr>
                <w:rFonts w:ascii="宋体" w:hAnsi="宋体" w:eastAsia="宋体" w:cs="宋体"/>
                <w:kern w:val="0"/>
                <w:sz w:val="18"/>
                <w:szCs w:val="18"/>
              </w:rPr>
            </w:pPr>
          </w:p>
        </w:tc>
      </w:tr>
      <w:tr w14:paraId="597BB27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9E8B83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EFB5AD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B2F9B9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434FB955">
            <w:pPr>
              <w:widowControl/>
              <w:spacing w:line="240" w:lineRule="auto"/>
              <w:jc w:val="right"/>
              <w:rPr>
                <w:rFonts w:ascii="宋体" w:hAnsi="宋体" w:eastAsia="宋体" w:cs="宋体"/>
                <w:kern w:val="0"/>
                <w:sz w:val="18"/>
                <w:szCs w:val="18"/>
              </w:rPr>
            </w:pPr>
          </w:p>
        </w:tc>
      </w:tr>
      <w:tr w14:paraId="0283AEE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3D7C60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05AB3C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B0B678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146D0400">
            <w:pPr>
              <w:widowControl/>
              <w:spacing w:line="240" w:lineRule="auto"/>
              <w:jc w:val="right"/>
              <w:rPr>
                <w:rFonts w:ascii="宋体" w:hAnsi="宋体" w:eastAsia="宋体" w:cs="宋体"/>
                <w:kern w:val="0"/>
                <w:sz w:val="18"/>
                <w:szCs w:val="18"/>
              </w:rPr>
            </w:pPr>
          </w:p>
        </w:tc>
      </w:tr>
      <w:tr w14:paraId="15900CF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A378F4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EA5700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4DAD63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4EBD0AFE">
            <w:pPr>
              <w:widowControl/>
              <w:spacing w:line="240" w:lineRule="auto"/>
              <w:jc w:val="right"/>
              <w:rPr>
                <w:rFonts w:ascii="宋体" w:hAnsi="宋体" w:eastAsia="宋体" w:cs="宋体"/>
                <w:kern w:val="0"/>
                <w:sz w:val="18"/>
                <w:szCs w:val="18"/>
              </w:rPr>
            </w:pPr>
          </w:p>
        </w:tc>
      </w:tr>
      <w:tr w14:paraId="66EE1D3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736140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8B87B3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ACE7EC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4033693F">
            <w:pPr>
              <w:widowControl/>
              <w:spacing w:line="240" w:lineRule="auto"/>
              <w:jc w:val="right"/>
              <w:rPr>
                <w:rFonts w:ascii="宋体" w:hAnsi="宋体" w:eastAsia="宋体" w:cs="宋体"/>
                <w:kern w:val="0"/>
                <w:sz w:val="18"/>
                <w:szCs w:val="18"/>
              </w:rPr>
            </w:pPr>
          </w:p>
        </w:tc>
      </w:tr>
      <w:tr w14:paraId="6C787B8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40EBBF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EE7A0C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098116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25F1F0E8">
            <w:pPr>
              <w:widowControl/>
              <w:spacing w:line="240" w:lineRule="auto"/>
              <w:jc w:val="right"/>
              <w:rPr>
                <w:rFonts w:ascii="宋体" w:hAnsi="宋体" w:eastAsia="宋体" w:cs="宋体"/>
                <w:kern w:val="0"/>
                <w:sz w:val="18"/>
                <w:szCs w:val="18"/>
              </w:rPr>
            </w:pPr>
          </w:p>
        </w:tc>
      </w:tr>
      <w:tr w14:paraId="721AB39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8EC166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538DA5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C72331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758C492C">
            <w:pPr>
              <w:widowControl/>
              <w:spacing w:line="240" w:lineRule="auto"/>
              <w:jc w:val="right"/>
              <w:rPr>
                <w:rFonts w:ascii="宋体" w:hAnsi="宋体" w:eastAsia="宋体" w:cs="宋体"/>
                <w:kern w:val="0"/>
                <w:sz w:val="18"/>
                <w:szCs w:val="18"/>
              </w:rPr>
            </w:pPr>
          </w:p>
        </w:tc>
      </w:tr>
      <w:tr w14:paraId="1D599853">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D803F6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E30E51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214EB8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73163EAA">
            <w:pPr>
              <w:widowControl/>
              <w:spacing w:line="240" w:lineRule="auto"/>
              <w:jc w:val="right"/>
              <w:rPr>
                <w:rFonts w:ascii="宋体" w:hAnsi="宋体" w:eastAsia="宋体" w:cs="宋体"/>
                <w:kern w:val="0"/>
                <w:sz w:val="18"/>
                <w:szCs w:val="18"/>
              </w:rPr>
            </w:pPr>
          </w:p>
        </w:tc>
      </w:tr>
      <w:tr w14:paraId="4C6791D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364E5C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22A453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43ED4E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168A2247">
            <w:pPr>
              <w:widowControl/>
              <w:spacing w:line="240" w:lineRule="auto"/>
              <w:jc w:val="right"/>
              <w:rPr>
                <w:rFonts w:ascii="宋体" w:hAnsi="宋体" w:eastAsia="宋体" w:cs="宋体"/>
                <w:kern w:val="0"/>
                <w:sz w:val="18"/>
                <w:szCs w:val="18"/>
              </w:rPr>
            </w:pPr>
          </w:p>
        </w:tc>
      </w:tr>
      <w:tr w14:paraId="194187F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858794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35B4D8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DAF8B3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14B7C506">
            <w:pPr>
              <w:widowControl/>
              <w:spacing w:line="240" w:lineRule="auto"/>
              <w:jc w:val="right"/>
              <w:rPr>
                <w:rFonts w:ascii="宋体" w:hAnsi="宋体" w:eastAsia="宋体" w:cs="宋体"/>
                <w:kern w:val="0"/>
                <w:sz w:val="18"/>
                <w:szCs w:val="18"/>
              </w:rPr>
            </w:pPr>
          </w:p>
        </w:tc>
      </w:tr>
      <w:tr w14:paraId="2B37572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D32BD7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6B9E87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B6BB64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4515D62D">
            <w:pPr>
              <w:widowControl/>
              <w:spacing w:line="240" w:lineRule="auto"/>
              <w:jc w:val="right"/>
              <w:rPr>
                <w:rFonts w:ascii="宋体" w:hAnsi="宋体" w:eastAsia="宋体" w:cs="宋体"/>
                <w:kern w:val="0"/>
                <w:sz w:val="18"/>
                <w:szCs w:val="18"/>
              </w:rPr>
            </w:pPr>
          </w:p>
        </w:tc>
      </w:tr>
      <w:tr w14:paraId="4D6BAF2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1B9CB25">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3A59B203">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811.65　</w:t>
            </w:r>
          </w:p>
        </w:tc>
        <w:tc>
          <w:tcPr>
            <w:tcW w:w="3119" w:type="dxa"/>
            <w:tcBorders>
              <w:top w:val="nil"/>
              <w:left w:val="nil"/>
              <w:bottom w:val="single" w:color="auto" w:sz="4" w:space="0"/>
              <w:right w:val="single" w:color="auto" w:sz="4" w:space="0"/>
            </w:tcBorders>
            <w:shd w:val="clear" w:color="auto" w:fill="auto"/>
            <w:noWrap/>
            <w:vAlign w:val="center"/>
          </w:tcPr>
          <w:p w14:paraId="7D278AE4">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75F012CD">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811.65</w:t>
            </w:r>
          </w:p>
        </w:tc>
      </w:tr>
    </w:tbl>
    <w:p w14:paraId="1662278E">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五、一般公共预算拨款支出预算表</w:t>
      </w:r>
    </w:p>
    <w:tbl>
      <w:tblPr>
        <w:tblStyle w:val="6"/>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5D343F1F">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5061E414">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年度一般公共预算拨款支出预算表</w:t>
            </w:r>
          </w:p>
        </w:tc>
      </w:tr>
      <w:tr w14:paraId="3E25D965">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576F282B">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59CFA501">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69CAB648">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3AFED671">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501191F2">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1A49B460">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04D81F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DF6D6E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06F8BD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094F140C">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5832E00D">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1C64D65C">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04FBE48B">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30AB9539">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3AB005E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3690D80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09B31C56">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45971DA7">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78236658">
            <w:pPr>
              <w:widowControl/>
              <w:spacing w:line="240" w:lineRule="auto"/>
              <w:jc w:val="lef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811.65</w:t>
            </w:r>
          </w:p>
        </w:tc>
        <w:tc>
          <w:tcPr>
            <w:tcW w:w="1559" w:type="dxa"/>
            <w:tcBorders>
              <w:top w:val="nil"/>
              <w:left w:val="nil"/>
              <w:bottom w:val="single" w:color="auto" w:sz="4" w:space="0"/>
              <w:right w:val="single" w:color="auto" w:sz="4" w:space="0"/>
            </w:tcBorders>
            <w:shd w:val="clear" w:color="auto" w:fill="auto"/>
            <w:noWrap/>
            <w:vAlign w:val="bottom"/>
          </w:tcPr>
          <w:p w14:paraId="207F1449">
            <w:pPr>
              <w:widowControl/>
              <w:spacing w:line="240" w:lineRule="auto"/>
              <w:jc w:val="lef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811.65</w:t>
            </w:r>
          </w:p>
        </w:tc>
        <w:tc>
          <w:tcPr>
            <w:tcW w:w="1418" w:type="dxa"/>
            <w:tcBorders>
              <w:top w:val="nil"/>
              <w:left w:val="nil"/>
              <w:bottom w:val="single" w:color="auto" w:sz="4" w:space="0"/>
              <w:right w:val="single" w:color="auto" w:sz="4" w:space="0"/>
            </w:tcBorders>
            <w:shd w:val="clear" w:color="auto" w:fill="auto"/>
            <w:noWrap/>
            <w:vAlign w:val="bottom"/>
          </w:tcPr>
          <w:p w14:paraId="3E13DA4E">
            <w:pPr>
              <w:widowControl/>
              <w:spacing w:line="240" w:lineRule="auto"/>
              <w:jc w:val="left"/>
              <w:rPr>
                <w:rFonts w:ascii="宋体" w:hAnsi="宋体" w:eastAsia="宋体" w:cs="宋体"/>
                <w:kern w:val="0"/>
                <w:sz w:val="22"/>
              </w:rPr>
            </w:pPr>
          </w:p>
        </w:tc>
      </w:tr>
      <w:tr w14:paraId="6E9B428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20B5A3B">
            <w:pPr>
              <w:widowControl/>
              <w:spacing w:line="240" w:lineRule="auto"/>
              <w:jc w:val="left"/>
              <w:rPr>
                <w:rFonts w:ascii="宋体" w:hAnsi="宋体" w:eastAsia="宋体" w:cs="宋体"/>
                <w:kern w:val="0"/>
                <w:sz w:val="22"/>
              </w:rPr>
            </w:pPr>
            <w:r>
              <w:rPr>
                <w:rFonts w:hint="eastAsia" w:ascii="宋体" w:hAnsi="宋体" w:eastAsia="宋体" w:cs="宋体"/>
                <w:kern w:val="0"/>
                <w:sz w:val="22"/>
              </w:rPr>
              <w:t>　205</w:t>
            </w:r>
          </w:p>
        </w:tc>
        <w:tc>
          <w:tcPr>
            <w:tcW w:w="2552" w:type="dxa"/>
            <w:tcBorders>
              <w:top w:val="nil"/>
              <w:left w:val="nil"/>
              <w:bottom w:val="single" w:color="auto" w:sz="4" w:space="0"/>
              <w:right w:val="single" w:color="auto" w:sz="4" w:space="0"/>
            </w:tcBorders>
            <w:shd w:val="clear" w:color="auto" w:fill="auto"/>
            <w:noWrap/>
            <w:vAlign w:val="center"/>
          </w:tcPr>
          <w:p w14:paraId="185D0F83">
            <w:pPr>
              <w:widowControl/>
              <w:spacing w:line="240" w:lineRule="auto"/>
              <w:jc w:val="left"/>
              <w:rPr>
                <w:rFonts w:ascii="宋体" w:hAnsi="宋体" w:eastAsia="宋体" w:cs="宋体"/>
                <w:kern w:val="0"/>
                <w:sz w:val="22"/>
              </w:rPr>
            </w:pPr>
            <w:r>
              <w:rPr>
                <w:rFonts w:hint="eastAsia" w:ascii="宋体" w:hAnsi="宋体" w:eastAsia="宋体" w:cs="宋体"/>
                <w:kern w:val="0"/>
                <w:sz w:val="22"/>
              </w:rPr>
              <w:t>　教育支出</w:t>
            </w:r>
          </w:p>
        </w:tc>
        <w:tc>
          <w:tcPr>
            <w:tcW w:w="1559" w:type="dxa"/>
            <w:tcBorders>
              <w:top w:val="nil"/>
              <w:left w:val="nil"/>
              <w:bottom w:val="single" w:color="auto" w:sz="4" w:space="0"/>
              <w:right w:val="single" w:color="auto" w:sz="4" w:space="0"/>
            </w:tcBorders>
            <w:shd w:val="clear" w:color="auto" w:fill="auto"/>
            <w:noWrap/>
            <w:vAlign w:val="center"/>
          </w:tcPr>
          <w:p w14:paraId="3DF8AB37">
            <w:pPr>
              <w:widowControl/>
              <w:spacing w:line="240" w:lineRule="auto"/>
              <w:jc w:val="lef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811.65</w:t>
            </w:r>
          </w:p>
        </w:tc>
        <w:tc>
          <w:tcPr>
            <w:tcW w:w="1559" w:type="dxa"/>
            <w:tcBorders>
              <w:top w:val="nil"/>
              <w:left w:val="nil"/>
              <w:bottom w:val="single" w:color="auto" w:sz="4" w:space="0"/>
              <w:right w:val="single" w:color="auto" w:sz="4" w:space="0"/>
            </w:tcBorders>
            <w:shd w:val="clear" w:color="auto" w:fill="auto"/>
            <w:noWrap/>
            <w:vAlign w:val="bottom"/>
          </w:tcPr>
          <w:p w14:paraId="4CB91EF8">
            <w:pPr>
              <w:widowControl/>
              <w:spacing w:line="240" w:lineRule="auto"/>
              <w:jc w:val="lef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811.65</w:t>
            </w:r>
          </w:p>
        </w:tc>
        <w:tc>
          <w:tcPr>
            <w:tcW w:w="1418" w:type="dxa"/>
            <w:tcBorders>
              <w:top w:val="nil"/>
              <w:left w:val="nil"/>
              <w:bottom w:val="single" w:color="auto" w:sz="4" w:space="0"/>
              <w:right w:val="single" w:color="auto" w:sz="4" w:space="0"/>
            </w:tcBorders>
            <w:shd w:val="clear" w:color="auto" w:fill="auto"/>
            <w:noWrap/>
            <w:vAlign w:val="bottom"/>
          </w:tcPr>
          <w:p w14:paraId="7C892E3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1EEEB6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6646596F">
            <w:pPr>
              <w:widowControl/>
              <w:spacing w:line="240" w:lineRule="auto"/>
              <w:jc w:val="left"/>
              <w:rPr>
                <w:rFonts w:ascii="宋体" w:hAnsi="宋体" w:eastAsia="宋体" w:cs="宋体"/>
                <w:kern w:val="0"/>
                <w:sz w:val="22"/>
              </w:rPr>
            </w:pPr>
            <w:r>
              <w:rPr>
                <w:rFonts w:hint="eastAsia" w:ascii="宋体" w:hAnsi="宋体" w:eastAsia="宋体" w:cs="宋体"/>
                <w:kern w:val="0"/>
                <w:sz w:val="22"/>
              </w:rPr>
              <w:t>　20502</w:t>
            </w:r>
          </w:p>
        </w:tc>
        <w:tc>
          <w:tcPr>
            <w:tcW w:w="2552" w:type="dxa"/>
            <w:tcBorders>
              <w:top w:val="nil"/>
              <w:left w:val="nil"/>
              <w:bottom w:val="single" w:color="auto" w:sz="4" w:space="0"/>
              <w:right w:val="single" w:color="auto" w:sz="4" w:space="0"/>
            </w:tcBorders>
            <w:shd w:val="clear" w:color="auto" w:fill="auto"/>
            <w:noWrap/>
            <w:vAlign w:val="center"/>
          </w:tcPr>
          <w:p w14:paraId="693517BC">
            <w:pPr>
              <w:widowControl/>
              <w:spacing w:line="240" w:lineRule="auto"/>
              <w:jc w:val="left"/>
              <w:rPr>
                <w:rFonts w:ascii="宋体" w:hAnsi="宋体" w:eastAsia="宋体" w:cs="宋体"/>
                <w:kern w:val="0"/>
                <w:sz w:val="22"/>
              </w:rPr>
            </w:pPr>
            <w:r>
              <w:rPr>
                <w:rFonts w:hint="eastAsia" w:ascii="宋体" w:hAnsi="宋体" w:eastAsia="宋体" w:cs="宋体"/>
                <w:kern w:val="0"/>
                <w:sz w:val="22"/>
              </w:rPr>
              <w:t>　普通教育</w:t>
            </w:r>
          </w:p>
        </w:tc>
        <w:tc>
          <w:tcPr>
            <w:tcW w:w="1559" w:type="dxa"/>
            <w:tcBorders>
              <w:top w:val="nil"/>
              <w:left w:val="nil"/>
              <w:bottom w:val="single" w:color="auto" w:sz="4" w:space="0"/>
              <w:right w:val="single" w:color="auto" w:sz="4" w:space="0"/>
            </w:tcBorders>
            <w:shd w:val="clear" w:color="auto" w:fill="auto"/>
            <w:noWrap/>
            <w:vAlign w:val="center"/>
          </w:tcPr>
          <w:p w14:paraId="3FACC371">
            <w:pPr>
              <w:widowControl/>
              <w:spacing w:line="240" w:lineRule="auto"/>
              <w:jc w:val="lef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811.65</w:t>
            </w:r>
          </w:p>
        </w:tc>
        <w:tc>
          <w:tcPr>
            <w:tcW w:w="1559" w:type="dxa"/>
            <w:tcBorders>
              <w:top w:val="nil"/>
              <w:left w:val="nil"/>
              <w:bottom w:val="single" w:color="auto" w:sz="4" w:space="0"/>
              <w:right w:val="single" w:color="auto" w:sz="4" w:space="0"/>
            </w:tcBorders>
            <w:shd w:val="clear" w:color="auto" w:fill="auto"/>
            <w:noWrap/>
            <w:vAlign w:val="bottom"/>
          </w:tcPr>
          <w:p w14:paraId="62BE7086">
            <w:pPr>
              <w:widowControl/>
              <w:spacing w:line="240" w:lineRule="auto"/>
              <w:jc w:val="lef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811.65</w:t>
            </w:r>
          </w:p>
        </w:tc>
        <w:tc>
          <w:tcPr>
            <w:tcW w:w="1418" w:type="dxa"/>
            <w:tcBorders>
              <w:top w:val="nil"/>
              <w:left w:val="nil"/>
              <w:bottom w:val="single" w:color="auto" w:sz="4" w:space="0"/>
              <w:right w:val="single" w:color="auto" w:sz="4" w:space="0"/>
            </w:tcBorders>
            <w:shd w:val="clear" w:color="auto" w:fill="auto"/>
            <w:noWrap/>
            <w:vAlign w:val="bottom"/>
          </w:tcPr>
          <w:p w14:paraId="0C78A7F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D24E47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13CC720">
            <w:pPr>
              <w:widowControl/>
              <w:spacing w:line="240" w:lineRule="auto"/>
              <w:jc w:val="left"/>
              <w:rPr>
                <w:rFonts w:ascii="宋体" w:hAnsi="宋体" w:eastAsia="宋体" w:cs="宋体"/>
                <w:kern w:val="0"/>
                <w:sz w:val="22"/>
              </w:rPr>
            </w:pPr>
            <w:r>
              <w:rPr>
                <w:rFonts w:hint="eastAsia" w:ascii="宋体" w:hAnsi="宋体" w:eastAsia="宋体" w:cs="宋体"/>
                <w:kern w:val="0"/>
                <w:sz w:val="22"/>
              </w:rPr>
              <w:t>2050202</w:t>
            </w:r>
          </w:p>
        </w:tc>
        <w:tc>
          <w:tcPr>
            <w:tcW w:w="2552" w:type="dxa"/>
            <w:tcBorders>
              <w:top w:val="nil"/>
              <w:left w:val="nil"/>
              <w:bottom w:val="single" w:color="auto" w:sz="4" w:space="0"/>
              <w:right w:val="single" w:color="auto" w:sz="4" w:space="0"/>
            </w:tcBorders>
            <w:shd w:val="clear" w:color="auto" w:fill="auto"/>
            <w:noWrap/>
            <w:vAlign w:val="bottom"/>
          </w:tcPr>
          <w:p w14:paraId="1E6D4EAB">
            <w:pPr>
              <w:widowControl/>
              <w:spacing w:line="240" w:lineRule="auto"/>
              <w:jc w:val="left"/>
              <w:rPr>
                <w:rFonts w:ascii="宋体" w:hAnsi="宋体" w:eastAsia="宋体" w:cs="宋体"/>
                <w:kern w:val="0"/>
                <w:sz w:val="22"/>
              </w:rPr>
            </w:pPr>
            <w:r>
              <w:rPr>
                <w:rFonts w:hint="eastAsia" w:ascii="宋体" w:hAnsi="宋体" w:eastAsia="宋体" w:cs="宋体"/>
                <w:kern w:val="0"/>
                <w:sz w:val="22"/>
              </w:rPr>
              <w:t>　小学教育</w:t>
            </w:r>
          </w:p>
        </w:tc>
        <w:tc>
          <w:tcPr>
            <w:tcW w:w="1559" w:type="dxa"/>
            <w:tcBorders>
              <w:top w:val="nil"/>
              <w:left w:val="nil"/>
              <w:bottom w:val="single" w:color="auto" w:sz="4" w:space="0"/>
              <w:right w:val="single" w:color="auto" w:sz="4" w:space="0"/>
            </w:tcBorders>
            <w:shd w:val="clear" w:color="auto" w:fill="auto"/>
            <w:noWrap/>
            <w:vAlign w:val="bottom"/>
          </w:tcPr>
          <w:p w14:paraId="72A1725E">
            <w:pPr>
              <w:widowControl/>
              <w:spacing w:line="240" w:lineRule="auto"/>
              <w:jc w:val="lef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811.65</w:t>
            </w:r>
          </w:p>
        </w:tc>
        <w:tc>
          <w:tcPr>
            <w:tcW w:w="1559" w:type="dxa"/>
            <w:tcBorders>
              <w:top w:val="nil"/>
              <w:left w:val="nil"/>
              <w:bottom w:val="single" w:color="auto" w:sz="4" w:space="0"/>
              <w:right w:val="single" w:color="auto" w:sz="4" w:space="0"/>
            </w:tcBorders>
            <w:shd w:val="clear" w:color="auto" w:fill="auto"/>
            <w:noWrap/>
            <w:vAlign w:val="bottom"/>
          </w:tcPr>
          <w:p w14:paraId="1CB0671B">
            <w:pPr>
              <w:widowControl/>
              <w:spacing w:line="240" w:lineRule="auto"/>
              <w:jc w:val="lef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811.65</w:t>
            </w:r>
          </w:p>
        </w:tc>
        <w:tc>
          <w:tcPr>
            <w:tcW w:w="1418" w:type="dxa"/>
            <w:tcBorders>
              <w:top w:val="nil"/>
              <w:left w:val="nil"/>
              <w:bottom w:val="single" w:color="auto" w:sz="4" w:space="0"/>
              <w:right w:val="single" w:color="auto" w:sz="4" w:space="0"/>
            </w:tcBorders>
            <w:shd w:val="clear" w:color="auto" w:fill="auto"/>
            <w:noWrap/>
            <w:vAlign w:val="bottom"/>
          </w:tcPr>
          <w:p w14:paraId="0FC79C2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589156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9319EF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7DA68D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100AAE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BA62FD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7D2B99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EC4BD6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45189C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5BB436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F7424D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C0F81B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3E9542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73C262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3125FE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E43163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9EFB70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5C30B1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007FAE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6283D8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58B506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48EE10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355448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25A5AB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F324F1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EC03E5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B1603F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4CEA32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9D9008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83CEE1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58B294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21FCB9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373164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708772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C91B46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AD075E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E6FDF5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39B80A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67D404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8F2666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B1BC26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09D5A9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E8AE62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61F805D0">
      <w:pPr>
        <w:tabs>
          <w:tab w:val="left" w:pos="7513"/>
        </w:tabs>
        <w:spacing w:line="360" w:lineRule="auto"/>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04105632">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六、政府性基金预算拨款支出预算表</w:t>
      </w:r>
    </w:p>
    <w:tbl>
      <w:tblPr>
        <w:tblStyle w:val="6"/>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7658DD87">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20AB468C">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年度政府性基金预算拨款支出预算表</w:t>
            </w:r>
          </w:p>
        </w:tc>
      </w:tr>
      <w:tr w14:paraId="53AAF2A5">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4FE9314B">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38E52F75">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7C5A8FDE">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432ED265">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3BB8D6B5">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39D4B205">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167E6E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59D3DB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92996B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3F7D7F3A">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6911E014">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4C5DA72A">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30BC7273">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1C0E6939">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09AC1B4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4AA6FC1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4C6864DC">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4C6F5580">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3ED5AA3B">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00A79F98">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1B4DC2AB">
            <w:pPr>
              <w:widowControl/>
              <w:spacing w:line="240" w:lineRule="auto"/>
              <w:jc w:val="center"/>
              <w:rPr>
                <w:rFonts w:ascii="宋体" w:hAnsi="宋体" w:eastAsia="宋体" w:cs="宋体"/>
                <w:kern w:val="0"/>
                <w:sz w:val="22"/>
              </w:rPr>
            </w:pPr>
          </w:p>
        </w:tc>
      </w:tr>
      <w:tr w14:paraId="67BDBF3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1AE2D9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6EBB32D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3CAB962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548773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2EB4B7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E82C1E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6978A2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36D5644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36E4C60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72F0A6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C74BBB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A73F92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DCFD86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85409F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D18245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2347CC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FD4FA3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F5A0CD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9B3FEB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B41975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FCD8F1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054E51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440B5B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BFA41D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8666F7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7549B6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B0F339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BE9396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B6C1BB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A1B6CE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EB0681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E914F4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7F2037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CB7B34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ACACCE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409C1D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C946B4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1A5D8D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75F481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EC2EF1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E58662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F2B46F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754748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6565F2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4A2DA5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DFD4E1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2ED9AE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738701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2D145C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B536C4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4E5D2F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1A7319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176E36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D20F76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CDC607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958DC8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83D2F9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EAFD2C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0AEF3B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3B9B01C7">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本单位</w:t>
      </w:r>
      <w:r>
        <w:rPr>
          <w:rFonts w:hint="eastAsia" w:ascii="楷体" w:hAnsi="楷体" w:eastAsia="楷体" w:cs="Times New Roman"/>
          <w:kern w:val="0"/>
          <w:szCs w:val="21"/>
          <w:lang w:val="en-US" w:eastAsia="zh-CN"/>
        </w:rPr>
        <w:t>2026</w:t>
      </w:r>
      <w:r>
        <w:rPr>
          <w:rFonts w:hint="eastAsia" w:ascii="楷体" w:hAnsi="楷体" w:eastAsia="楷体" w:cs="Times New Roman"/>
          <w:kern w:val="0"/>
          <w:szCs w:val="21"/>
        </w:rPr>
        <w:t>年没有使用政府性基金预算拨款安排的支出。</w:t>
      </w:r>
    </w:p>
    <w:p w14:paraId="38748659">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七、国有资本经营预算拨款支出预算表</w:t>
      </w:r>
    </w:p>
    <w:tbl>
      <w:tblPr>
        <w:tblStyle w:val="6"/>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20AAB8A7">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1E54350A">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年度国有资本经营预算拨款支出预算表</w:t>
            </w:r>
          </w:p>
        </w:tc>
      </w:tr>
      <w:tr w14:paraId="68CD0E79">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71B562AD">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7E35C12A">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17C80334">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4663F958">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779288BC">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29D8641D">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F3E859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57608F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46D4CE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4295DCBB">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32E17860">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7118ACD6">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7C9DF12D">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0EFD4084">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69AAB4E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049DE69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5EDF38B4">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366B7D5A">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1DCEB013">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2C206859">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7905E6EA">
            <w:pPr>
              <w:widowControl/>
              <w:spacing w:line="240" w:lineRule="auto"/>
              <w:jc w:val="center"/>
              <w:rPr>
                <w:rFonts w:ascii="宋体" w:hAnsi="宋体" w:eastAsia="宋体" w:cs="宋体"/>
                <w:kern w:val="0"/>
                <w:sz w:val="22"/>
              </w:rPr>
            </w:pPr>
          </w:p>
        </w:tc>
      </w:tr>
      <w:tr w14:paraId="417A98F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6612C06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391FDD1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74909AC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C76082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0D7956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5CADC9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BF4423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773CD3D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0617B42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CDF27D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800D38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7758DE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41ED8C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87236D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60FF6E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798B42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9646A0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7E80E5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5DB89E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C90C91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E6DB05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2671F9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197E6D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36AC3A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F89A6D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A867B6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B973EB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7C8982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8D6139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DCE125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E6591C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16171F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85BE07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769EF6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ED2625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BB8E55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C26C9B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232357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4F117B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516E7C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09A83F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4ACE96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2D9A85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5F5973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57CE0D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41CE73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4C938E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CB0AC4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710F2C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9AEA0D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BAFDB3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34A53E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7C1FAE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977F4A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2E5E35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018C93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E81401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01362B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F7895F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03BA8C8A">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本单位</w:t>
      </w:r>
      <w:r>
        <w:rPr>
          <w:rFonts w:hint="eastAsia" w:ascii="楷体" w:hAnsi="楷体" w:eastAsia="楷体" w:cs="Times New Roman"/>
          <w:kern w:val="0"/>
          <w:szCs w:val="21"/>
          <w:lang w:val="en-US" w:eastAsia="zh-CN"/>
        </w:rPr>
        <w:t>2026</w:t>
      </w:r>
      <w:r>
        <w:rPr>
          <w:rFonts w:hint="eastAsia" w:ascii="楷体" w:hAnsi="楷体" w:eastAsia="楷体" w:cs="Times New Roman"/>
          <w:kern w:val="0"/>
          <w:szCs w:val="21"/>
        </w:rPr>
        <w:t>年没有使用国有资本经营预算拨款安排的支出。</w:t>
      </w:r>
    </w:p>
    <w:p w14:paraId="4C852A0B">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八、一般公共预算支出经济分类情况表</w:t>
      </w:r>
    </w:p>
    <w:tbl>
      <w:tblPr>
        <w:tblStyle w:val="6"/>
        <w:tblW w:w="8237" w:type="dxa"/>
        <w:tblInd w:w="93" w:type="dxa"/>
        <w:tblLayout w:type="autofit"/>
        <w:tblCellMar>
          <w:top w:w="0" w:type="dxa"/>
          <w:left w:w="108" w:type="dxa"/>
          <w:bottom w:w="0" w:type="dxa"/>
          <w:right w:w="108" w:type="dxa"/>
        </w:tblCellMar>
      </w:tblPr>
      <w:tblGrid>
        <w:gridCol w:w="1575"/>
        <w:gridCol w:w="3969"/>
        <w:gridCol w:w="2693"/>
      </w:tblGrid>
      <w:tr w14:paraId="2E6D958C">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3E1AAC21">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年度一般公共预算支出经济分类情况表</w:t>
            </w:r>
          </w:p>
        </w:tc>
      </w:tr>
      <w:tr w14:paraId="696F9A8B">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4114CFE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2E74500E">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1C922D97">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622A22B">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2D27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561474C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57E211B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492AEC71">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2012C">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7EA9C46F">
            <w:pPr>
              <w:widowControl/>
              <w:spacing w:line="240" w:lineRule="auto"/>
              <w:jc w:val="right"/>
              <w:rPr>
                <w:rFonts w:ascii="宋体" w:hAnsi="宋体" w:eastAsia="宋体" w:cs="宋体"/>
                <w:b/>
                <w:bCs/>
                <w:color w:val="000000"/>
                <w:kern w:val="0"/>
                <w:sz w:val="22"/>
              </w:rPr>
            </w:pPr>
            <w:r>
              <w:rPr>
                <w:rFonts w:hint="eastAsia" w:ascii="宋体" w:hAnsi="宋体" w:eastAsia="宋体" w:cs="宋体"/>
                <w:b/>
                <w:bCs/>
                <w:color w:val="000000"/>
                <w:kern w:val="0"/>
                <w:sz w:val="22"/>
              </w:rPr>
              <w:t>811.65　</w:t>
            </w:r>
          </w:p>
        </w:tc>
      </w:tr>
      <w:tr w14:paraId="6964732E">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199D3BA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1BD09F4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25ED8474">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810.38　</w:t>
            </w:r>
          </w:p>
        </w:tc>
      </w:tr>
      <w:tr w14:paraId="247F0A5A">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D2D771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6A06C77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6C350251">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1.27　</w:t>
            </w:r>
          </w:p>
        </w:tc>
      </w:tr>
      <w:tr w14:paraId="64541395">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158F9BF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5FDE351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5D07B00B">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2BE67FD3">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F31625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66DAFE5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431DC7AF">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16E89F62">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72A234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0333B90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30F45496">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3FD9FD67">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18E9D50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5C938EB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3D33E85C">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22FBC691">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E85F6D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3C0019D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0298E238">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7A5E3270">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C4D470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4DD75CD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6903AA29">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19E09429">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3DA6EB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2A18F8E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457D8AC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39F2FE1C">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1B784C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0A0AB4D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19EEFD9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410BD6B1">
      <w:pPr>
        <w:tabs>
          <w:tab w:val="left" w:pos="7513"/>
        </w:tabs>
        <w:adjustRightInd w:val="0"/>
        <w:snapToGrid w:val="0"/>
        <w:spacing w:line="60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1E0F7631">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九、一般公共预算基本支出经济分类情况表</w:t>
      </w:r>
    </w:p>
    <w:p w14:paraId="28FB99D5">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年度一般公共预算基本支出经济分类情况表</w:t>
      </w:r>
    </w:p>
    <w:tbl>
      <w:tblPr>
        <w:tblStyle w:val="6"/>
        <w:tblW w:w="8237" w:type="dxa"/>
        <w:tblInd w:w="93" w:type="dxa"/>
        <w:tblLayout w:type="autofit"/>
        <w:tblCellMar>
          <w:top w:w="0" w:type="dxa"/>
          <w:left w:w="108" w:type="dxa"/>
          <w:bottom w:w="0" w:type="dxa"/>
          <w:right w:w="108" w:type="dxa"/>
        </w:tblCellMar>
      </w:tblPr>
      <w:tblGrid>
        <w:gridCol w:w="1575"/>
        <w:gridCol w:w="4252"/>
        <w:gridCol w:w="2410"/>
        <w:gridCol w:w="142"/>
      </w:tblGrid>
      <w:tr w14:paraId="18E1E115">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11CE4622">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7614473">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0B48710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1EAB6BB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51563F4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3B3361DE">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6F3A5A7">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7E20477C">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811.65　</w:t>
            </w:r>
          </w:p>
        </w:tc>
      </w:tr>
      <w:tr w14:paraId="4FE7FD0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3392DF7">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2213762B">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9F3467A">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810.38　</w:t>
            </w:r>
          </w:p>
        </w:tc>
      </w:tr>
      <w:tr w14:paraId="755CD36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7F4C6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61D24FA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7A7AAEE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274.99　</w:t>
            </w:r>
          </w:p>
        </w:tc>
      </w:tr>
      <w:tr w14:paraId="77CDA1A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694039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387DB9C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435E057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0.27　</w:t>
            </w:r>
          </w:p>
        </w:tc>
      </w:tr>
      <w:tr w14:paraId="0333BD3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FE2D76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1B15FF6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4A04D7F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190.29　</w:t>
            </w:r>
          </w:p>
        </w:tc>
      </w:tr>
      <w:tr w14:paraId="07B703F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E8C1C7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24744DA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1B582FE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49DA33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E3EB74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458A32C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62904F1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141.07　</w:t>
            </w:r>
          </w:p>
        </w:tc>
      </w:tr>
      <w:tr w14:paraId="45FD109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66F0F4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447F99C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5036E82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104.67　</w:t>
            </w:r>
          </w:p>
        </w:tc>
      </w:tr>
      <w:tr w14:paraId="0928D31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17B449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55752EC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20C4CD4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382495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9DFD39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5B7B91E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5F8124F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48.3　</w:t>
            </w:r>
          </w:p>
        </w:tc>
      </w:tr>
      <w:tr w14:paraId="79FF932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7F3D8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506DDE0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794F1B4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58437B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AB74D7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1513E27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71A25C5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0.83　</w:t>
            </w:r>
          </w:p>
        </w:tc>
      </w:tr>
      <w:tr w14:paraId="3E0D61B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18C061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21AEF6E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37DBEBA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49.96　</w:t>
            </w:r>
          </w:p>
        </w:tc>
      </w:tr>
      <w:tr w14:paraId="40A6209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243A77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008E190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04A1E0B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590B5C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8DD44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1441804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38A8B7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497C2C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C753F90">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4B6A29D0">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B9C1440">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1.27　</w:t>
            </w:r>
          </w:p>
        </w:tc>
      </w:tr>
      <w:tr w14:paraId="0AF9803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4F4C59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60C048A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62E0029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3E49F2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05CA5D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1E7C3C0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5D2A407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D72C7B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79A879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230F06B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6A855A8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F61D6B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E0D43C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772811F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2145FA5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8C17B8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1E7E4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282DBB2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02A43CC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9F2E98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E6D485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4F3F371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525EF13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221BAE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C0951B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51F7072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6BECE5F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D693B6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1036A6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35B6EBE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7C23592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360CB7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1721B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539752A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2E2B9FE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E2316F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5A99FA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38E3C6C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1CD3111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2D2FA4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F54D40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248BE06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0EF5E6E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F40447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76907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6537785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54DF793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5EF110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75B6FA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043636C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35CD2D7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AFB729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E2D9C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6565385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15C9BEC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D5DA68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81D1C4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10B6B9E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12CF46C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F8A595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601514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1ED4433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2EACB7D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ED3890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C905FB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485A1EB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2AE1FA4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088DAC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836F3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3CC87D2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4E0F155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DF7EDF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A4D17D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57F79DF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6480470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29C95D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B234B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4BB89CA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75C6938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A9BBD1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F85447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7FA8B9A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07BE147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CD1198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C39C7C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300886B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13C08B2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24F6DA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CCE6C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6E79436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6E93421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623E57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57012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4A57724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0869C62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C60896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5A1190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7748B80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64B54A8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4CC561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98CD6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31CB29C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6E7BED9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AC1F51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923CD3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02E9334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A4B18D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1.27　</w:t>
            </w:r>
          </w:p>
        </w:tc>
      </w:tr>
      <w:tr w14:paraId="24AE7FE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47456AB">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5C2E34D6">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C8741D9">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3B766AD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617CE2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1B3349D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57810CF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739E03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A124B0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6716B7C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4613C64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6559B8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01914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074F00A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5EFABD2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CAB5FB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64F56A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0E957B4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0CCDE47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746E2A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D468B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663CCD7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3BED59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BE119A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4B07AC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3930FF8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7A8376F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EE3608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E1BF5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6433610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90B08A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DB7E71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EC2269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25E9454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7C37249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9AA3B8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7E8737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7F474E5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3BE42FB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910E13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17BD0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66ED3BF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32FAB03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B0F97D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38B3A8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3B1B38A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1D96EAAE">
            <w:pPr>
              <w:widowControl/>
              <w:spacing w:line="240" w:lineRule="auto"/>
              <w:jc w:val="right"/>
              <w:rPr>
                <w:rFonts w:ascii="宋体" w:hAnsi="宋体" w:eastAsia="宋体" w:cs="宋体"/>
                <w:color w:val="000000"/>
                <w:kern w:val="0"/>
                <w:sz w:val="18"/>
                <w:szCs w:val="18"/>
              </w:rPr>
            </w:pPr>
          </w:p>
        </w:tc>
      </w:tr>
      <w:tr w14:paraId="76C1D57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FD48B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124EE1D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4E7FC0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033C84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6906479">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2B53AE86">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77E1D59">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3D7BAA6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A11EC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7239BD0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5317BAF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39576B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33D4B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0DE3E93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616DC0F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54B50D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1004F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4AB1342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3DF2E2F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E3C219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F21A01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008ABDC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2A2E838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FEF4CB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EE972C9">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4DDD0A00">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4F53ED80">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612980B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32744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7142215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07A6292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FED172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6F167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3AA6CAE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D23613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26CF31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DBA251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4764422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5DD6D5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555F6A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3E941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05EEE9F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68ACDEC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F7A1E7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95F9D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602FD6D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4DDC2C5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6BCFEB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65F78D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1E45D6C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2A6B683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EF9B4D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E06FAC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795F8B8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5B9DA63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8DDB52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45725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2D38A26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86A81C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024454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0C865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3C15C5D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E8634C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203884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075AD7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20DAD3D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BFA02B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D5BA0D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9F63E3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21870B9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0414A4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5011D9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D17600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7FC28DC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B55243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C31C84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83C97C">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22A02962">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626C6FF">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78D58B6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A27859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6CD1D86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2F819F6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C26DE6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D2384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1A3BCDA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E5F2A4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A60224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9F0743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21BBEB1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83BE5F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222EC8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5216B8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6762B6D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1C99312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FFDF25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F82630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7B305B7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7973F65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B7F846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330C9B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4BBCAD2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35E27B5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A56711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F7745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7AF35EC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64FAA56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A36F6C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60BB8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3E1CEA2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3F93EBC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98FD3C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B191A5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64A1C82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FF6C22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81EA30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A2620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168F70D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41078CE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15BD6C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FABD69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69BF20E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7071F43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DD0444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AE04B3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1C0AC2B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37F8D4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29C6E6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DCD6DE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766A9E1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B4230D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13D284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8E9113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6E0D287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A724D5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9FDD23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261861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26ACE32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0015FD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39F413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E1C8F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6E1333B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3B90D8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B77E29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F004A19">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68B18D17">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3DE4DC14">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78F5389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1CB3E5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58C4753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6CD18C6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9AC093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ECC515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285C0BB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14296F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2F376A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C70889E">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3348F1DD">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53A2FC0">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3DE64C1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9B73C2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1E9F5AA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65E6544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EF6C2D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02579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1346FDF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4C2C514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BDE468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F5BC43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2B945A0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3D9EB12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18A8EC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01F6E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32AF2FF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1E98F3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12BDD6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45F5CA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1BB6B58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D08A055">
            <w:pPr>
              <w:widowControl/>
              <w:spacing w:line="240" w:lineRule="auto"/>
              <w:jc w:val="right"/>
              <w:rPr>
                <w:rFonts w:ascii="宋体" w:hAnsi="宋体" w:eastAsia="宋体" w:cs="宋体"/>
                <w:kern w:val="0"/>
                <w:sz w:val="18"/>
                <w:szCs w:val="18"/>
              </w:rPr>
            </w:pPr>
          </w:p>
        </w:tc>
      </w:tr>
      <w:tr w14:paraId="3E794A6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1E4C28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751C5F3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21C97C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9EF210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2A718DA">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0DAC4D18">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79DD0B7">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0ADFA7F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F19C8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694432B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F50786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F27DB4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26B81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4CC70EE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3052F2E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EB1EF6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33ADE1">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31868FDC">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2C7C96F">
            <w:pPr>
              <w:widowControl/>
              <w:spacing w:line="240" w:lineRule="auto"/>
              <w:jc w:val="right"/>
              <w:rPr>
                <w:rFonts w:ascii="宋体" w:hAnsi="宋体" w:eastAsia="宋体" w:cs="宋体"/>
                <w:bCs/>
                <w:kern w:val="0"/>
                <w:sz w:val="18"/>
                <w:szCs w:val="18"/>
              </w:rPr>
            </w:pPr>
          </w:p>
        </w:tc>
      </w:tr>
      <w:tr w14:paraId="493BD92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D7EB22">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6D8D4FE9">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91EDB2E">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54F7E1E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E1F30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7B8F3EA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D941DA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5ED01E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C96D02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25BE4D9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601336F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A050BF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665EBA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142A76C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527F436C">
            <w:pPr>
              <w:widowControl/>
              <w:spacing w:line="240" w:lineRule="auto"/>
              <w:jc w:val="right"/>
              <w:rPr>
                <w:rFonts w:ascii="宋体" w:hAnsi="宋体" w:eastAsia="宋体" w:cs="宋体"/>
                <w:kern w:val="0"/>
                <w:sz w:val="18"/>
                <w:szCs w:val="18"/>
              </w:rPr>
            </w:pPr>
          </w:p>
        </w:tc>
      </w:tr>
      <w:tr w14:paraId="24E0474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AD0FFC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2752EC3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3125E26B">
            <w:pPr>
              <w:widowControl/>
              <w:spacing w:line="240" w:lineRule="auto"/>
              <w:jc w:val="right"/>
              <w:rPr>
                <w:rFonts w:ascii="宋体" w:hAnsi="宋体" w:eastAsia="宋体" w:cs="宋体"/>
                <w:kern w:val="0"/>
                <w:sz w:val="18"/>
                <w:szCs w:val="18"/>
              </w:rPr>
            </w:pPr>
          </w:p>
        </w:tc>
      </w:tr>
      <w:tr w14:paraId="43F53EC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65BA5F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1F1D1E6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8A4F30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711242C9">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十、一般公共预算“三公”经费支出预算表</w:t>
      </w:r>
    </w:p>
    <w:tbl>
      <w:tblPr>
        <w:tblStyle w:val="6"/>
        <w:tblW w:w="7848" w:type="dxa"/>
        <w:tblInd w:w="93" w:type="dxa"/>
        <w:tblLayout w:type="autofit"/>
        <w:tblCellMar>
          <w:top w:w="0" w:type="dxa"/>
          <w:left w:w="108" w:type="dxa"/>
          <w:bottom w:w="0" w:type="dxa"/>
          <w:right w:w="108" w:type="dxa"/>
        </w:tblCellMar>
      </w:tblPr>
      <w:tblGrid>
        <w:gridCol w:w="4268"/>
        <w:gridCol w:w="3580"/>
      </w:tblGrid>
      <w:tr w14:paraId="5E8E8E26">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228E8D28">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lang w:val="en-US" w:eastAsia="zh-CN"/>
              </w:rPr>
              <w:t>2026</w:t>
            </w:r>
            <w:r>
              <w:rPr>
                <w:rFonts w:hint="eastAsia" w:ascii="方正小标宋简体" w:hAnsi="黑体" w:eastAsia="方正小标宋简体" w:cs="宋体"/>
                <w:kern w:val="0"/>
                <w:sz w:val="32"/>
                <w:szCs w:val="32"/>
              </w:rPr>
              <w:t>年度一般公共预算“三公”经费支出预算表</w:t>
            </w:r>
          </w:p>
        </w:tc>
      </w:tr>
      <w:tr w14:paraId="21AB6213">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12155009">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682708AF">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1E72F8C4">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BEFCB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528E740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7F94BE09">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7A21C23E">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75C8D588">
            <w:pPr>
              <w:widowControl/>
              <w:spacing w:line="240" w:lineRule="auto"/>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r w14:paraId="18CF613C">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4C301181">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7D809005">
            <w:pPr>
              <w:widowControl/>
              <w:spacing w:line="240" w:lineRule="auto"/>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r w14:paraId="228F1893">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7E851B0C">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6103CA8D">
            <w:pPr>
              <w:widowControl/>
              <w:spacing w:line="240" w:lineRule="auto"/>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r w14:paraId="74C3A2D2">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2C8CFBFD">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6846D632">
            <w:pPr>
              <w:widowControl/>
              <w:spacing w:line="240" w:lineRule="auto"/>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r w14:paraId="38FB4B2F">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3DCE6826">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3C9FFDE5">
            <w:pPr>
              <w:widowControl/>
              <w:spacing w:line="240" w:lineRule="auto"/>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r w14:paraId="7F1DCD93">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6EE32D72">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5A795C2D">
            <w:pPr>
              <w:widowControl/>
              <w:spacing w:line="240" w:lineRule="auto"/>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bl>
    <w:p w14:paraId="32F4CE7F">
      <w:pPr>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本单位</w:t>
      </w:r>
      <w:r>
        <w:rPr>
          <w:rFonts w:hint="eastAsia" w:ascii="楷体" w:hAnsi="楷体" w:eastAsia="楷体" w:cs="Times New Roman"/>
          <w:kern w:val="0"/>
          <w:szCs w:val="21"/>
          <w:lang w:val="en-US" w:eastAsia="zh-CN"/>
        </w:rPr>
        <w:t>2026</w:t>
      </w:r>
      <w:r>
        <w:rPr>
          <w:rFonts w:hint="eastAsia" w:ascii="楷体" w:hAnsi="楷体" w:eastAsia="楷体" w:cs="Times New Roman"/>
          <w:kern w:val="0"/>
          <w:szCs w:val="21"/>
        </w:rPr>
        <w:t>年度</w:t>
      </w:r>
      <w:r>
        <w:rPr>
          <w:rFonts w:hint="eastAsia" w:ascii="楷体" w:hAnsi="楷体" w:eastAsia="楷体"/>
        </w:rPr>
        <w:t>没有</w:t>
      </w:r>
      <w:r>
        <w:rPr>
          <w:rFonts w:hint="eastAsia" w:ascii="楷体" w:hAnsi="楷体" w:eastAsia="楷体" w:cs="Times New Roman"/>
          <w:kern w:val="0"/>
          <w:szCs w:val="21"/>
        </w:rPr>
        <w:t>一般公共预算安排的‘三公’经费支出。</w:t>
      </w:r>
    </w:p>
    <w:p w14:paraId="3BFF9667">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十一、单位专项资金管理清单目录</w:t>
      </w:r>
    </w:p>
    <w:tbl>
      <w:tblPr>
        <w:tblStyle w:val="6"/>
        <w:tblW w:w="9320" w:type="dxa"/>
        <w:tblInd w:w="93" w:type="dxa"/>
        <w:tblLayout w:type="autofit"/>
        <w:tblCellMar>
          <w:top w:w="0" w:type="dxa"/>
          <w:left w:w="108" w:type="dxa"/>
          <w:bottom w:w="0" w:type="dxa"/>
          <w:right w:w="108" w:type="dxa"/>
        </w:tblCellMar>
      </w:tblPr>
      <w:tblGrid>
        <w:gridCol w:w="765"/>
        <w:gridCol w:w="901"/>
        <w:gridCol w:w="703"/>
        <w:gridCol w:w="755"/>
        <w:gridCol w:w="755"/>
        <w:gridCol w:w="755"/>
        <w:gridCol w:w="755"/>
        <w:gridCol w:w="692"/>
        <w:gridCol w:w="798"/>
        <w:gridCol w:w="798"/>
        <w:gridCol w:w="790"/>
        <w:gridCol w:w="853"/>
      </w:tblGrid>
      <w:tr w14:paraId="4FE6210B">
        <w:tblPrEx>
          <w:tblCellMar>
            <w:top w:w="0" w:type="dxa"/>
            <w:left w:w="108" w:type="dxa"/>
            <w:bottom w:w="0" w:type="dxa"/>
            <w:right w:w="108" w:type="dxa"/>
          </w:tblCellMar>
        </w:tblPrEx>
        <w:trPr>
          <w:trHeight w:val="636" w:hRule="atLeast"/>
        </w:trPr>
        <w:tc>
          <w:tcPr>
            <w:tcW w:w="9320" w:type="dxa"/>
            <w:gridSpan w:val="12"/>
            <w:tcBorders>
              <w:top w:val="nil"/>
              <w:left w:val="nil"/>
              <w:bottom w:val="nil"/>
              <w:right w:val="nil"/>
            </w:tcBorders>
          </w:tcPr>
          <w:p w14:paraId="58A17DDA">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年度单位专项资金管理清单目录</w:t>
            </w:r>
          </w:p>
        </w:tc>
      </w:tr>
      <w:tr w14:paraId="32044ED8">
        <w:tblPrEx>
          <w:tblCellMar>
            <w:top w:w="0" w:type="dxa"/>
            <w:left w:w="108" w:type="dxa"/>
            <w:bottom w:w="0" w:type="dxa"/>
            <w:right w:w="108" w:type="dxa"/>
          </w:tblCellMar>
        </w:tblPrEx>
        <w:trPr>
          <w:trHeight w:val="636" w:hRule="atLeast"/>
        </w:trPr>
        <w:tc>
          <w:tcPr>
            <w:tcW w:w="765" w:type="dxa"/>
            <w:tcBorders>
              <w:top w:val="nil"/>
              <w:left w:val="nil"/>
              <w:bottom w:val="nil"/>
              <w:right w:val="nil"/>
            </w:tcBorders>
            <w:shd w:val="clear" w:color="auto" w:fill="auto"/>
            <w:noWrap/>
            <w:vAlign w:val="bottom"/>
          </w:tcPr>
          <w:p w14:paraId="5338BD54">
            <w:pPr>
              <w:widowControl/>
              <w:spacing w:line="240" w:lineRule="auto"/>
              <w:jc w:val="left"/>
              <w:rPr>
                <w:rFonts w:ascii="宋体" w:hAnsi="宋体" w:eastAsia="宋体" w:cs="宋体"/>
                <w:kern w:val="0"/>
                <w:sz w:val="24"/>
                <w:szCs w:val="24"/>
              </w:rPr>
            </w:pPr>
          </w:p>
        </w:tc>
        <w:tc>
          <w:tcPr>
            <w:tcW w:w="901" w:type="dxa"/>
            <w:tcBorders>
              <w:top w:val="nil"/>
              <w:left w:val="nil"/>
              <w:bottom w:val="nil"/>
              <w:right w:val="nil"/>
            </w:tcBorders>
            <w:shd w:val="clear" w:color="auto" w:fill="auto"/>
            <w:noWrap/>
            <w:vAlign w:val="bottom"/>
          </w:tcPr>
          <w:p w14:paraId="4BAB1F92">
            <w:pPr>
              <w:widowControl/>
              <w:spacing w:line="240" w:lineRule="auto"/>
              <w:jc w:val="left"/>
              <w:rPr>
                <w:rFonts w:ascii="宋体" w:hAnsi="宋体" w:eastAsia="宋体" w:cs="宋体"/>
                <w:kern w:val="0"/>
                <w:sz w:val="24"/>
                <w:szCs w:val="24"/>
              </w:rPr>
            </w:pPr>
          </w:p>
        </w:tc>
        <w:tc>
          <w:tcPr>
            <w:tcW w:w="703" w:type="dxa"/>
            <w:tcBorders>
              <w:top w:val="nil"/>
              <w:left w:val="nil"/>
              <w:bottom w:val="nil"/>
              <w:right w:val="nil"/>
            </w:tcBorders>
            <w:shd w:val="clear" w:color="auto" w:fill="auto"/>
            <w:noWrap/>
            <w:vAlign w:val="bottom"/>
          </w:tcPr>
          <w:p w14:paraId="4EE70369">
            <w:pPr>
              <w:widowControl/>
              <w:spacing w:line="240" w:lineRule="auto"/>
              <w:jc w:val="left"/>
              <w:rPr>
                <w:rFonts w:ascii="宋体" w:hAnsi="宋体" w:eastAsia="宋体" w:cs="宋体"/>
                <w:kern w:val="0"/>
                <w:sz w:val="24"/>
                <w:szCs w:val="24"/>
              </w:rPr>
            </w:pPr>
          </w:p>
        </w:tc>
        <w:tc>
          <w:tcPr>
            <w:tcW w:w="755" w:type="dxa"/>
            <w:tcBorders>
              <w:top w:val="nil"/>
              <w:left w:val="nil"/>
              <w:bottom w:val="nil"/>
              <w:right w:val="nil"/>
            </w:tcBorders>
            <w:shd w:val="clear" w:color="auto" w:fill="auto"/>
            <w:noWrap/>
            <w:vAlign w:val="bottom"/>
          </w:tcPr>
          <w:p w14:paraId="50E15F75">
            <w:pPr>
              <w:widowControl/>
              <w:spacing w:line="240" w:lineRule="auto"/>
              <w:jc w:val="left"/>
              <w:rPr>
                <w:rFonts w:ascii="宋体" w:hAnsi="宋体" w:eastAsia="宋体" w:cs="宋体"/>
                <w:kern w:val="0"/>
                <w:sz w:val="24"/>
                <w:szCs w:val="24"/>
              </w:rPr>
            </w:pPr>
          </w:p>
        </w:tc>
        <w:tc>
          <w:tcPr>
            <w:tcW w:w="755" w:type="dxa"/>
            <w:tcBorders>
              <w:top w:val="nil"/>
              <w:left w:val="nil"/>
              <w:bottom w:val="nil"/>
              <w:right w:val="nil"/>
            </w:tcBorders>
            <w:shd w:val="clear" w:color="auto" w:fill="auto"/>
            <w:noWrap/>
            <w:vAlign w:val="bottom"/>
          </w:tcPr>
          <w:p w14:paraId="554D9D14">
            <w:pPr>
              <w:widowControl/>
              <w:spacing w:line="240" w:lineRule="auto"/>
              <w:jc w:val="left"/>
              <w:rPr>
                <w:rFonts w:ascii="宋体" w:hAnsi="宋体" w:eastAsia="宋体" w:cs="宋体"/>
                <w:kern w:val="0"/>
                <w:sz w:val="24"/>
                <w:szCs w:val="24"/>
              </w:rPr>
            </w:pPr>
          </w:p>
        </w:tc>
        <w:tc>
          <w:tcPr>
            <w:tcW w:w="755" w:type="dxa"/>
            <w:tcBorders>
              <w:top w:val="nil"/>
              <w:left w:val="nil"/>
              <w:bottom w:val="nil"/>
              <w:right w:val="nil"/>
            </w:tcBorders>
            <w:shd w:val="clear" w:color="auto" w:fill="auto"/>
            <w:noWrap/>
            <w:vAlign w:val="bottom"/>
          </w:tcPr>
          <w:p w14:paraId="1304FBAD">
            <w:pPr>
              <w:widowControl/>
              <w:spacing w:line="240" w:lineRule="auto"/>
              <w:jc w:val="left"/>
              <w:rPr>
                <w:rFonts w:ascii="宋体" w:hAnsi="宋体" w:eastAsia="宋体" w:cs="宋体"/>
                <w:kern w:val="0"/>
                <w:sz w:val="24"/>
                <w:szCs w:val="24"/>
              </w:rPr>
            </w:pPr>
          </w:p>
        </w:tc>
        <w:tc>
          <w:tcPr>
            <w:tcW w:w="755" w:type="dxa"/>
            <w:tcBorders>
              <w:top w:val="nil"/>
              <w:left w:val="nil"/>
              <w:bottom w:val="nil"/>
              <w:right w:val="nil"/>
            </w:tcBorders>
            <w:shd w:val="clear" w:color="auto" w:fill="auto"/>
            <w:noWrap/>
            <w:vAlign w:val="bottom"/>
          </w:tcPr>
          <w:p w14:paraId="005D2633">
            <w:pPr>
              <w:widowControl/>
              <w:spacing w:line="240" w:lineRule="auto"/>
              <w:jc w:val="left"/>
              <w:rPr>
                <w:rFonts w:ascii="宋体" w:hAnsi="宋体" w:eastAsia="宋体" w:cs="宋体"/>
                <w:kern w:val="0"/>
                <w:sz w:val="24"/>
                <w:szCs w:val="24"/>
              </w:rPr>
            </w:pPr>
          </w:p>
        </w:tc>
        <w:tc>
          <w:tcPr>
            <w:tcW w:w="692" w:type="dxa"/>
            <w:tcBorders>
              <w:top w:val="nil"/>
              <w:left w:val="nil"/>
              <w:bottom w:val="nil"/>
              <w:right w:val="nil"/>
            </w:tcBorders>
            <w:shd w:val="clear" w:color="auto" w:fill="auto"/>
            <w:noWrap/>
            <w:vAlign w:val="bottom"/>
          </w:tcPr>
          <w:p w14:paraId="2344D772">
            <w:pPr>
              <w:widowControl/>
              <w:spacing w:line="240" w:lineRule="auto"/>
              <w:jc w:val="left"/>
              <w:rPr>
                <w:rFonts w:ascii="宋体" w:hAnsi="宋体" w:eastAsia="宋体" w:cs="宋体"/>
                <w:kern w:val="0"/>
                <w:sz w:val="24"/>
                <w:szCs w:val="24"/>
              </w:rPr>
            </w:pPr>
          </w:p>
        </w:tc>
        <w:tc>
          <w:tcPr>
            <w:tcW w:w="798" w:type="dxa"/>
            <w:tcBorders>
              <w:top w:val="nil"/>
              <w:left w:val="nil"/>
              <w:bottom w:val="nil"/>
              <w:right w:val="nil"/>
            </w:tcBorders>
            <w:shd w:val="clear" w:color="auto" w:fill="auto"/>
            <w:noWrap/>
            <w:vAlign w:val="bottom"/>
          </w:tcPr>
          <w:p w14:paraId="17DD533F">
            <w:pPr>
              <w:widowControl/>
              <w:spacing w:line="240" w:lineRule="auto"/>
              <w:jc w:val="left"/>
              <w:rPr>
                <w:rFonts w:ascii="宋体" w:hAnsi="宋体" w:eastAsia="宋体" w:cs="宋体"/>
                <w:kern w:val="0"/>
                <w:sz w:val="24"/>
                <w:szCs w:val="24"/>
              </w:rPr>
            </w:pPr>
          </w:p>
        </w:tc>
        <w:tc>
          <w:tcPr>
            <w:tcW w:w="798" w:type="dxa"/>
            <w:tcBorders>
              <w:top w:val="nil"/>
              <w:left w:val="nil"/>
              <w:bottom w:val="nil"/>
              <w:right w:val="nil"/>
            </w:tcBorders>
            <w:shd w:val="clear" w:color="auto" w:fill="auto"/>
            <w:noWrap/>
            <w:vAlign w:val="bottom"/>
          </w:tcPr>
          <w:p w14:paraId="3374F4AE">
            <w:pPr>
              <w:widowControl/>
              <w:spacing w:line="240" w:lineRule="auto"/>
              <w:jc w:val="left"/>
              <w:rPr>
                <w:rFonts w:ascii="宋体" w:hAnsi="宋体" w:eastAsia="宋体" w:cs="宋体"/>
                <w:kern w:val="0"/>
                <w:sz w:val="24"/>
                <w:szCs w:val="24"/>
              </w:rPr>
            </w:pPr>
          </w:p>
        </w:tc>
        <w:tc>
          <w:tcPr>
            <w:tcW w:w="790" w:type="dxa"/>
            <w:tcBorders>
              <w:top w:val="nil"/>
              <w:left w:val="nil"/>
              <w:bottom w:val="nil"/>
              <w:right w:val="nil"/>
            </w:tcBorders>
          </w:tcPr>
          <w:p w14:paraId="3EC2D7EE">
            <w:pPr>
              <w:widowControl/>
              <w:spacing w:line="240" w:lineRule="auto"/>
              <w:jc w:val="right"/>
              <w:rPr>
                <w:rFonts w:ascii="宋体" w:hAnsi="宋体" w:eastAsia="宋体" w:cs="宋体"/>
                <w:kern w:val="0"/>
                <w:sz w:val="22"/>
              </w:rPr>
            </w:pPr>
          </w:p>
        </w:tc>
        <w:tc>
          <w:tcPr>
            <w:tcW w:w="853" w:type="dxa"/>
            <w:tcBorders>
              <w:top w:val="nil"/>
              <w:left w:val="nil"/>
              <w:bottom w:val="nil"/>
              <w:right w:val="nil"/>
            </w:tcBorders>
            <w:shd w:val="clear" w:color="auto" w:fill="auto"/>
            <w:noWrap/>
            <w:vAlign w:val="bottom"/>
          </w:tcPr>
          <w:p w14:paraId="1541D534">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0120328C">
        <w:tblPrEx>
          <w:tblCellMar>
            <w:top w:w="0" w:type="dxa"/>
            <w:left w:w="108" w:type="dxa"/>
            <w:bottom w:w="0" w:type="dxa"/>
            <w:right w:w="108" w:type="dxa"/>
          </w:tblCellMar>
        </w:tblPrEx>
        <w:trPr>
          <w:trHeight w:val="592" w:hRule="atLeast"/>
        </w:trPr>
        <w:tc>
          <w:tcPr>
            <w:tcW w:w="76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0A54E9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主管部门名称</w:t>
            </w:r>
          </w:p>
        </w:tc>
        <w:tc>
          <w:tcPr>
            <w:tcW w:w="901"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C485F6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tc>
        <w:tc>
          <w:tcPr>
            <w:tcW w:w="703"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655862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立项依据</w:t>
            </w:r>
          </w:p>
        </w:tc>
        <w:tc>
          <w:tcPr>
            <w:tcW w:w="75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82F8DC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执行年限</w:t>
            </w:r>
          </w:p>
        </w:tc>
        <w:tc>
          <w:tcPr>
            <w:tcW w:w="75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CEBC9C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实施规划</w:t>
            </w:r>
          </w:p>
        </w:tc>
        <w:tc>
          <w:tcPr>
            <w:tcW w:w="75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40BA1F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总体绩效目标</w:t>
            </w:r>
          </w:p>
        </w:tc>
        <w:tc>
          <w:tcPr>
            <w:tcW w:w="75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A7527A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支出级次</w:t>
            </w:r>
          </w:p>
        </w:tc>
        <w:tc>
          <w:tcPr>
            <w:tcW w:w="3078" w:type="dxa"/>
            <w:gridSpan w:val="4"/>
            <w:tcBorders>
              <w:top w:val="single" w:color="auto" w:sz="4" w:space="0"/>
              <w:left w:val="nil"/>
              <w:bottom w:val="single" w:color="auto" w:sz="4" w:space="0"/>
              <w:right w:val="single" w:color="auto" w:sz="4" w:space="0"/>
            </w:tcBorders>
            <w:shd w:val="clear" w:color="auto" w:fill="auto"/>
            <w:vAlign w:val="center"/>
          </w:tcPr>
          <w:p w14:paraId="16A5E4D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853"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A99ADE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tc>
      </w:tr>
      <w:tr w14:paraId="75AF3CC1">
        <w:tblPrEx>
          <w:tblCellMar>
            <w:top w:w="0" w:type="dxa"/>
            <w:left w:w="108" w:type="dxa"/>
            <w:bottom w:w="0" w:type="dxa"/>
            <w:right w:w="108" w:type="dxa"/>
          </w:tblCellMar>
        </w:tblPrEx>
        <w:trPr>
          <w:trHeight w:val="759" w:hRule="atLeast"/>
        </w:trPr>
        <w:tc>
          <w:tcPr>
            <w:tcW w:w="765" w:type="dxa"/>
            <w:vMerge w:val="continue"/>
            <w:tcBorders>
              <w:top w:val="single" w:color="auto" w:sz="4" w:space="0"/>
              <w:left w:val="single" w:color="auto" w:sz="4" w:space="0"/>
              <w:bottom w:val="single" w:color="000000" w:sz="4" w:space="0"/>
              <w:right w:val="single" w:color="auto" w:sz="4" w:space="0"/>
            </w:tcBorders>
            <w:vAlign w:val="center"/>
          </w:tcPr>
          <w:p w14:paraId="5BC686B5">
            <w:pPr>
              <w:widowControl/>
              <w:spacing w:line="240" w:lineRule="auto"/>
              <w:jc w:val="left"/>
              <w:rPr>
                <w:rFonts w:ascii="宋体" w:hAnsi="宋体" w:eastAsia="宋体" w:cs="宋体"/>
                <w:b/>
                <w:bCs/>
                <w:color w:val="000000"/>
                <w:kern w:val="0"/>
                <w:sz w:val="22"/>
              </w:rPr>
            </w:pPr>
          </w:p>
        </w:tc>
        <w:tc>
          <w:tcPr>
            <w:tcW w:w="901" w:type="dxa"/>
            <w:vMerge w:val="continue"/>
            <w:tcBorders>
              <w:top w:val="single" w:color="auto" w:sz="4" w:space="0"/>
              <w:left w:val="single" w:color="auto" w:sz="4" w:space="0"/>
              <w:bottom w:val="single" w:color="000000" w:sz="4" w:space="0"/>
              <w:right w:val="single" w:color="auto" w:sz="4" w:space="0"/>
            </w:tcBorders>
            <w:vAlign w:val="center"/>
          </w:tcPr>
          <w:p w14:paraId="35E07088">
            <w:pPr>
              <w:widowControl/>
              <w:spacing w:line="240" w:lineRule="auto"/>
              <w:jc w:val="left"/>
              <w:rPr>
                <w:rFonts w:ascii="宋体" w:hAnsi="宋体" w:eastAsia="宋体" w:cs="宋体"/>
                <w:b/>
                <w:bCs/>
                <w:color w:val="000000"/>
                <w:kern w:val="0"/>
                <w:sz w:val="22"/>
              </w:rPr>
            </w:pPr>
          </w:p>
        </w:tc>
        <w:tc>
          <w:tcPr>
            <w:tcW w:w="703" w:type="dxa"/>
            <w:vMerge w:val="continue"/>
            <w:tcBorders>
              <w:top w:val="single" w:color="auto" w:sz="4" w:space="0"/>
              <w:left w:val="single" w:color="auto" w:sz="4" w:space="0"/>
              <w:bottom w:val="single" w:color="000000" w:sz="4" w:space="0"/>
              <w:right w:val="single" w:color="auto" w:sz="4" w:space="0"/>
            </w:tcBorders>
            <w:vAlign w:val="center"/>
          </w:tcPr>
          <w:p w14:paraId="1DD530E8">
            <w:pPr>
              <w:widowControl/>
              <w:spacing w:line="240" w:lineRule="auto"/>
              <w:jc w:val="left"/>
              <w:rPr>
                <w:rFonts w:ascii="宋体" w:hAnsi="宋体" w:eastAsia="宋体" w:cs="宋体"/>
                <w:b/>
                <w:bCs/>
                <w:color w:val="000000"/>
                <w:kern w:val="0"/>
                <w:sz w:val="22"/>
              </w:rPr>
            </w:pPr>
          </w:p>
        </w:tc>
        <w:tc>
          <w:tcPr>
            <w:tcW w:w="755" w:type="dxa"/>
            <w:vMerge w:val="continue"/>
            <w:tcBorders>
              <w:top w:val="single" w:color="auto" w:sz="4" w:space="0"/>
              <w:left w:val="single" w:color="auto" w:sz="4" w:space="0"/>
              <w:bottom w:val="single" w:color="000000" w:sz="4" w:space="0"/>
              <w:right w:val="single" w:color="auto" w:sz="4" w:space="0"/>
            </w:tcBorders>
            <w:vAlign w:val="center"/>
          </w:tcPr>
          <w:p w14:paraId="0BBD8906">
            <w:pPr>
              <w:widowControl/>
              <w:spacing w:line="240" w:lineRule="auto"/>
              <w:jc w:val="left"/>
              <w:rPr>
                <w:rFonts w:ascii="宋体" w:hAnsi="宋体" w:eastAsia="宋体" w:cs="宋体"/>
                <w:b/>
                <w:bCs/>
                <w:color w:val="000000"/>
                <w:kern w:val="0"/>
                <w:sz w:val="22"/>
              </w:rPr>
            </w:pPr>
          </w:p>
        </w:tc>
        <w:tc>
          <w:tcPr>
            <w:tcW w:w="755" w:type="dxa"/>
            <w:vMerge w:val="continue"/>
            <w:tcBorders>
              <w:top w:val="single" w:color="auto" w:sz="4" w:space="0"/>
              <w:left w:val="single" w:color="auto" w:sz="4" w:space="0"/>
              <w:bottom w:val="single" w:color="000000" w:sz="4" w:space="0"/>
              <w:right w:val="single" w:color="auto" w:sz="4" w:space="0"/>
            </w:tcBorders>
            <w:vAlign w:val="center"/>
          </w:tcPr>
          <w:p w14:paraId="76E0134A">
            <w:pPr>
              <w:widowControl/>
              <w:spacing w:line="240" w:lineRule="auto"/>
              <w:jc w:val="left"/>
              <w:rPr>
                <w:rFonts w:ascii="宋体" w:hAnsi="宋体" w:eastAsia="宋体" w:cs="宋体"/>
                <w:b/>
                <w:bCs/>
                <w:color w:val="000000"/>
                <w:kern w:val="0"/>
                <w:sz w:val="22"/>
              </w:rPr>
            </w:pPr>
          </w:p>
        </w:tc>
        <w:tc>
          <w:tcPr>
            <w:tcW w:w="755" w:type="dxa"/>
            <w:vMerge w:val="continue"/>
            <w:tcBorders>
              <w:top w:val="single" w:color="auto" w:sz="4" w:space="0"/>
              <w:left w:val="single" w:color="auto" w:sz="4" w:space="0"/>
              <w:bottom w:val="single" w:color="000000" w:sz="4" w:space="0"/>
              <w:right w:val="single" w:color="auto" w:sz="4" w:space="0"/>
            </w:tcBorders>
            <w:vAlign w:val="center"/>
          </w:tcPr>
          <w:p w14:paraId="658B64D9">
            <w:pPr>
              <w:widowControl/>
              <w:spacing w:line="240" w:lineRule="auto"/>
              <w:jc w:val="left"/>
              <w:rPr>
                <w:rFonts w:ascii="宋体" w:hAnsi="宋体" w:eastAsia="宋体" w:cs="宋体"/>
                <w:b/>
                <w:bCs/>
                <w:color w:val="000000"/>
                <w:kern w:val="0"/>
                <w:sz w:val="22"/>
              </w:rPr>
            </w:pPr>
          </w:p>
        </w:tc>
        <w:tc>
          <w:tcPr>
            <w:tcW w:w="755" w:type="dxa"/>
            <w:vMerge w:val="continue"/>
            <w:tcBorders>
              <w:top w:val="single" w:color="auto" w:sz="4" w:space="0"/>
              <w:left w:val="single" w:color="auto" w:sz="4" w:space="0"/>
              <w:bottom w:val="single" w:color="000000" w:sz="4" w:space="0"/>
              <w:right w:val="single" w:color="auto" w:sz="4" w:space="0"/>
            </w:tcBorders>
            <w:vAlign w:val="center"/>
          </w:tcPr>
          <w:p w14:paraId="15746640">
            <w:pPr>
              <w:widowControl/>
              <w:spacing w:line="240" w:lineRule="auto"/>
              <w:jc w:val="left"/>
              <w:rPr>
                <w:rFonts w:ascii="宋体" w:hAnsi="宋体" w:eastAsia="宋体" w:cs="宋体"/>
                <w:b/>
                <w:bCs/>
                <w:color w:val="000000"/>
                <w:kern w:val="0"/>
                <w:sz w:val="22"/>
              </w:rPr>
            </w:pPr>
          </w:p>
        </w:tc>
        <w:tc>
          <w:tcPr>
            <w:tcW w:w="692" w:type="dxa"/>
            <w:tcBorders>
              <w:top w:val="nil"/>
              <w:left w:val="nil"/>
              <w:bottom w:val="single" w:color="auto" w:sz="4" w:space="0"/>
              <w:right w:val="single" w:color="auto" w:sz="4" w:space="0"/>
            </w:tcBorders>
            <w:shd w:val="clear" w:color="auto" w:fill="auto"/>
            <w:vAlign w:val="center"/>
          </w:tcPr>
          <w:p w14:paraId="59DE234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798" w:type="dxa"/>
            <w:tcBorders>
              <w:top w:val="nil"/>
              <w:left w:val="nil"/>
              <w:bottom w:val="single" w:color="auto" w:sz="4" w:space="0"/>
              <w:right w:val="single" w:color="auto" w:sz="4" w:space="0"/>
            </w:tcBorders>
            <w:shd w:val="clear" w:color="auto" w:fill="auto"/>
            <w:vAlign w:val="center"/>
          </w:tcPr>
          <w:p w14:paraId="7009BA5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798" w:type="dxa"/>
            <w:tcBorders>
              <w:top w:val="single" w:color="auto" w:sz="4" w:space="0"/>
              <w:left w:val="nil"/>
              <w:bottom w:val="single" w:color="auto" w:sz="4" w:space="0"/>
              <w:right w:val="single" w:color="auto" w:sz="4" w:space="0"/>
            </w:tcBorders>
            <w:shd w:val="clear" w:color="auto" w:fill="auto"/>
            <w:vAlign w:val="center"/>
          </w:tcPr>
          <w:p w14:paraId="6E1C239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790" w:type="dxa"/>
            <w:tcBorders>
              <w:top w:val="single" w:color="auto" w:sz="4" w:space="0"/>
              <w:left w:val="single" w:color="auto" w:sz="4" w:space="0"/>
              <w:bottom w:val="single" w:color="auto" w:sz="4" w:space="0"/>
              <w:right w:val="single" w:color="auto" w:sz="4" w:space="0"/>
            </w:tcBorders>
          </w:tcPr>
          <w:p w14:paraId="4830C8A4">
            <w:pPr>
              <w:widowControl/>
              <w:spacing w:line="240" w:lineRule="auto"/>
              <w:jc w:val="left"/>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853" w:type="dxa"/>
            <w:vMerge w:val="continue"/>
            <w:tcBorders>
              <w:top w:val="single" w:color="auto" w:sz="4" w:space="0"/>
              <w:left w:val="single" w:color="auto" w:sz="4" w:space="0"/>
              <w:bottom w:val="single" w:color="auto" w:sz="4" w:space="0"/>
              <w:right w:val="single" w:color="auto" w:sz="4" w:space="0"/>
            </w:tcBorders>
            <w:vAlign w:val="center"/>
          </w:tcPr>
          <w:p w14:paraId="44FE542E">
            <w:pPr>
              <w:widowControl/>
              <w:spacing w:line="240" w:lineRule="auto"/>
              <w:jc w:val="left"/>
              <w:rPr>
                <w:rFonts w:ascii="宋体" w:hAnsi="宋体" w:eastAsia="宋体" w:cs="宋体"/>
                <w:b/>
                <w:bCs/>
                <w:color w:val="000000"/>
                <w:kern w:val="0"/>
                <w:sz w:val="22"/>
              </w:rPr>
            </w:pPr>
          </w:p>
        </w:tc>
      </w:tr>
      <w:tr w14:paraId="73D020A9">
        <w:tblPrEx>
          <w:tblCellMar>
            <w:top w:w="0" w:type="dxa"/>
            <w:left w:w="108" w:type="dxa"/>
            <w:bottom w:w="0" w:type="dxa"/>
            <w:right w:w="108" w:type="dxa"/>
          </w:tblCellMar>
        </w:tblPrEx>
        <w:trPr>
          <w:trHeight w:val="646" w:hRule="atLeast"/>
        </w:trPr>
        <w:tc>
          <w:tcPr>
            <w:tcW w:w="765" w:type="dxa"/>
            <w:tcBorders>
              <w:top w:val="nil"/>
              <w:left w:val="single" w:color="auto" w:sz="4" w:space="0"/>
              <w:bottom w:val="single" w:color="auto" w:sz="4" w:space="0"/>
              <w:right w:val="single" w:color="auto" w:sz="4" w:space="0"/>
            </w:tcBorders>
            <w:shd w:val="clear" w:color="auto" w:fill="auto"/>
            <w:noWrap/>
            <w:vAlign w:val="bottom"/>
          </w:tcPr>
          <w:p w14:paraId="47CD5D8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901" w:type="dxa"/>
            <w:tcBorders>
              <w:top w:val="nil"/>
              <w:left w:val="nil"/>
              <w:bottom w:val="single" w:color="auto" w:sz="4" w:space="0"/>
              <w:right w:val="single" w:color="auto" w:sz="4" w:space="0"/>
            </w:tcBorders>
            <w:shd w:val="clear" w:color="auto" w:fill="auto"/>
            <w:noWrap/>
            <w:vAlign w:val="bottom"/>
          </w:tcPr>
          <w:p w14:paraId="45AF188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03" w:type="dxa"/>
            <w:tcBorders>
              <w:top w:val="nil"/>
              <w:left w:val="nil"/>
              <w:bottom w:val="single" w:color="auto" w:sz="4" w:space="0"/>
              <w:right w:val="single" w:color="auto" w:sz="4" w:space="0"/>
            </w:tcBorders>
            <w:shd w:val="clear" w:color="auto" w:fill="auto"/>
            <w:noWrap/>
            <w:vAlign w:val="bottom"/>
          </w:tcPr>
          <w:p w14:paraId="385A33B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55" w:type="dxa"/>
            <w:tcBorders>
              <w:top w:val="nil"/>
              <w:left w:val="nil"/>
              <w:bottom w:val="single" w:color="auto" w:sz="4" w:space="0"/>
              <w:right w:val="single" w:color="auto" w:sz="4" w:space="0"/>
            </w:tcBorders>
            <w:shd w:val="clear" w:color="auto" w:fill="auto"/>
            <w:noWrap/>
            <w:vAlign w:val="bottom"/>
          </w:tcPr>
          <w:p w14:paraId="2CD298B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55" w:type="dxa"/>
            <w:tcBorders>
              <w:top w:val="nil"/>
              <w:left w:val="nil"/>
              <w:bottom w:val="single" w:color="auto" w:sz="4" w:space="0"/>
              <w:right w:val="single" w:color="auto" w:sz="4" w:space="0"/>
            </w:tcBorders>
            <w:shd w:val="clear" w:color="auto" w:fill="auto"/>
            <w:noWrap/>
            <w:vAlign w:val="bottom"/>
          </w:tcPr>
          <w:p w14:paraId="21BDF76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55" w:type="dxa"/>
            <w:tcBorders>
              <w:top w:val="nil"/>
              <w:left w:val="nil"/>
              <w:bottom w:val="single" w:color="auto" w:sz="4" w:space="0"/>
              <w:right w:val="single" w:color="auto" w:sz="4" w:space="0"/>
            </w:tcBorders>
            <w:shd w:val="clear" w:color="auto" w:fill="auto"/>
            <w:noWrap/>
            <w:vAlign w:val="bottom"/>
          </w:tcPr>
          <w:p w14:paraId="12A603B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55" w:type="dxa"/>
            <w:tcBorders>
              <w:top w:val="nil"/>
              <w:left w:val="nil"/>
              <w:bottom w:val="single" w:color="auto" w:sz="4" w:space="0"/>
              <w:right w:val="single" w:color="auto" w:sz="4" w:space="0"/>
            </w:tcBorders>
            <w:shd w:val="clear" w:color="auto" w:fill="auto"/>
            <w:noWrap/>
            <w:vAlign w:val="bottom"/>
          </w:tcPr>
          <w:p w14:paraId="112DD1D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692" w:type="dxa"/>
            <w:tcBorders>
              <w:top w:val="nil"/>
              <w:left w:val="nil"/>
              <w:bottom w:val="single" w:color="auto" w:sz="4" w:space="0"/>
              <w:right w:val="single" w:color="auto" w:sz="4" w:space="0"/>
            </w:tcBorders>
            <w:shd w:val="clear" w:color="auto" w:fill="auto"/>
            <w:noWrap/>
            <w:vAlign w:val="bottom"/>
          </w:tcPr>
          <w:p w14:paraId="62745C4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98" w:type="dxa"/>
            <w:tcBorders>
              <w:top w:val="nil"/>
              <w:left w:val="nil"/>
              <w:bottom w:val="single" w:color="auto" w:sz="4" w:space="0"/>
              <w:right w:val="single" w:color="auto" w:sz="4" w:space="0"/>
            </w:tcBorders>
            <w:shd w:val="clear" w:color="auto" w:fill="auto"/>
            <w:noWrap/>
            <w:vAlign w:val="bottom"/>
          </w:tcPr>
          <w:p w14:paraId="56D34B1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98" w:type="dxa"/>
            <w:tcBorders>
              <w:top w:val="single" w:color="auto" w:sz="4" w:space="0"/>
              <w:left w:val="nil"/>
              <w:bottom w:val="single" w:color="auto" w:sz="4" w:space="0"/>
              <w:right w:val="single" w:color="auto" w:sz="4" w:space="0"/>
            </w:tcBorders>
            <w:shd w:val="clear" w:color="auto" w:fill="auto"/>
            <w:noWrap/>
            <w:vAlign w:val="bottom"/>
          </w:tcPr>
          <w:p w14:paraId="7D97590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90" w:type="dxa"/>
            <w:tcBorders>
              <w:top w:val="single" w:color="auto" w:sz="4" w:space="0"/>
              <w:left w:val="single" w:color="auto" w:sz="4" w:space="0"/>
              <w:bottom w:val="single" w:color="auto" w:sz="4" w:space="0"/>
              <w:right w:val="single" w:color="auto" w:sz="4" w:space="0"/>
            </w:tcBorders>
          </w:tcPr>
          <w:p w14:paraId="495055FC">
            <w:pPr>
              <w:widowControl/>
              <w:spacing w:line="240" w:lineRule="auto"/>
              <w:jc w:val="left"/>
              <w:rPr>
                <w:rFonts w:ascii="宋体" w:hAnsi="宋体" w:eastAsia="宋体" w:cs="宋体"/>
                <w:kern w:val="0"/>
                <w:sz w:val="24"/>
                <w:szCs w:val="24"/>
              </w:rPr>
            </w:pPr>
          </w:p>
        </w:tc>
        <w:tc>
          <w:tcPr>
            <w:tcW w:w="85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B7B20F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6DF99243">
        <w:tblPrEx>
          <w:tblCellMar>
            <w:top w:w="0" w:type="dxa"/>
            <w:left w:w="108" w:type="dxa"/>
            <w:bottom w:w="0" w:type="dxa"/>
            <w:right w:w="108" w:type="dxa"/>
          </w:tblCellMar>
        </w:tblPrEx>
        <w:trPr>
          <w:trHeight w:val="656" w:hRule="atLeast"/>
        </w:trPr>
        <w:tc>
          <w:tcPr>
            <w:tcW w:w="765" w:type="dxa"/>
            <w:tcBorders>
              <w:top w:val="nil"/>
              <w:left w:val="single" w:color="auto" w:sz="4" w:space="0"/>
              <w:bottom w:val="single" w:color="auto" w:sz="4" w:space="0"/>
              <w:right w:val="single" w:color="auto" w:sz="4" w:space="0"/>
            </w:tcBorders>
            <w:shd w:val="clear" w:color="auto" w:fill="auto"/>
            <w:noWrap/>
            <w:vAlign w:val="bottom"/>
          </w:tcPr>
          <w:p w14:paraId="38D319A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901" w:type="dxa"/>
            <w:tcBorders>
              <w:top w:val="nil"/>
              <w:left w:val="nil"/>
              <w:bottom w:val="single" w:color="auto" w:sz="4" w:space="0"/>
              <w:right w:val="single" w:color="auto" w:sz="4" w:space="0"/>
            </w:tcBorders>
            <w:shd w:val="clear" w:color="auto" w:fill="auto"/>
            <w:noWrap/>
            <w:vAlign w:val="bottom"/>
          </w:tcPr>
          <w:p w14:paraId="2C5B58F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03" w:type="dxa"/>
            <w:tcBorders>
              <w:top w:val="nil"/>
              <w:left w:val="nil"/>
              <w:bottom w:val="single" w:color="auto" w:sz="4" w:space="0"/>
              <w:right w:val="single" w:color="auto" w:sz="4" w:space="0"/>
            </w:tcBorders>
            <w:shd w:val="clear" w:color="auto" w:fill="auto"/>
            <w:noWrap/>
            <w:vAlign w:val="bottom"/>
          </w:tcPr>
          <w:p w14:paraId="1F76549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55" w:type="dxa"/>
            <w:tcBorders>
              <w:top w:val="nil"/>
              <w:left w:val="nil"/>
              <w:bottom w:val="single" w:color="auto" w:sz="4" w:space="0"/>
              <w:right w:val="single" w:color="auto" w:sz="4" w:space="0"/>
            </w:tcBorders>
            <w:shd w:val="clear" w:color="auto" w:fill="auto"/>
            <w:noWrap/>
            <w:vAlign w:val="bottom"/>
          </w:tcPr>
          <w:p w14:paraId="3D1F6B5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55" w:type="dxa"/>
            <w:tcBorders>
              <w:top w:val="nil"/>
              <w:left w:val="nil"/>
              <w:bottom w:val="single" w:color="auto" w:sz="4" w:space="0"/>
              <w:right w:val="single" w:color="auto" w:sz="4" w:space="0"/>
            </w:tcBorders>
            <w:shd w:val="clear" w:color="auto" w:fill="auto"/>
            <w:noWrap/>
            <w:vAlign w:val="bottom"/>
          </w:tcPr>
          <w:p w14:paraId="3B1A284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55" w:type="dxa"/>
            <w:tcBorders>
              <w:top w:val="nil"/>
              <w:left w:val="nil"/>
              <w:bottom w:val="single" w:color="auto" w:sz="4" w:space="0"/>
              <w:right w:val="single" w:color="auto" w:sz="4" w:space="0"/>
            </w:tcBorders>
            <w:shd w:val="clear" w:color="auto" w:fill="auto"/>
            <w:noWrap/>
            <w:vAlign w:val="bottom"/>
          </w:tcPr>
          <w:p w14:paraId="359513B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55" w:type="dxa"/>
            <w:tcBorders>
              <w:top w:val="nil"/>
              <w:left w:val="nil"/>
              <w:bottom w:val="single" w:color="auto" w:sz="4" w:space="0"/>
              <w:right w:val="single" w:color="auto" w:sz="4" w:space="0"/>
            </w:tcBorders>
            <w:shd w:val="clear" w:color="auto" w:fill="auto"/>
            <w:noWrap/>
            <w:vAlign w:val="bottom"/>
          </w:tcPr>
          <w:p w14:paraId="62159ED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692" w:type="dxa"/>
            <w:tcBorders>
              <w:top w:val="nil"/>
              <w:left w:val="nil"/>
              <w:bottom w:val="single" w:color="auto" w:sz="4" w:space="0"/>
              <w:right w:val="single" w:color="auto" w:sz="4" w:space="0"/>
            </w:tcBorders>
            <w:shd w:val="clear" w:color="auto" w:fill="auto"/>
            <w:noWrap/>
            <w:vAlign w:val="bottom"/>
          </w:tcPr>
          <w:p w14:paraId="3CF8B0B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98" w:type="dxa"/>
            <w:tcBorders>
              <w:top w:val="nil"/>
              <w:left w:val="nil"/>
              <w:bottom w:val="single" w:color="auto" w:sz="4" w:space="0"/>
              <w:right w:val="single" w:color="auto" w:sz="4" w:space="0"/>
            </w:tcBorders>
            <w:shd w:val="clear" w:color="auto" w:fill="auto"/>
            <w:noWrap/>
            <w:vAlign w:val="bottom"/>
          </w:tcPr>
          <w:p w14:paraId="206BE24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98" w:type="dxa"/>
            <w:tcBorders>
              <w:top w:val="single" w:color="auto" w:sz="4" w:space="0"/>
              <w:left w:val="nil"/>
              <w:bottom w:val="single" w:color="auto" w:sz="4" w:space="0"/>
              <w:right w:val="single" w:color="auto" w:sz="4" w:space="0"/>
            </w:tcBorders>
            <w:shd w:val="clear" w:color="auto" w:fill="auto"/>
            <w:noWrap/>
            <w:vAlign w:val="bottom"/>
          </w:tcPr>
          <w:p w14:paraId="5CA2C9B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90" w:type="dxa"/>
            <w:tcBorders>
              <w:top w:val="single" w:color="auto" w:sz="4" w:space="0"/>
              <w:left w:val="single" w:color="auto" w:sz="4" w:space="0"/>
              <w:bottom w:val="single" w:color="auto" w:sz="4" w:space="0"/>
              <w:right w:val="single" w:color="auto" w:sz="4" w:space="0"/>
            </w:tcBorders>
          </w:tcPr>
          <w:p w14:paraId="727C2A44">
            <w:pPr>
              <w:widowControl/>
              <w:spacing w:line="240" w:lineRule="auto"/>
              <w:jc w:val="left"/>
              <w:rPr>
                <w:rFonts w:ascii="宋体" w:hAnsi="宋体" w:eastAsia="宋体" w:cs="宋体"/>
                <w:kern w:val="0"/>
                <w:sz w:val="24"/>
                <w:szCs w:val="24"/>
              </w:rPr>
            </w:pPr>
          </w:p>
        </w:tc>
        <w:tc>
          <w:tcPr>
            <w:tcW w:w="85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298C0C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6396CD20">
      <w:pPr>
        <w:pStyle w:val="2"/>
        <w:jc w:val="center"/>
        <w:rPr>
          <w:rFonts w:ascii="黑体" w:hAnsi="黑体" w:eastAsia="黑体"/>
          <w:sz w:val="36"/>
          <w:szCs w:val="36"/>
          <w:lang w:eastAsia="zh-CN"/>
        </w:rPr>
      </w:pPr>
    </w:p>
    <w:p w14:paraId="286996E3">
      <w:pPr>
        <w:pStyle w:val="2"/>
        <w:jc w:val="center"/>
        <w:rPr>
          <w:rFonts w:ascii="黑体" w:hAnsi="黑体" w:eastAsia="黑体"/>
          <w:sz w:val="36"/>
          <w:szCs w:val="36"/>
          <w:lang w:eastAsia="zh-CN"/>
        </w:rPr>
      </w:pPr>
      <w:bookmarkStart w:id="0" w:name="_GoBack"/>
      <w:bookmarkEnd w:id="0"/>
    </w:p>
    <w:p w14:paraId="7AB4BE5A">
      <w:pPr>
        <w:pStyle w:val="2"/>
        <w:jc w:val="center"/>
        <w:rPr>
          <w:rFonts w:ascii="黑体" w:hAnsi="黑体" w:eastAsia="黑体"/>
          <w:sz w:val="36"/>
          <w:szCs w:val="36"/>
          <w:lang w:eastAsia="zh-CN"/>
        </w:rPr>
      </w:pPr>
    </w:p>
    <w:p w14:paraId="5A1254B3">
      <w:pPr>
        <w:pStyle w:val="2"/>
        <w:jc w:val="center"/>
        <w:rPr>
          <w:rFonts w:ascii="黑体" w:hAnsi="黑体" w:eastAsia="黑体"/>
          <w:sz w:val="36"/>
          <w:szCs w:val="36"/>
          <w:lang w:eastAsia="zh-CN"/>
        </w:rPr>
      </w:pPr>
    </w:p>
    <w:p w14:paraId="14ABD3B9">
      <w:pPr>
        <w:pStyle w:val="2"/>
        <w:jc w:val="center"/>
        <w:rPr>
          <w:rFonts w:ascii="黑体" w:hAnsi="黑体" w:eastAsia="黑体"/>
          <w:sz w:val="36"/>
          <w:szCs w:val="36"/>
          <w:lang w:eastAsia="zh-CN"/>
        </w:rPr>
      </w:pPr>
    </w:p>
    <w:p w14:paraId="4E4C7659">
      <w:pPr>
        <w:pStyle w:val="2"/>
        <w:jc w:val="center"/>
        <w:rPr>
          <w:rFonts w:ascii="黑体" w:hAnsi="黑体" w:eastAsia="黑体"/>
          <w:sz w:val="36"/>
          <w:szCs w:val="36"/>
          <w:lang w:eastAsia="zh-CN"/>
        </w:rPr>
      </w:pPr>
    </w:p>
    <w:p w14:paraId="26A7A815">
      <w:pPr>
        <w:pStyle w:val="2"/>
        <w:jc w:val="center"/>
        <w:rPr>
          <w:rFonts w:ascii="黑体" w:hAnsi="黑体" w:eastAsia="黑体"/>
          <w:sz w:val="36"/>
          <w:szCs w:val="36"/>
          <w:lang w:eastAsia="zh-CN"/>
        </w:rPr>
      </w:pPr>
    </w:p>
    <w:p w14:paraId="4ADE5392">
      <w:pPr>
        <w:pStyle w:val="2"/>
        <w:jc w:val="center"/>
        <w:rPr>
          <w:rFonts w:ascii="黑体" w:hAnsi="黑体" w:eastAsia="黑体"/>
          <w:sz w:val="36"/>
          <w:szCs w:val="36"/>
          <w:lang w:eastAsia="zh-CN"/>
        </w:rPr>
      </w:pPr>
    </w:p>
    <w:p w14:paraId="527B4EB3">
      <w:pPr>
        <w:pStyle w:val="2"/>
        <w:rPr>
          <w:rFonts w:ascii="黑体" w:hAnsi="黑体" w:eastAsia="黑体"/>
          <w:sz w:val="56"/>
          <w:szCs w:val="36"/>
          <w:lang w:eastAsia="zh-CN"/>
        </w:rPr>
      </w:pPr>
      <w:r>
        <w:rPr>
          <w:rFonts w:hint="eastAsia" w:ascii="黑体" w:hAnsi="黑体" w:eastAsia="黑体"/>
          <w:sz w:val="56"/>
          <w:szCs w:val="36"/>
          <w:lang w:eastAsia="zh-CN"/>
        </w:rPr>
        <w:t>第三部分</w:t>
      </w:r>
      <w:r>
        <w:rPr>
          <w:rFonts w:ascii="黑体" w:hAnsi="黑体" w:eastAsia="黑体"/>
          <w:sz w:val="56"/>
          <w:szCs w:val="36"/>
          <w:lang w:eastAsia="zh-CN"/>
        </w:rPr>
        <w:t xml:space="preserve"> </w:t>
      </w:r>
    </w:p>
    <w:p w14:paraId="5C573083">
      <w:pPr>
        <w:pStyle w:val="2"/>
        <w:jc w:val="center"/>
        <w:rPr>
          <w:rFonts w:ascii="黑体" w:hAnsi="黑体" w:eastAsia="黑体"/>
          <w:sz w:val="56"/>
          <w:szCs w:val="36"/>
          <w:lang w:eastAsia="zh-CN"/>
        </w:rPr>
      </w:pPr>
      <w:r>
        <w:rPr>
          <w:rFonts w:hint="eastAsia" w:ascii="黑体" w:hAnsi="黑体" w:eastAsia="黑体"/>
          <w:sz w:val="56"/>
          <w:szCs w:val="36"/>
          <w:lang w:eastAsia="zh-CN"/>
        </w:rPr>
        <w:t>2026年度单位预算情况说明</w:t>
      </w:r>
    </w:p>
    <w:p w14:paraId="196EB889">
      <w:pPr>
        <w:ind w:firstLine="640" w:firstLineChars="200"/>
        <w:rPr>
          <w:rFonts w:ascii="仿宋" w:hAnsi="仿宋" w:eastAsia="仿宋" w:cs="仿宋_GB2312"/>
          <w:sz w:val="32"/>
          <w:szCs w:val="32"/>
        </w:rPr>
      </w:pPr>
    </w:p>
    <w:p w14:paraId="722B87D9">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3C1174FC">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一、预算收支总体情况</w:t>
      </w:r>
    </w:p>
    <w:p w14:paraId="42B957B5">
      <w:pPr>
        <w:tabs>
          <w:tab w:val="left" w:pos="7513"/>
        </w:tabs>
        <w:adjustRightInd w:val="0"/>
        <w:snapToGrid w:val="0"/>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按照综合预算的原则，单位所有收入和支出均纳入单位预算管理。</w:t>
      </w:r>
      <w:r>
        <w:rPr>
          <w:rFonts w:hint="eastAsia" w:ascii="仿宋" w:hAnsi="仿宋" w:eastAsia="仿宋"/>
          <w:sz w:val="32"/>
          <w:szCs w:val="32"/>
          <w:lang w:val="en-US" w:eastAsia="zh-CN"/>
        </w:rPr>
        <w:t>2026</w:t>
      </w:r>
      <w:r>
        <w:rPr>
          <w:rFonts w:hint="eastAsia" w:ascii="仿宋" w:hAnsi="仿宋" w:eastAsia="仿宋"/>
          <w:sz w:val="32"/>
          <w:szCs w:val="32"/>
        </w:rPr>
        <w:t>年，</w:t>
      </w:r>
      <w:r>
        <w:rPr>
          <w:rFonts w:hint="eastAsia" w:ascii="仿宋" w:hAnsi="仿宋" w:eastAsia="仿宋" w:cs="仿宋_GB2312"/>
          <w:sz w:val="32"/>
          <w:szCs w:val="32"/>
          <w:lang w:val="en-US" w:eastAsia="zh-CN"/>
        </w:rPr>
        <w:t>漳平市第二实验小学</w:t>
      </w:r>
      <w:r>
        <w:rPr>
          <w:rFonts w:hint="eastAsia" w:ascii="仿宋" w:hAnsi="仿宋" w:eastAsia="仿宋"/>
          <w:sz w:val="32"/>
          <w:szCs w:val="32"/>
        </w:rPr>
        <w:t>收入预算为811.65万元，比上年增加</w:t>
      </w:r>
      <w:r>
        <w:rPr>
          <w:rFonts w:hint="eastAsia" w:ascii="仿宋" w:hAnsi="仿宋" w:eastAsia="仿宋"/>
          <w:sz w:val="32"/>
          <w:szCs w:val="32"/>
          <w:lang w:val="en-US" w:eastAsia="zh-CN"/>
        </w:rPr>
        <w:t>31.51</w:t>
      </w:r>
      <w:r>
        <w:rPr>
          <w:rFonts w:hint="eastAsia" w:ascii="仿宋" w:hAnsi="仿宋" w:eastAsia="仿宋"/>
          <w:sz w:val="32"/>
          <w:szCs w:val="32"/>
        </w:rPr>
        <w:t>万元，主要原因是</w:t>
      </w:r>
      <w:r>
        <w:rPr>
          <w:rFonts w:hint="eastAsia" w:ascii="仿宋" w:hAnsi="仿宋" w:eastAsia="仿宋" w:cs="仿宋_GB2312"/>
          <w:sz w:val="32"/>
          <w:szCs w:val="32"/>
          <w:lang w:val="en-US" w:eastAsia="zh-CN"/>
        </w:rPr>
        <w:t>2024年调整基本工资三金纳入预算</w:t>
      </w:r>
      <w:r>
        <w:rPr>
          <w:rFonts w:hint="eastAsia" w:ascii="仿宋" w:hAnsi="仿宋" w:eastAsia="仿宋" w:cs="仿宋_GB2312"/>
          <w:sz w:val="32"/>
          <w:szCs w:val="32"/>
        </w:rPr>
        <w:t>。</w:t>
      </w:r>
      <w:r>
        <w:rPr>
          <w:rFonts w:hint="eastAsia" w:ascii="仿宋" w:hAnsi="仿宋" w:eastAsia="仿宋"/>
          <w:sz w:val="32"/>
          <w:szCs w:val="32"/>
        </w:rPr>
        <w:t>其中：一般公共预算拨款收入</w:t>
      </w:r>
      <w:r>
        <w:rPr>
          <w:rFonts w:hint="eastAsia" w:ascii="仿宋" w:hAnsi="仿宋" w:eastAsia="仿宋" w:cs="仿宋_GB2312"/>
          <w:sz w:val="32"/>
          <w:szCs w:val="32"/>
          <w:lang w:val="en-US" w:eastAsia="zh-CN"/>
        </w:rPr>
        <w:t>811.65</w:t>
      </w:r>
      <w:r>
        <w:rPr>
          <w:rFonts w:hint="eastAsia" w:ascii="仿宋" w:hAnsi="仿宋" w:eastAsia="仿宋"/>
          <w:sz w:val="32"/>
          <w:szCs w:val="32"/>
        </w:rPr>
        <w:t>万元</w:t>
      </w:r>
      <w:r>
        <w:rPr>
          <w:rFonts w:hint="eastAsia" w:ascii="仿宋" w:hAnsi="仿宋" w:eastAsia="仿宋"/>
          <w:sz w:val="32"/>
          <w:szCs w:val="32"/>
          <w:lang w:eastAsia="zh-CN"/>
        </w:rPr>
        <w:t>。</w:t>
      </w:r>
    </w:p>
    <w:p w14:paraId="74AFFAC9">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相应安排支出预算</w:t>
      </w:r>
      <w:r>
        <w:rPr>
          <w:rFonts w:hint="eastAsia" w:ascii="仿宋" w:hAnsi="仿宋" w:eastAsia="仿宋" w:cs="仿宋_GB2312"/>
          <w:sz w:val="32"/>
          <w:szCs w:val="32"/>
          <w:lang w:val="en-US" w:eastAsia="zh-CN"/>
        </w:rPr>
        <w:t>811.65</w:t>
      </w:r>
      <w:r>
        <w:rPr>
          <w:rFonts w:hint="eastAsia" w:ascii="仿宋" w:hAnsi="仿宋" w:eastAsia="仿宋"/>
          <w:sz w:val="32"/>
          <w:szCs w:val="32"/>
        </w:rPr>
        <w:t>万元，比上年增加</w:t>
      </w:r>
      <w:r>
        <w:rPr>
          <w:rFonts w:hint="eastAsia" w:ascii="仿宋" w:hAnsi="仿宋" w:eastAsia="仿宋" w:cs="仿宋_GB2312"/>
          <w:sz w:val="32"/>
          <w:szCs w:val="32"/>
          <w:lang w:val="en-US" w:eastAsia="zh-CN"/>
        </w:rPr>
        <w:t>31.51</w:t>
      </w:r>
      <w:r>
        <w:rPr>
          <w:rFonts w:hint="eastAsia" w:ascii="仿宋" w:hAnsi="仿宋" w:eastAsia="仿宋"/>
          <w:sz w:val="32"/>
          <w:szCs w:val="32"/>
        </w:rPr>
        <w:t>万元，主要原因是</w:t>
      </w:r>
      <w:r>
        <w:rPr>
          <w:rFonts w:hint="eastAsia" w:ascii="仿宋" w:hAnsi="仿宋" w:eastAsia="仿宋" w:cs="仿宋_GB2312"/>
          <w:sz w:val="32"/>
          <w:szCs w:val="32"/>
          <w:lang w:val="en-US" w:eastAsia="zh-CN"/>
        </w:rPr>
        <w:t>2024年调整基本工资三金纳入预算</w:t>
      </w:r>
      <w:r>
        <w:rPr>
          <w:rFonts w:hint="eastAsia" w:ascii="仿宋" w:hAnsi="仿宋" w:eastAsia="仿宋" w:cs="仿宋_GB2312"/>
          <w:sz w:val="32"/>
          <w:szCs w:val="32"/>
        </w:rPr>
        <w:t>。</w:t>
      </w:r>
      <w:r>
        <w:rPr>
          <w:rFonts w:hint="eastAsia" w:ascii="仿宋" w:hAnsi="仿宋" w:eastAsia="仿宋"/>
          <w:sz w:val="32"/>
          <w:szCs w:val="32"/>
        </w:rPr>
        <w:t>其中：基本支出</w:t>
      </w:r>
      <w:r>
        <w:rPr>
          <w:rFonts w:hint="eastAsia" w:ascii="仿宋" w:hAnsi="仿宋" w:eastAsia="仿宋" w:cs="仿宋_GB2312"/>
          <w:sz w:val="32"/>
          <w:szCs w:val="32"/>
          <w:lang w:val="en-US" w:eastAsia="zh-CN"/>
        </w:rPr>
        <w:t>811.65</w:t>
      </w:r>
      <w:r>
        <w:rPr>
          <w:rFonts w:hint="eastAsia" w:ascii="仿宋" w:hAnsi="仿宋" w:eastAsia="仿宋"/>
          <w:sz w:val="32"/>
          <w:szCs w:val="32"/>
        </w:rPr>
        <w:t>万元。</w:t>
      </w:r>
    </w:p>
    <w:p w14:paraId="66B0EDED">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二、一般公共预算拨款支出情况</w:t>
      </w:r>
    </w:p>
    <w:p w14:paraId="46684695">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bCs/>
          <w:sz w:val="32"/>
          <w:szCs w:val="32"/>
          <w:lang w:val="en-US" w:eastAsia="zh-CN"/>
        </w:rPr>
        <w:t>2026</w:t>
      </w:r>
      <w:r>
        <w:rPr>
          <w:rFonts w:hint="eastAsia" w:ascii="仿宋" w:hAnsi="仿宋" w:eastAsia="仿宋" w:cs="仿宋_GB2312"/>
          <w:sz w:val="32"/>
          <w:szCs w:val="32"/>
        </w:rPr>
        <w:t>年度一般公共预算拨款支出</w:t>
      </w:r>
      <w:r>
        <w:rPr>
          <w:rFonts w:hint="eastAsia" w:ascii="仿宋" w:hAnsi="仿宋" w:eastAsia="仿宋" w:cs="仿宋_GB2312"/>
          <w:sz w:val="32"/>
          <w:szCs w:val="32"/>
          <w:lang w:val="en-US" w:eastAsia="zh-CN"/>
        </w:rPr>
        <w:t>811.65</w:t>
      </w:r>
      <w:r>
        <w:rPr>
          <w:rFonts w:hint="eastAsia" w:ascii="仿宋" w:hAnsi="仿宋" w:eastAsia="仿宋" w:cs="仿宋_GB2312"/>
          <w:sz w:val="32"/>
          <w:szCs w:val="32"/>
        </w:rPr>
        <w:t>万元</w:t>
      </w:r>
      <w:r>
        <w:rPr>
          <w:rFonts w:hint="eastAsia" w:ascii="仿宋" w:hAnsi="仿宋" w:eastAsia="仿宋"/>
          <w:sz w:val="32"/>
          <w:szCs w:val="32"/>
        </w:rPr>
        <w:t>，比上年增加</w:t>
      </w:r>
      <w:r>
        <w:rPr>
          <w:rFonts w:hint="eastAsia" w:ascii="仿宋" w:hAnsi="仿宋" w:eastAsia="仿宋"/>
          <w:sz w:val="32"/>
          <w:szCs w:val="32"/>
          <w:lang w:val="en-US" w:eastAsia="zh-CN"/>
        </w:rPr>
        <w:t>31.51</w:t>
      </w:r>
      <w:r>
        <w:rPr>
          <w:rFonts w:hint="eastAsia" w:ascii="仿宋" w:hAnsi="仿宋" w:eastAsia="仿宋" w:cs="仿宋_GB2312"/>
          <w:kern w:val="0"/>
          <w:sz w:val="32"/>
          <w:szCs w:val="32"/>
        </w:rPr>
        <w:t>万元，</w:t>
      </w:r>
      <w:r>
        <w:rPr>
          <w:rFonts w:hint="eastAsia" w:ascii="仿宋" w:hAnsi="仿宋" w:eastAsia="仿宋" w:cs="仿宋_GB2312"/>
          <w:sz w:val="32"/>
          <w:szCs w:val="32"/>
        </w:rPr>
        <w:t>增长</w:t>
      </w:r>
      <w:r>
        <w:rPr>
          <w:rFonts w:hint="eastAsia" w:ascii="仿宋" w:hAnsi="仿宋" w:eastAsia="仿宋" w:cs="仿宋_GB2312"/>
          <w:sz w:val="32"/>
          <w:szCs w:val="32"/>
          <w:lang w:val="en-US" w:eastAsia="zh-CN"/>
        </w:rPr>
        <w:t>4.04</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主要原因是</w:t>
      </w:r>
      <w:r>
        <w:rPr>
          <w:rFonts w:hint="eastAsia" w:ascii="仿宋" w:hAnsi="仿宋" w:eastAsia="仿宋" w:cs="仿宋_GB2312"/>
          <w:sz w:val="32"/>
          <w:szCs w:val="32"/>
          <w:lang w:val="en-US" w:eastAsia="zh-CN"/>
        </w:rPr>
        <w:t>调整基本工资三金纳入预算</w:t>
      </w:r>
      <w:r>
        <w:rPr>
          <w:rFonts w:hint="eastAsia" w:ascii="仿宋" w:hAnsi="仿宋" w:eastAsia="仿宋" w:cs="仿宋_GB2312"/>
          <w:sz w:val="32"/>
          <w:szCs w:val="32"/>
        </w:rPr>
        <w:t>。按照党中央、国务院和省委、省政府关于过紧日子的有关要求，厉行节约办一切事业，大力压减一般性支出，重点压减了公用经费中涉及的非急需非刚性支出，同时合理保障了学校正常运转的支出需求，体现在有关支出科目中。</w:t>
      </w:r>
      <w:r>
        <w:rPr>
          <w:rFonts w:hint="eastAsia" w:ascii="仿宋" w:hAnsi="仿宋" w:eastAsia="仿宋" w:cs="宋体"/>
          <w:bCs/>
          <w:sz w:val="32"/>
          <w:szCs w:val="32"/>
        </w:rPr>
        <w:t>其中（按项级科目分类统计）</w:t>
      </w:r>
      <w:r>
        <w:rPr>
          <w:rFonts w:hint="eastAsia" w:ascii="仿宋" w:hAnsi="仿宋" w:eastAsia="仿宋" w:cs="仿宋_GB2312"/>
          <w:sz w:val="32"/>
          <w:szCs w:val="32"/>
        </w:rPr>
        <w:t>：</w:t>
      </w:r>
    </w:p>
    <w:p w14:paraId="6693DC2B">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（一）</w:t>
      </w:r>
      <w:r>
        <w:rPr>
          <w:rFonts w:hint="eastAsia" w:ascii="仿宋" w:hAnsi="仿宋" w:eastAsia="仿宋" w:cs="仿宋_GB2312"/>
          <w:sz w:val="32"/>
          <w:szCs w:val="32"/>
          <w:lang w:val="en-US" w:eastAsia="zh-CN"/>
        </w:rPr>
        <w:t>2050202</w:t>
      </w:r>
      <w:r>
        <w:rPr>
          <w:rFonts w:hint="eastAsia" w:ascii="仿宋" w:hAnsi="仿宋" w:eastAsia="仿宋" w:cs="仿宋_GB2312"/>
          <w:sz w:val="32"/>
          <w:szCs w:val="32"/>
        </w:rPr>
        <w:t>-</w:t>
      </w:r>
      <w:r>
        <w:rPr>
          <w:rFonts w:hint="eastAsia" w:ascii="仿宋" w:hAnsi="仿宋" w:eastAsia="仿宋" w:cs="仿宋_GB2312"/>
          <w:sz w:val="32"/>
          <w:szCs w:val="32"/>
          <w:lang w:val="en-US" w:eastAsia="zh-CN"/>
        </w:rPr>
        <w:t>小学教育811.65</w:t>
      </w:r>
      <w:r>
        <w:rPr>
          <w:rFonts w:hint="eastAsia" w:ascii="仿宋" w:hAnsi="仿宋" w:eastAsia="仿宋" w:cs="仿宋_GB2312"/>
          <w:sz w:val="32"/>
          <w:szCs w:val="32"/>
        </w:rPr>
        <w:t>万元。主要用于教师工作发放、三金缴交及保障学校正常运转支出。</w:t>
      </w:r>
    </w:p>
    <w:p w14:paraId="0D62BDCC">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三、政府性基金预算拨款支出情况</w:t>
      </w:r>
    </w:p>
    <w:p w14:paraId="32082DD1">
      <w:pPr>
        <w:tabs>
          <w:tab w:val="left" w:pos="7513"/>
        </w:tabs>
        <w:adjustRightInd w:val="0"/>
        <w:snapToGrid w:val="0"/>
        <w:spacing w:line="600" w:lineRule="exact"/>
        <w:ind w:firstLine="640" w:firstLineChars="200"/>
        <w:rPr>
          <w:rFonts w:ascii="楷体" w:hAnsi="楷体" w:eastAsia="楷体"/>
          <w:sz w:val="32"/>
          <w:szCs w:val="32"/>
        </w:rPr>
      </w:pPr>
      <w:r>
        <w:rPr>
          <w:rFonts w:hint="eastAsia" w:ascii="楷体" w:hAnsi="楷体" w:eastAsia="楷体" w:cs="仿宋_GB2312"/>
          <w:sz w:val="32"/>
          <w:szCs w:val="32"/>
        </w:rPr>
        <w:t>本单位</w:t>
      </w:r>
      <w:r>
        <w:rPr>
          <w:rFonts w:hint="eastAsia" w:ascii="楷体" w:hAnsi="楷体" w:eastAsia="楷体" w:cs="仿宋_GB2312"/>
          <w:sz w:val="32"/>
          <w:szCs w:val="32"/>
          <w:lang w:val="en-US" w:eastAsia="zh-CN"/>
        </w:rPr>
        <w:t>2026</w:t>
      </w:r>
      <w:r>
        <w:rPr>
          <w:rFonts w:hint="eastAsia" w:ascii="楷体" w:hAnsi="楷体" w:eastAsia="楷体" w:cs="仿宋_GB2312"/>
          <w:sz w:val="32"/>
          <w:szCs w:val="32"/>
        </w:rPr>
        <w:t>年度没有使用政府性基金预算拨款安排的支出。</w:t>
      </w:r>
    </w:p>
    <w:p w14:paraId="219260C7">
      <w:pPr>
        <w:tabs>
          <w:tab w:val="left" w:pos="7513"/>
        </w:tabs>
        <w:adjustRightInd w:val="0"/>
        <w:snapToGrid w:val="0"/>
        <w:spacing w:line="60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四、国有资本经营预算拨款支出情况</w:t>
      </w:r>
    </w:p>
    <w:p w14:paraId="1A1E8E20">
      <w:pPr>
        <w:tabs>
          <w:tab w:val="left" w:pos="7513"/>
        </w:tabs>
        <w:adjustRightInd w:val="0"/>
        <w:snapToGrid w:val="0"/>
        <w:spacing w:line="600" w:lineRule="exact"/>
        <w:ind w:firstLine="640" w:firstLineChars="200"/>
        <w:rPr>
          <w:rFonts w:ascii="楷体" w:hAnsi="楷体" w:eastAsia="楷体" w:cs="仿宋_GB2312"/>
          <w:sz w:val="32"/>
          <w:szCs w:val="32"/>
        </w:rPr>
      </w:pPr>
      <w:r>
        <w:rPr>
          <w:rFonts w:hint="eastAsia" w:ascii="楷体" w:hAnsi="楷体" w:eastAsia="楷体" w:cs="仿宋_GB2312"/>
          <w:sz w:val="32"/>
          <w:szCs w:val="32"/>
        </w:rPr>
        <w:t>本单位</w:t>
      </w:r>
      <w:r>
        <w:rPr>
          <w:rFonts w:hint="eastAsia" w:ascii="楷体" w:hAnsi="楷体" w:eastAsia="楷体" w:cs="仿宋_GB2312"/>
          <w:sz w:val="32"/>
          <w:szCs w:val="32"/>
          <w:lang w:val="en-US" w:eastAsia="zh-CN"/>
        </w:rPr>
        <w:t>2026</w:t>
      </w:r>
      <w:r>
        <w:rPr>
          <w:rFonts w:hint="eastAsia" w:ascii="楷体" w:hAnsi="楷体" w:eastAsia="楷体" w:cs="仿宋_GB2312"/>
          <w:sz w:val="32"/>
          <w:szCs w:val="32"/>
        </w:rPr>
        <w:t>年度没有使用国有资本经营预算拨款安排的支出。</w:t>
      </w:r>
    </w:p>
    <w:p w14:paraId="072D5479">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五、一般公共预算拨款基本支出情况</w:t>
      </w:r>
    </w:p>
    <w:p w14:paraId="28B813E4">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lang w:val="en-US" w:eastAsia="zh-CN"/>
        </w:rPr>
        <w:t>2026</w:t>
      </w:r>
      <w:r>
        <w:rPr>
          <w:rFonts w:hint="eastAsia" w:ascii="仿宋" w:hAnsi="仿宋" w:eastAsia="仿宋" w:cs="仿宋_GB2312"/>
          <w:sz w:val="32"/>
          <w:szCs w:val="32"/>
        </w:rPr>
        <w:t>年度一般公共预算拨款基本支出</w:t>
      </w:r>
      <w:r>
        <w:rPr>
          <w:rFonts w:hint="eastAsia" w:ascii="仿宋" w:hAnsi="仿宋" w:eastAsia="仿宋" w:cs="仿宋_GB2312"/>
          <w:sz w:val="32"/>
          <w:szCs w:val="32"/>
          <w:lang w:val="en-US" w:eastAsia="zh-CN"/>
        </w:rPr>
        <w:t>811.65</w:t>
      </w:r>
      <w:r>
        <w:rPr>
          <w:rFonts w:hint="eastAsia" w:ascii="仿宋" w:hAnsi="仿宋" w:eastAsia="仿宋" w:cs="仿宋_GB2312"/>
          <w:sz w:val="32"/>
          <w:szCs w:val="32"/>
        </w:rPr>
        <w:t>万元，其中：</w:t>
      </w:r>
    </w:p>
    <w:p w14:paraId="49236BCF">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w:t>
      </w:r>
      <w:r>
        <w:rPr>
          <w:rFonts w:hint="eastAsia" w:ascii="仿宋" w:hAnsi="仿宋" w:eastAsia="仿宋" w:cs="仿宋_GB2312"/>
          <w:sz w:val="32"/>
          <w:szCs w:val="32"/>
          <w:lang w:val="en-US" w:eastAsia="zh-CN"/>
        </w:rPr>
        <w:t>810.38</w:t>
      </w:r>
      <w:r>
        <w:rPr>
          <w:rFonts w:hint="eastAsia" w:ascii="仿宋" w:hAnsi="仿宋" w:eastAsia="仿宋" w:cs="仿宋_GB2312"/>
          <w:sz w:val="32"/>
          <w:szCs w:val="32"/>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694FC307">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w:t>
      </w:r>
      <w:r>
        <w:rPr>
          <w:rFonts w:hint="eastAsia" w:ascii="仿宋" w:hAnsi="仿宋" w:eastAsia="仿宋" w:cs="仿宋_GB2312"/>
          <w:sz w:val="32"/>
          <w:szCs w:val="32"/>
          <w:lang w:val="en-US" w:eastAsia="zh-CN"/>
        </w:rPr>
        <w:t>1.27</w:t>
      </w:r>
      <w:r>
        <w:rPr>
          <w:rFonts w:hint="eastAsia" w:ascii="仿宋" w:hAnsi="仿宋" w:eastAsia="仿宋" w:cs="仿宋_GB2312"/>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275F4719">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六、一般公共预算“三公”经费支出情况</w:t>
      </w:r>
    </w:p>
    <w:p w14:paraId="3391B788">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5A571BA4">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lang w:val="en-US" w:eastAsia="zh-CN"/>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lang w:val="en-US" w:eastAsia="zh-CN"/>
        </w:rPr>
        <w:t>0</w:t>
      </w:r>
      <w:r>
        <w:rPr>
          <w:rFonts w:hint="eastAsia" w:ascii="仿宋" w:hAnsi="仿宋" w:eastAsia="仿宋" w:cs="宋体"/>
          <w:kern w:val="0"/>
          <w:sz w:val="32"/>
          <w:szCs w:val="32"/>
        </w:rPr>
        <w:t>万元，</w:t>
      </w:r>
      <w:r>
        <w:rPr>
          <w:rFonts w:hint="eastAsia" w:ascii="仿宋" w:hAnsi="仿宋" w:eastAsia="仿宋" w:cs="仿宋_GB2312"/>
          <w:sz w:val="32"/>
          <w:szCs w:val="32"/>
          <w:lang w:val="en-US" w:eastAsia="zh-CN"/>
        </w:rPr>
        <w:t>与上年持平</w:t>
      </w:r>
      <w:r>
        <w:rPr>
          <w:rFonts w:hint="eastAsia" w:ascii="仿宋" w:hAnsi="仿宋" w:eastAsia="仿宋" w:cs="仿宋_GB2312"/>
          <w:sz w:val="32"/>
          <w:szCs w:val="32"/>
        </w:rPr>
        <w:t>。</w:t>
      </w:r>
    </w:p>
    <w:p w14:paraId="4E234CC0">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6EAD57E8">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lang w:val="en-US" w:eastAsia="zh-CN"/>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lang w:val="en-US" w:eastAsia="zh-CN"/>
        </w:rPr>
        <w:t>0</w:t>
      </w:r>
      <w:r>
        <w:rPr>
          <w:rFonts w:hint="eastAsia" w:ascii="仿宋" w:hAnsi="仿宋" w:eastAsia="仿宋" w:cs="宋体"/>
          <w:kern w:val="0"/>
          <w:sz w:val="32"/>
          <w:szCs w:val="32"/>
        </w:rPr>
        <w:t>万元，</w:t>
      </w:r>
      <w:r>
        <w:rPr>
          <w:rFonts w:hint="eastAsia" w:ascii="仿宋" w:hAnsi="仿宋" w:eastAsia="仿宋" w:cs="仿宋_GB2312"/>
          <w:sz w:val="32"/>
          <w:szCs w:val="32"/>
          <w:lang w:val="en-US" w:eastAsia="zh-CN"/>
        </w:rPr>
        <w:t>与上年持平</w:t>
      </w:r>
      <w:r>
        <w:rPr>
          <w:rFonts w:hint="eastAsia" w:ascii="仿宋" w:hAnsi="仿宋" w:eastAsia="仿宋" w:cs="仿宋_GB2312"/>
          <w:sz w:val="32"/>
          <w:szCs w:val="32"/>
        </w:rPr>
        <w:t>。</w:t>
      </w:r>
    </w:p>
    <w:p w14:paraId="7B2B97C9">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485AFB2F">
      <w:pPr>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kern w:val="0"/>
          <w:sz w:val="32"/>
          <w:szCs w:val="32"/>
        </w:rPr>
        <w:t xml:space="preserve"> </w:t>
      </w:r>
      <w:r>
        <w:rPr>
          <w:rFonts w:hint="eastAsia" w:ascii="仿宋" w:hAnsi="仿宋" w:eastAsia="仿宋" w:cs="仿宋_GB2312"/>
          <w:kern w:val="0"/>
          <w:sz w:val="32"/>
          <w:szCs w:val="32"/>
          <w:lang w:val="en-US" w:eastAsia="zh-CN"/>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lang w:val="en-US" w:eastAsia="zh-CN"/>
        </w:rPr>
        <w:t>0</w:t>
      </w:r>
      <w:r>
        <w:rPr>
          <w:rFonts w:hint="eastAsia" w:ascii="仿宋" w:hAnsi="仿宋" w:eastAsia="仿宋" w:cs="宋体"/>
          <w:kern w:val="0"/>
          <w:sz w:val="32"/>
          <w:szCs w:val="32"/>
        </w:rPr>
        <w:t>万元，其中：公务用车运行费</w:t>
      </w:r>
      <w:r>
        <w:rPr>
          <w:rFonts w:hint="eastAsia" w:ascii="仿宋" w:hAnsi="仿宋" w:eastAsia="仿宋" w:cs="仿宋_GB2312"/>
          <w:kern w:val="0"/>
          <w:sz w:val="32"/>
          <w:szCs w:val="32"/>
          <w:lang w:val="en-US" w:eastAsia="zh-CN"/>
        </w:rPr>
        <w:t>0</w:t>
      </w:r>
      <w:r>
        <w:rPr>
          <w:rFonts w:hint="eastAsia" w:ascii="仿宋" w:hAnsi="仿宋" w:eastAsia="仿宋" w:cs="宋体"/>
          <w:kern w:val="0"/>
          <w:sz w:val="32"/>
          <w:szCs w:val="32"/>
        </w:rPr>
        <w:t>万元，</w:t>
      </w:r>
      <w:r>
        <w:rPr>
          <w:rFonts w:hint="eastAsia" w:ascii="仿宋" w:hAnsi="仿宋" w:eastAsia="仿宋" w:cs="仿宋_GB2312"/>
          <w:sz w:val="32"/>
          <w:szCs w:val="32"/>
          <w:lang w:val="en-US" w:eastAsia="zh-CN"/>
        </w:rPr>
        <w:t>与上年持平</w:t>
      </w:r>
      <w:r>
        <w:rPr>
          <w:rFonts w:hint="eastAsia" w:ascii="仿宋" w:hAnsi="仿宋" w:eastAsia="仿宋" w:cs="仿宋_GB2312"/>
          <w:sz w:val="32"/>
          <w:szCs w:val="32"/>
        </w:rPr>
        <w:t>；</w:t>
      </w:r>
      <w:r>
        <w:rPr>
          <w:rFonts w:hint="eastAsia" w:ascii="仿宋" w:hAnsi="仿宋" w:eastAsia="仿宋" w:cs="宋体"/>
          <w:kern w:val="0"/>
          <w:sz w:val="32"/>
          <w:szCs w:val="32"/>
        </w:rPr>
        <w:t>公务用车购置费</w:t>
      </w:r>
      <w:r>
        <w:rPr>
          <w:rFonts w:hint="eastAsia" w:ascii="仿宋" w:hAnsi="仿宋" w:eastAsia="仿宋" w:cs="仿宋_GB2312"/>
          <w:kern w:val="0"/>
          <w:sz w:val="32"/>
          <w:szCs w:val="32"/>
          <w:lang w:val="en-US" w:eastAsia="zh-CN"/>
        </w:rPr>
        <w:t>0</w:t>
      </w:r>
      <w:r>
        <w:rPr>
          <w:rFonts w:hint="eastAsia" w:ascii="仿宋" w:hAnsi="仿宋" w:eastAsia="仿宋" w:cs="宋体"/>
          <w:kern w:val="0"/>
          <w:sz w:val="32"/>
          <w:szCs w:val="32"/>
        </w:rPr>
        <w:t>万元，</w:t>
      </w:r>
      <w:r>
        <w:rPr>
          <w:rFonts w:hint="eastAsia" w:ascii="仿宋" w:hAnsi="仿宋" w:eastAsia="仿宋" w:cs="仿宋_GB2312"/>
          <w:sz w:val="32"/>
          <w:szCs w:val="32"/>
          <w:lang w:val="en-US" w:eastAsia="zh-CN"/>
        </w:rPr>
        <w:t>与上年持平</w:t>
      </w:r>
      <w:r>
        <w:rPr>
          <w:rFonts w:hint="eastAsia" w:ascii="仿宋" w:hAnsi="仿宋" w:eastAsia="仿宋" w:cs="仿宋_GB2312"/>
          <w:sz w:val="32"/>
          <w:szCs w:val="32"/>
        </w:rPr>
        <w:t>。</w:t>
      </w:r>
    </w:p>
    <w:p w14:paraId="5C438FC5">
      <w:pPr>
        <w:spacing w:line="600" w:lineRule="exact"/>
        <w:ind w:firstLine="640" w:firstLineChars="200"/>
        <w:rPr>
          <w:rFonts w:ascii="黑体" w:hAnsi="黑体" w:eastAsia="黑体"/>
          <w:sz w:val="32"/>
          <w:szCs w:val="32"/>
        </w:rPr>
      </w:pPr>
      <w:r>
        <w:rPr>
          <w:rFonts w:hint="eastAsia" w:ascii="黑体" w:hAnsi="黑体" w:eastAsia="黑体"/>
          <w:sz w:val="32"/>
          <w:szCs w:val="32"/>
        </w:rPr>
        <w:t>七、预算绩效目标情况</w:t>
      </w:r>
    </w:p>
    <w:p w14:paraId="7D7A20C6">
      <w:pPr>
        <w:spacing w:line="59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14:paraId="4A18FC0C">
      <w:pPr>
        <w:spacing w:line="59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lang w:val="en-US" w:eastAsia="zh-CN"/>
        </w:rPr>
        <w:t>2026</w:t>
      </w:r>
      <w:r>
        <w:rPr>
          <w:rFonts w:hint="eastAsia" w:ascii="仿宋" w:hAnsi="仿宋" w:eastAsia="仿宋" w:cs="仿宋_GB2312"/>
          <w:kern w:val="0"/>
          <w:sz w:val="32"/>
          <w:szCs w:val="32"/>
        </w:rPr>
        <w:t>年，</w:t>
      </w:r>
      <w:r>
        <w:rPr>
          <w:rFonts w:hint="eastAsia" w:ascii="仿宋" w:hAnsi="仿宋" w:eastAsia="仿宋" w:cs="仿宋_GB2312"/>
          <w:kern w:val="0"/>
          <w:sz w:val="32"/>
          <w:szCs w:val="32"/>
          <w:lang w:val="en-US" w:eastAsia="zh-CN"/>
        </w:rPr>
        <w:t>漳平市第二实验小学</w:t>
      </w:r>
      <w:r>
        <w:rPr>
          <w:rFonts w:hint="eastAsia" w:ascii="仿宋" w:hAnsi="仿宋" w:eastAsia="仿宋" w:cs="仿宋_GB2312"/>
          <w:kern w:val="0"/>
          <w:sz w:val="32"/>
          <w:szCs w:val="32"/>
        </w:rPr>
        <w:t>按照全面实施预算绩效管理的要求，编制绩效目标并公开。</w:t>
      </w:r>
    </w:p>
    <w:p w14:paraId="723B9020">
      <w:pPr>
        <w:spacing w:line="590" w:lineRule="exact"/>
        <w:ind w:firstLine="630" w:firstLineChars="196"/>
        <w:rPr>
          <w:rFonts w:ascii="楷体" w:hAnsi="楷体" w:eastAsia="楷体"/>
          <w:b/>
          <w:sz w:val="32"/>
          <w:szCs w:val="32"/>
        </w:rPr>
      </w:pPr>
      <w:r>
        <w:rPr>
          <w:rFonts w:hint="eastAsia" w:ascii="楷体" w:hAnsi="楷体" w:eastAsia="楷体"/>
          <w:b/>
          <w:sz w:val="32"/>
          <w:szCs w:val="32"/>
        </w:rPr>
        <w:t>（二）绩效目标表及说明</w:t>
      </w:r>
    </w:p>
    <w:p w14:paraId="3E49BB5D">
      <w:pPr>
        <w:spacing w:line="590" w:lineRule="exact"/>
        <w:ind w:firstLine="643" w:firstLineChars="200"/>
        <w:rPr>
          <w:rFonts w:ascii="仿宋" w:hAnsi="仿宋" w:eastAsia="仿宋"/>
          <w:b/>
          <w:sz w:val="32"/>
          <w:szCs w:val="32"/>
        </w:rPr>
      </w:pPr>
      <w:r>
        <w:rPr>
          <w:rFonts w:ascii="仿宋" w:hAnsi="仿宋" w:eastAsia="仿宋"/>
          <w:b/>
          <w:sz w:val="32"/>
          <w:szCs w:val="32"/>
        </w:rPr>
        <w:t>1.项目支出绩效目标表</w:t>
      </w:r>
    </w:p>
    <w:p w14:paraId="2753A686">
      <w:pPr>
        <w:spacing w:line="590" w:lineRule="exact"/>
        <w:ind w:firstLine="640" w:firstLineChars="200"/>
        <w:rPr>
          <w:rFonts w:ascii="楷体" w:hAnsi="楷体" w:eastAsia="楷体" w:cs="楷体"/>
          <w:kern w:val="0"/>
          <w:sz w:val="32"/>
          <w:szCs w:val="32"/>
        </w:rPr>
      </w:pPr>
      <w:r>
        <w:rPr>
          <w:rFonts w:hint="eastAsia" w:ascii="楷体" w:hAnsi="楷体" w:eastAsia="楷体" w:cs="楷体"/>
          <w:kern w:val="0"/>
          <w:sz w:val="32"/>
          <w:szCs w:val="32"/>
        </w:rPr>
        <w:t>本单位无项目支出绩效目标表。</w:t>
      </w:r>
    </w:p>
    <w:p w14:paraId="4931A522">
      <w:pPr>
        <w:spacing w:line="590" w:lineRule="exact"/>
        <w:ind w:firstLine="643" w:firstLineChars="200"/>
        <w:rPr>
          <w:rFonts w:ascii="仿宋" w:hAnsi="仿宋" w:eastAsia="仿宋"/>
          <w:b/>
          <w:sz w:val="32"/>
          <w:szCs w:val="32"/>
        </w:rPr>
      </w:pPr>
      <w:r>
        <w:rPr>
          <w:rFonts w:hint="eastAsia" w:ascii="仿宋" w:hAnsi="仿宋" w:eastAsia="仿宋"/>
          <w:b/>
          <w:sz w:val="32"/>
          <w:szCs w:val="32"/>
        </w:rPr>
        <w:t>2</w:t>
      </w:r>
      <w:r>
        <w:rPr>
          <w:rFonts w:ascii="仿宋" w:hAnsi="仿宋" w:eastAsia="仿宋"/>
          <w:b/>
          <w:sz w:val="32"/>
          <w:szCs w:val="32"/>
        </w:rPr>
        <w:t>.有关情况说明</w:t>
      </w:r>
    </w:p>
    <w:p w14:paraId="5AEAC9CE">
      <w:pPr>
        <w:spacing w:line="590" w:lineRule="exact"/>
        <w:ind w:firstLine="640" w:firstLineChars="200"/>
        <w:rPr>
          <w:rFonts w:ascii="楷体" w:hAnsi="楷体" w:eastAsia="楷体" w:cs="楷体"/>
          <w:kern w:val="0"/>
          <w:sz w:val="32"/>
          <w:szCs w:val="32"/>
        </w:rPr>
      </w:pPr>
      <w:r>
        <w:rPr>
          <w:rFonts w:hint="eastAsia" w:ascii="楷体" w:hAnsi="楷体" w:eastAsia="楷体" w:cs="楷体"/>
          <w:kern w:val="0"/>
          <w:sz w:val="32"/>
          <w:szCs w:val="32"/>
        </w:rPr>
        <w:t>本单位无其他需要说明的绩效目标情况。</w:t>
      </w:r>
    </w:p>
    <w:p w14:paraId="5D3BD220">
      <w:pPr>
        <w:spacing w:line="600" w:lineRule="exact"/>
        <w:rPr>
          <w:rFonts w:ascii="黑体" w:hAnsi="黑体" w:eastAsia="黑体"/>
          <w:sz w:val="32"/>
          <w:szCs w:val="32"/>
        </w:rPr>
      </w:pPr>
      <w:r>
        <w:rPr>
          <w:rFonts w:hint="eastAsia" w:ascii="黑体" w:hAnsi="黑体" w:eastAsia="黑体"/>
          <w:sz w:val="32"/>
          <w:szCs w:val="32"/>
        </w:rPr>
        <w:t xml:space="preserve">    八、其他重要事项说明</w:t>
      </w:r>
    </w:p>
    <w:p w14:paraId="2F493610">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0E616780">
      <w:pPr>
        <w:spacing w:line="600" w:lineRule="exact"/>
        <w:ind w:firstLine="640" w:firstLineChars="200"/>
        <w:rPr>
          <w:rFonts w:ascii="仿宋" w:hAnsi="仿宋" w:eastAsia="仿宋" w:cs="仿宋_GB2312"/>
          <w:sz w:val="32"/>
          <w:szCs w:val="32"/>
        </w:rPr>
      </w:pPr>
      <w:r>
        <w:rPr>
          <w:rFonts w:hint="eastAsia" w:ascii="仿宋" w:hAnsi="仿宋" w:eastAsia="仿宋" w:cs="仿宋_GB2312"/>
          <w:kern w:val="0"/>
          <w:sz w:val="32"/>
          <w:szCs w:val="32"/>
          <w:lang w:val="en-US" w:eastAsia="zh-CN"/>
        </w:rPr>
        <w:t>2026</w:t>
      </w:r>
      <w:r>
        <w:rPr>
          <w:rFonts w:hint="eastAsia" w:ascii="仿宋" w:hAnsi="仿宋" w:eastAsia="仿宋"/>
          <w:sz w:val="32"/>
          <w:szCs w:val="32"/>
        </w:rPr>
        <w:t>年，</w:t>
      </w:r>
      <w:r>
        <w:rPr>
          <w:rFonts w:hint="eastAsia" w:ascii="仿宋" w:hAnsi="仿宋" w:eastAsia="仿宋" w:cs="仿宋_GB2312"/>
          <w:kern w:val="0"/>
          <w:sz w:val="32"/>
          <w:szCs w:val="32"/>
          <w:lang w:val="en-US" w:eastAsia="zh-CN"/>
        </w:rPr>
        <w:t>漳平市第二实验小学</w:t>
      </w:r>
      <w:r>
        <w:rPr>
          <w:rFonts w:hint="eastAsia" w:ascii="仿宋" w:hAnsi="仿宋" w:eastAsia="仿宋"/>
          <w:sz w:val="32"/>
          <w:szCs w:val="32"/>
        </w:rPr>
        <w:t>一般公共预算拨款安排的机关运行经费支出</w:t>
      </w:r>
      <w:r>
        <w:rPr>
          <w:rFonts w:hint="eastAsia" w:ascii="仿宋" w:hAnsi="仿宋" w:eastAsia="仿宋" w:cs="仿宋_GB2312"/>
          <w:kern w:val="0"/>
          <w:sz w:val="32"/>
          <w:szCs w:val="32"/>
          <w:lang w:val="en-US" w:eastAsia="zh-CN"/>
        </w:rPr>
        <w:t>0</w:t>
      </w:r>
      <w:r>
        <w:rPr>
          <w:rFonts w:hint="eastAsia" w:ascii="仿宋" w:hAnsi="仿宋" w:eastAsia="仿宋"/>
          <w:sz w:val="32"/>
          <w:szCs w:val="32"/>
        </w:rPr>
        <w:t>万元，</w:t>
      </w:r>
      <w:r>
        <w:rPr>
          <w:rFonts w:hint="eastAsia" w:ascii="仿宋" w:hAnsi="仿宋" w:eastAsia="仿宋" w:cs="仿宋_GB2312"/>
          <w:sz w:val="32"/>
          <w:szCs w:val="32"/>
          <w:lang w:val="en-US" w:eastAsia="zh-CN"/>
        </w:rPr>
        <w:t>与上年持平，</w:t>
      </w:r>
      <w:r>
        <w:rPr>
          <w:rFonts w:hint="eastAsia" w:ascii="仿宋" w:hAnsi="仿宋" w:eastAsia="仿宋"/>
          <w:sz w:val="32"/>
          <w:szCs w:val="32"/>
        </w:rPr>
        <w:t>主要原因是</w:t>
      </w:r>
      <w:r>
        <w:rPr>
          <w:rFonts w:hint="eastAsia" w:ascii="仿宋" w:hAnsi="仿宋" w:eastAsia="仿宋" w:cs="仿宋_GB2312"/>
          <w:sz w:val="32"/>
          <w:szCs w:val="32"/>
          <w:lang w:val="en-US" w:eastAsia="zh-CN"/>
        </w:rPr>
        <w:t>本单位没有机关运行经费</w:t>
      </w:r>
      <w:r>
        <w:rPr>
          <w:rFonts w:hint="eastAsia" w:ascii="仿宋" w:hAnsi="仿宋" w:eastAsia="仿宋" w:cs="仿宋_GB2312"/>
          <w:sz w:val="32"/>
          <w:szCs w:val="32"/>
        </w:rPr>
        <w:t>。</w:t>
      </w:r>
    </w:p>
    <w:p w14:paraId="079CEEF7">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632DE09F">
      <w:pPr>
        <w:spacing w:line="600" w:lineRule="exact"/>
        <w:ind w:firstLine="640" w:firstLineChars="200"/>
        <w:rPr>
          <w:rFonts w:ascii="楷体" w:hAnsi="楷体" w:eastAsia="楷体"/>
          <w:sz w:val="32"/>
          <w:szCs w:val="32"/>
        </w:rPr>
      </w:pPr>
      <w:r>
        <w:rPr>
          <w:rFonts w:hint="eastAsia" w:ascii="楷体" w:hAnsi="楷体" w:eastAsia="楷体"/>
          <w:sz w:val="32"/>
          <w:szCs w:val="32"/>
        </w:rPr>
        <w:t>本单位</w:t>
      </w:r>
      <w:r>
        <w:rPr>
          <w:rFonts w:hint="eastAsia" w:ascii="楷体" w:hAnsi="楷体" w:eastAsia="楷体" w:cs="仿宋_GB2312"/>
          <w:sz w:val="32"/>
          <w:szCs w:val="32"/>
          <w:lang w:val="en-US" w:eastAsia="zh-CN"/>
        </w:rPr>
        <w:t>2026</w:t>
      </w:r>
      <w:r>
        <w:rPr>
          <w:rFonts w:hint="eastAsia" w:ascii="楷体" w:hAnsi="楷体" w:eastAsia="楷体" w:cs="仿宋_GB2312"/>
          <w:sz w:val="32"/>
          <w:szCs w:val="32"/>
        </w:rPr>
        <w:t>年度</w:t>
      </w:r>
      <w:r>
        <w:rPr>
          <w:rFonts w:hint="eastAsia" w:ascii="楷体" w:hAnsi="楷体" w:eastAsia="楷体"/>
          <w:sz w:val="32"/>
          <w:szCs w:val="32"/>
        </w:rPr>
        <w:t>没有政府采购预算。</w:t>
      </w:r>
    </w:p>
    <w:p w14:paraId="2062E763">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0116CA76">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lang w:val="en-US" w:eastAsia="zh-CN"/>
        </w:rPr>
        <w:t>2025</w:t>
      </w:r>
      <w:r>
        <w:rPr>
          <w:rFonts w:hint="eastAsia" w:ascii="仿宋" w:hAnsi="仿宋" w:eastAsia="仿宋" w:cs="仿宋_GB2312"/>
          <w:kern w:val="0"/>
          <w:sz w:val="32"/>
          <w:szCs w:val="32"/>
        </w:rPr>
        <w:t>年12月31日，</w:t>
      </w:r>
      <w:r>
        <w:rPr>
          <w:rFonts w:hint="eastAsia" w:ascii="仿宋" w:hAnsi="仿宋" w:eastAsia="仿宋" w:cs="仿宋_GB2312"/>
          <w:kern w:val="0"/>
          <w:sz w:val="32"/>
          <w:szCs w:val="32"/>
          <w:lang w:val="en-US" w:eastAsia="zh-CN"/>
        </w:rPr>
        <w:t>招聘网第二实验小学</w:t>
      </w:r>
      <w:r>
        <w:rPr>
          <w:rFonts w:hint="eastAsia" w:ascii="仿宋" w:hAnsi="仿宋" w:eastAsia="仿宋"/>
          <w:sz w:val="32"/>
          <w:szCs w:val="32"/>
        </w:rPr>
        <w:t>共有车辆</w:t>
      </w:r>
      <w:r>
        <w:rPr>
          <w:rFonts w:hint="eastAsia" w:ascii="仿宋" w:hAnsi="仿宋" w:eastAsia="仿宋" w:cs="仿宋_GB2312"/>
          <w:kern w:val="0"/>
          <w:sz w:val="32"/>
          <w:szCs w:val="32"/>
          <w:lang w:val="en-US" w:eastAsia="zh-CN"/>
        </w:rPr>
        <w:t>0</w:t>
      </w:r>
      <w:r>
        <w:rPr>
          <w:rFonts w:hint="eastAsia" w:ascii="仿宋" w:hAnsi="仿宋" w:eastAsia="仿宋"/>
          <w:sz w:val="32"/>
          <w:szCs w:val="32"/>
        </w:rPr>
        <w:t>辆，其中：副部（省）级以上领导用车</w:t>
      </w:r>
      <w:r>
        <w:rPr>
          <w:rFonts w:hint="eastAsia" w:ascii="仿宋" w:hAnsi="仿宋" w:eastAsia="仿宋"/>
          <w:sz w:val="32"/>
          <w:szCs w:val="32"/>
          <w:lang w:val="en-US" w:eastAsia="zh-CN"/>
        </w:rPr>
        <w:t>0</w:t>
      </w:r>
      <w:r>
        <w:rPr>
          <w:rFonts w:hint="eastAsia" w:ascii="仿宋" w:hAnsi="仿宋" w:eastAsia="仿宋"/>
          <w:sz w:val="32"/>
          <w:szCs w:val="32"/>
        </w:rPr>
        <w:t>辆、主要领导干部用车</w:t>
      </w:r>
      <w:r>
        <w:rPr>
          <w:rFonts w:hint="eastAsia" w:ascii="仿宋" w:hAnsi="仿宋" w:eastAsia="仿宋"/>
          <w:sz w:val="32"/>
          <w:szCs w:val="32"/>
          <w:lang w:val="en-US" w:eastAsia="zh-CN"/>
        </w:rPr>
        <w:t>0</w:t>
      </w:r>
      <w:r>
        <w:rPr>
          <w:rFonts w:hint="eastAsia" w:ascii="仿宋" w:hAnsi="仿宋" w:eastAsia="仿宋"/>
          <w:sz w:val="32"/>
          <w:szCs w:val="32"/>
        </w:rPr>
        <w:t>辆、机要通信用车</w:t>
      </w:r>
      <w:r>
        <w:rPr>
          <w:rFonts w:hint="eastAsia" w:ascii="仿宋" w:hAnsi="仿宋" w:eastAsia="仿宋"/>
          <w:sz w:val="32"/>
          <w:szCs w:val="32"/>
          <w:lang w:val="en-US" w:eastAsia="zh-CN"/>
        </w:rPr>
        <w:t>0</w:t>
      </w:r>
      <w:r>
        <w:rPr>
          <w:rFonts w:hint="eastAsia" w:ascii="仿宋" w:hAnsi="仿宋" w:eastAsia="仿宋"/>
          <w:sz w:val="32"/>
          <w:szCs w:val="32"/>
        </w:rPr>
        <w:t>辆、应急保障用车</w:t>
      </w:r>
      <w:r>
        <w:rPr>
          <w:rFonts w:hint="eastAsia" w:ascii="仿宋" w:hAnsi="仿宋" w:eastAsia="仿宋"/>
          <w:sz w:val="32"/>
          <w:szCs w:val="32"/>
          <w:lang w:val="en-US" w:eastAsia="zh-CN"/>
        </w:rPr>
        <w:t>0</w:t>
      </w:r>
      <w:r>
        <w:rPr>
          <w:rFonts w:hint="eastAsia" w:ascii="仿宋" w:hAnsi="仿宋" w:eastAsia="仿宋"/>
          <w:sz w:val="32"/>
          <w:szCs w:val="32"/>
        </w:rPr>
        <w:t>辆、执法执勤用车</w:t>
      </w:r>
      <w:r>
        <w:rPr>
          <w:rFonts w:hint="eastAsia" w:ascii="仿宋" w:hAnsi="仿宋" w:eastAsia="仿宋"/>
          <w:sz w:val="32"/>
          <w:szCs w:val="32"/>
          <w:lang w:val="en-US" w:eastAsia="zh-CN"/>
        </w:rPr>
        <w:t>0</w:t>
      </w:r>
      <w:r>
        <w:rPr>
          <w:rFonts w:hint="eastAsia" w:ascii="仿宋" w:hAnsi="仿宋" w:eastAsia="仿宋"/>
          <w:sz w:val="32"/>
          <w:szCs w:val="32"/>
        </w:rPr>
        <w:t>辆、特种专业技术用车</w:t>
      </w:r>
      <w:r>
        <w:rPr>
          <w:rFonts w:hint="eastAsia" w:ascii="仿宋" w:hAnsi="仿宋" w:eastAsia="仿宋"/>
          <w:sz w:val="32"/>
          <w:szCs w:val="32"/>
          <w:lang w:val="en-US" w:eastAsia="zh-CN"/>
        </w:rPr>
        <w:t>0</w:t>
      </w:r>
      <w:r>
        <w:rPr>
          <w:rFonts w:hint="eastAsia" w:ascii="仿宋" w:hAnsi="仿宋" w:eastAsia="仿宋"/>
          <w:sz w:val="32"/>
          <w:szCs w:val="32"/>
        </w:rPr>
        <w:t>辆、离退休干部用车</w:t>
      </w:r>
      <w:r>
        <w:rPr>
          <w:rFonts w:hint="eastAsia" w:ascii="仿宋" w:hAnsi="仿宋" w:eastAsia="仿宋"/>
          <w:sz w:val="32"/>
          <w:szCs w:val="32"/>
          <w:lang w:val="en-US" w:eastAsia="zh-CN"/>
        </w:rPr>
        <w:t>0</w:t>
      </w:r>
      <w:r>
        <w:rPr>
          <w:rFonts w:hint="eastAsia" w:ascii="仿宋" w:hAnsi="仿宋" w:eastAsia="仿宋"/>
          <w:sz w:val="32"/>
          <w:szCs w:val="32"/>
        </w:rPr>
        <w:t>辆、其他用车</w:t>
      </w:r>
      <w:r>
        <w:rPr>
          <w:rFonts w:hint="eastAsia" w:ascii="仿宋" w:hAnsi="仿宋" w:eastAsia="仿宋"/>
          <w:sz w:val="32"/>
          <w:szCs w:val="32"/>
          <w:lang w:val="en-US" w:eastAsia="zh-CN"/>
        </w:rPr>
        <w:t>0</w:t>
      </w:r>
      <w:r>
        <w:rPr>
          <w:rFonts w:hint="eastAsia" w:ascii="仿宋" w:hAnsi="仿宋" w:eastAsia="仿宋"/>
          <w:sz w:val="32"/>
          <w:szCs w:val="32"/>
        </w:rPr>
        <w:t>辆。单位价值100万元（含）以上设备</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台（套）。</w:t>
      </w:r>
    </w:p>
    <w:p w14:paraId="53B3108B">
      <w:pPr>
        <w:ind w:firstLine="640" w:firstLineChars="200"/>
        <w:rPr>
          <w:rFonts w:ascii="仿宋" w:hAnsi="仿宋" w:eastAsia="仿宋" w:cs="楷体"/>
          <w:kern w:val="0"/>
          <w:sz w:val="32"/>
          <w:szCs w:val="32"/>
        </w:rPr>
      </w:pPr>
      <w:r>
        <w:rPr>
          <w:rFonts w:hint="eastAsia" w:ascii="楷体" w:hAnsi="楷体" w:eastAsia="楷体" w:cs="楷体"/>
          <w:kern w:val="0"/>
          <w:sz w:val="32"/>
          <w:szCs w:val="32"/>
          <w:lang w:val="en-US" w:eastAsia="zh-CN"/>
        </w:rPr>
        <w:t>2026</w:t>
      </w:r>
      <w:r>
        <w:rPr>
          <w:rFonts w:hint="eastAsia" w:ascii="仿宋" w:hAnsi="仿宋" w:eastAsia="仿宋" w:cs="楷体"/>
          <w:kern w:val="0"/>
          <w:sz w:val="32"/>
          <w:szCs w:val="32"/>
        </w:rPr>
        <w:t>年单位预算安排购置车辆</w:t>
      </w:r>
      <w:r>
        <w:rPr>
          <w:rFonts w:hint="eastAsia" w:ascii="仿宋" w:hAnsi="仿宋" w:eastAsia="仿宋" w:cs="仿宋_GB2312"/>
          <w:kern w:val="0"/>
          <w:sz w:val="32"/>
          <w:szCs w:val="32"/>
          <w:lang w:val="en-US" w:eastAsia="zh-CN"/>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辆、主要领导干部用车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辆、机要通信用车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辆、应急保障用车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辆、执法执勤用车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辆、特种专业技术用车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辆、离退休干部用车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辆、其他用车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w:t>
      </w:r>
      <w:r>
        <w:rPr>
          <w:rFonts w:hint="eastAsia" w:ascii="仿宋" w:hAnsi="仿宋" w:eastAsia="仿宋"/>
          <w:sz w:val="32"/>
          <w:szCs w:val="32"/>
        </w:rPr>
        <w:t>单位价值100万元（含）以上设备</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台（套）。</w:t>
      </w:r>
    </w:p>
    <w:p w14:paraId="131BC5AD">
      <w:pPr>
        <w:ind w:firstLine="640" w:firstLineChars="200"/>
        <w:rPr>
          <w:rFonts w:ascii="仿宋" w:hAnsi="仿宋" w:eastAsia="仿宋" w:cs="仿宋_GB2312"/>
          <w:kern w:val="0"/>
          <w:sz w:val="32"/>
          <w:szCs w:val="32"/>
        </w:rPr>
      </w:pPr>
    </w:p>
    <w:p w14:paraId="1E77A863">
      <w:pPr>
        <w:jc w:val="center"/>
        <w:rPr>
          <w:rFonts w:asciiTheme="majorEastAsia" w:hAnsiTheme="majorEastAsia" w:eastAsiaTheme="majorEastAsia"/>
          <w:b/>
          <w:sz w:val="40"/>
        </w:rPr>
        <w:sectPr>
          <w:pgSz w:w="11906" w:h="16838"/>
          <w:pgMar w:top="1440" w:right="1800" w:bottom="1440" w:left="1800" w:header="851" w:footer="992" w:gutter="0"/>
          <w:cols w:space="425" w:num="1"/>
          <w:docGrid w:type="lines" w:linePitch="312" w:charSpace="0"/>
        </w:sectPr>
      </w:pPr>
    </w:p>
    <w:p w14:paraId="6CC9AEB2">
      <w:pPr>
        <w:jc w:val="center"/>
        <w:rPr>
          <w:rFonts w:ascii="黑体" w:hAnsi="黑体" w:eastAsia="黑体"/>
          <w:sz w:val="56"/>
        </w:rPr>
      </w:pPr>
    </w:p>
    <w:p w14:paraId="2C8226EE">
      <w:pPr>
        <w:jc w:val="center"/>
        <w:rPr>
          <w:rFonts w:ascii="黑体" w:hAnsi="黑体" w:eastAsia="黑体"/>
          <w:sz w:val="56"/>
        </w:rPr>
      </w:pPr>
    </w:p>
    <w:p w14:paraId="7FDECAC9">
      <w:pPr>
        <w:jc w:val="center"/>
        <w:rPr>
          <w:rFonts w:ascii="黑体" w:hAnsi="黑体" w:eastAsia="黑体"/>
          <w:sz w:val="56"/>
        </w:rPr>
      </w:pPr>
    </w:p>
    <w:p w14:paraId="2243C026">
      <w:pPr>
        <w:jc w:val="center"/>
        <w:rPr>
          <w:rFonts w:ascii="黑体" w:hAnsi="黑体" w:eastAsia="黑体"/>
          <w:sz w:val="56"/>
        </w:rPr>
      </w:pPr>
    </w:p>
    <w:p w14:paraId="0763F2A8">
      <w:pPr>
        <w:jc w:val="center"/>
        <w:rPr>
          <w:rFonts w:ascii="黑体" w:hAnsi="黑体" w:eastAsia="黑体"/>
          <w:sz w:val="56"/>
        </w:rPr>
      </w:pPr>
    </w:p>
    <w:p w14:paraId="0855DF41">
      <w:pPr>
        <w:jc w:val="left"/>
        <w:rPr>
          <w:rFonts w:ascii="黑体" w:hAnsi="黑体" w:eastAsia="黑体"/>
          <w:sz w:val="56"/>
        </w:rPr>
      </w:pPr>
      <w:r>
        <w:rPr>
          <w:rFonts w:hint="eastAsia" w:ascii="黑体" w:hAnsi="黑体" w:eastAsia="黑体"/>
          <w:sz w:val="56"/>
        </w:rPr>
        <w:t>第四部分</w:t>
      </w:r>
      <w:r>
        <w:rPr>
          <w:rFonts w:ascii="黑体" w:hAnsi="黑体" w:eastAsia="黑体"/>
          <w:sz w:val="56"/>
        </w:rPr>
        <w:t xml:space="preserve"> </w:t>
      </w:r>
    </w:p>
    <w:p w14:paraId="5F202959">
      <w:pPr>
        <w:jc w:val="center"/>
        <w:rPr>
          <w:rFonts w:ascii="黑体" w:hAnsi="黑体" w:eastAsia="黑体"/>
          <w:sz w:val="56"/>
        </w:rPr>
      </w:pPr>
      <w:r>
        <w:rPr>
          <w:rFonts w:hint="eastAsia" w:ascii="黑体" w:hAnsi="黑体" w:eastAsia="黑体"/>
          <w:sz w:val="56"/>
        </w:rPr>
        <w:t>名词解释</w:t>
      </w:r>
    </w:p>
    <w:p w14:paraId="6BDD07C3">
      <w:pPr>
        <w:jc w:val="center"/>
        <w:rPr>
          <w:rFonts w:asciiTheme="majorEastAsia" w:hAnsiTheme="majorEastAsia" w:eastAsiaTheme="majorEastAsia"/>
          <w:b/>
          <w:sz w:val="40"/>
        </w:rPr>
      </w:pPr>
    </w:p>
    <w:p w14:paraId="133B8440">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150D742E">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r>
        <w:rPr>
          <w:rFonts w:ascii="仿宋" w:hAnsi="仿宋" w:eastAsia="仿宋" w:cs="仿宋"/>
          <w:color w:val="000000"/>
          <w:kern w:val="0"/>
          <w:sz w:val="32"/>
          <w:szCs w:val="32"/>
        </w:rPr>
        <w:t xml:space="preserve"> </w:t>
      </w:r>
    </w:p>
    <w:p w14:paraId="1F559FE3">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2F1B7D1D">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r>
        <w:rPr>
          <w:rFonts w:ascii="仿宋" w:hAnsi="仿宋" w:eastAsia="仿宋" w:cs="仿宋"/>
          <w:color w:val="000000"/>
          <w:kern w:val="0"/>
          <w:sz w:val="32"/>
          <w:szCs w:val="32"/>
        </w:rPr>
        <w:t xml:space="preserve"> </w:t>
      </w:r>
    </w:p>
    <w:p w14:paraId="019EED54">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r>
        <w:rPr>
          <w:rFonts w:ascii="仿宋" w:hAnsi="仿宋" w:eastAsia="仿宋" w:cs="仿宋"/>
          <w:color w:val="000000"/>
          <w:kern w:val="0"/>
          <w:sz w:val="32"/>
          <w:szCs w:val="32"/>
        </w:rPr>
        <w:t xml:space="preserve"> </w:t>
      </w:r>
    </w:p>
    <w:p w14:paraId="758318A8">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1D256D59">
      <w:pPr>
        <w:pStyle w:val="12"/>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r>
        <w:rPr>
          <w:rFonts w:hAnsi="仿宋"/>
          <w:sz w:val="32"/>
          <w:szCs w:val="32"/>
        </w:rPr>
        <w:t xml:space="preserve"> </w:t>
      </w:r>
    </w:p>
    <w:p w14:paraId="763ACE25">
      <w:pPr>
        <w:pStyle w:val="12"/>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r>
        <w:rPr>
          <w:rFonts w:hAnsi="仿宋"/>
          <w:sz w:val="32"/>
          <w:szCs w:val="32"/>
        </w:rPr>
        <w:t xml:space="preserve"> </w:t>
      </w:r>
    </w:p>
    <w:p w14:paraId="3AF47CAA">
      <w:pPr>
        <w:pStyle w:val="12"/>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r>
        <w:rPr>
          <w:rFonts w:hAnsi="仿宋"/>
          <w:sz w:val="32"/>
          <w:szCs w:val="32"/>
        </w:rPr>
        <w:t xml:space="preserve"> </w:t>
      </w:r>
    </w:p>
    <w:p w14:paraId="2D4BB00B">
      <w:pPr>
        <w:pStyle w:val="12"/>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24B5F1D8">
      <w:pPr>
        <w:pStyle w:val="12"/>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57F76D3A">
      <w:pPr>
        <w:pStyle w:val="12"/>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r>
        <w:rPr>
          <w:rFonts w:hAnsi="仿宋"/>
          <w:sz w:val="32"/>
          <w:szCs w:val="32"/>
        </w:rPr>
        <w:t xml:space="preserve"> </w:t>
      </w:r>
    </w:p>
    <w:p w14:paraId="0FCE7CD2">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01453E9">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14:paraId="761FE5AD">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5</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BCB32">
    <w:pPr>
      <w:pStyle w:val="5"/>
      <w:pBdr>
        <w:bottom w:val="none" w:color="auto" w:sz="0" w:space="0"/>
      </w:pBdr>
      <w:jc w:val="both"/>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17140"/>
    <w:rsid w:val="000000B0"/>
    <w:rsid w:val="000126E4"/>
    <w:rsid w:val="000137C6"/>
    <w:rsid w:val="00015F8A"/>
    <w:rsid w:val="00021833"/>
    <w:rsid w:val="00033F71"/>
    <w:rsid w:val="0003780F"/>
    <w:rsid w:val="000470A9"/>
    <w:rsid w:val="00050A65"/>
    <w:rsid w:val="00080CC1"/>
    <w:rsid w:val="0008592D"/>
    <w:rsid w:val="00085F2B"/>
    <w:rsid w:val="00096056"/>
    <w:rsid w:val="000B35CC"/>
    <w:rsid w:val="000C0D0F"/>
    <w:rsid w:val="00105219"/>
    <w:rsid w:val="00123DBA"/>
    <w:rsid w:val="001315FC"/>
    <w:rsid w:val="00134215"/>
    <w:rsid w:val="0014464B"/>
    <w:rsid w:val="00145976"/>
    <w:rsid w:val="001569B3"/>
    <w:rsid w:val="00162161"/>
    <w:rsid w:val="00167378"/>
    <w:rsid w:val="00172CC0"/>
    <w:rsid w:val="00176507"/>
    <w:rsid w:val="001767B3"/>
    <w:rsid w:val="001A47A7"/>
    <w:rsid w:val="001A5903"/>
    <w:rsid w:val="001B45ED"/>
    <w:rsid w:val="001D4196"/>
    <w:rsid w:val="001E0090"/>
    <w:rsid w:val="001E2339"/>
    <w:rsid w:val="001F391B"/>
    <w:rsid w:val="002020AE"/>
    <w:rsid w:val="00221F98"/>
    <w:rsid w:val="002243EF"/>
    <w:rsid w:val="002311C9"/>
    <w:rsid w:val="002363D7"/>
    <w:rsid w:val="00240977"/>
    <w:rsid w:val="00244E2B"/>
    <w:rsid w:val="00245FED"/>
    <w:rsid w:val="002562C1"/>
    <w:rsid w:val="00264B96"/>
    <w:rsid w:val="00290C77"/>
    <w:rsid w:val="002B1982"/>
    <w:rsid w:val="002B699A"/>
    <w:rsid w:val="002D3F89"/>
    <w:rsid w:val="002E123F"/>
    <w:rsid w:val="002F0ECE"/>
    <w:rsid w:val="002F1995"/>
    <w:rsid w:val="002F1B6F"/>
    <w:rsid w:val="00305267"/>
    <w:rsid w:val="00305616"/>
    <w:rsid w:val="00311E91"/>
    <w:rsid w:val="00312014"/>
    <w:rsid w:val="00317140"/>
    <w:rsid w:val="003322AE"/>
    <w:rsid w:val="00334F93"/>
    <w:rsid w:val="00353125"/>
    <w:rsid w:val="00355BAB"/>
    <w:rsid w:val="00360D9A"/>
    <w:rsid w:val="00366CA3"/>
    <w:rsid w:val="00381D4F"/>
    <w:rsid w:val="003B2C9B"/>
    <w:rsid w:val="003B798E"/>
    <w:rsid w:val="003C2183"/>
    <w:rsid w:val="003C24EA"/>
    <w:rsid w:val="00405EA3"/>
    <w:rsid w:val="00414790"/>
    <w:rsid w:val="0042125F"/>
    <w:rsid w:val="00421FB1"/>
    <w:rsid w:val="00434CBE"/>
    <w:rsid w:val="00442172"/>
    <w:rsid w:val="00445C9B"/>
    <w:rsid w:val="0044633A"/>
    <w:rsid w:val="004D696A"/>
    <w:rsid w:val="004F0B75"/>
    <w:rsid w:val="00504A24"/>
    <w:rsid w:val="005354CD"/>
    <w:rsid w:val="00535E87"/>
    <w:rsid w:val="00560B0B"/>
    <w:rsid w:val="00577AEF"/>
    <w:rsid w:val="00584849"/>
    <w:rsid w:val="005A69E4"/>
    <w:rsid w:val="005B00AC"/>
    <w:rsid w:val="005B1EBF"/>
    <w:rsid w:val="005D7140"/>
    <w:rsid w:val="00606548"/>
    <w:rsid w:val="00606A72"/>
    <w:rsid w:val="006354A5"/>
    <w:rsid w:val="00635566"/>
    <w:rsid w:val="00637EA1"/>
    <w:rsid w:val="00645111"/>
    <w:rsid w:val="006A5A31"/>
    <w:rsid w:val="006B70C6"/>
    <w:rsid w:val="006C4713"/>
    <w:rsid w:val="006F1EE5"/>
    <w:rsid w:val="007015F0"/>
    <w:rsid w:val="00702253"/>
    <w:rsid w:val="007030FB"/>
    <w:rsid w:val="00723EF2"/>
    <w:rsid w:val="00743C81"/>
    <w:rsid w:val="00753E47"/>
    <w:rsid w:val="00760DCF"/>
    <w:rsid w:val="00763A54"/>
    <w:rsid w:val="00773637"/>
    <w:rsid w:val="00775567"/>
    <w:rsid w:val="007966D1"/>
    <w:rsid w:val="007A30B9"/>
    <w:rsid w:val="007B32F9"/>
    <w:rsid w:val="007C60CF"/>
    <w:rsid w:val="00800C7B"/>
    <w:rsid w:val="00804D1C"/>
    <w:rsid w:val="0080527E"/>
    <w:rsid w:val="008071E4"/>
    <w:rsid w:val="008519DD"/>
    <w:rsid w:val="00855527"/>
    <w:rsid w:val="0086239A"/>
    <w:rsid w:val="008763D2"/>
    <w:rsid w:val="00880C2D"/>
    <w:rsid w:val="008870DD"/>
    <w:rsid w:val="008906D2"/>
    <w:rsid w:val="008A73C5"/>
    <w:rsid w:val="008A7421"/>
    <w:rsid w:val="008D5DFA"/>
    <w:rsid w:val="008D6F87"/>
    <w:rsid w:val="008E3CBD"/>
    <w:rsid w:val="00937A03"/>
    <w:rsid w:val="0094672F"/>
    <w:rsid w:val="009739A9"/>
    <w:rsid w:val="009756CF"/>
    <w:rsid w:val="0098386D"/>
    <w:rsid w:val="009C7FB5"/>
    <w:rsid w:val="009D76A4"/>
    <w:rsid w:val="00A0449D"/>
    <w:rsid w:val="00A10948"/>
    <w:rsid w:val="00A122A0"/>
    <w:rsid w:val="00A22731"/>
    <w:rsid w:val="00A23912"/>
    <w:rsid w:val="00A304F7"/>
    <w:rsid w:val="00A36EAA"/>
    <w:rsid w:val="00A403DC"/>
    <w:rsid w:val="00A4118D"/>
    <w:rsid w:val="00A6048C"/>
    <w:rsid w:val="00A818C9"/>
    <w:rsid w:val="00A855BE"/>
    <w:rsid w:val="00AA455B"/>
    <w:rsid w:val="00AB1283"/>
    <w:rsid w:val="00AB1C5D"/>
    <w:rsid w:val="00AB691F"/>
    <w:rsid w:val="00AD7433"/>
    <w:rsid w:val="00B07727"/>
    <w:rsid w:val="00B43BCC"/>
    <w:rsid w:val="00B43E47"/>
    <w:rsid w:val="00B47684"/>
    <w:rsid w:val="00B67551"/>
    <w:rsid w:val="00B713B9"/>
    <w:rsid w:val="00B80A6F"/>
    <w:rsid w:val="00B83C27"/>
    <w:rsid w:val="00BF6327"/>
    <w:rsid w:val="00BF7317"/>
    <w:rsid w:val="00C02DE3"/>
    <w:rsid w:val="00C16FD3"/>
    <w:rsid w:val="00C33A0A"/>
    <w:rsid w:val="00C40AE7"/>
    <w:rsid w:val="00C43C36"/>
    <w:rsid w:val="00C7095D"/>
    <w:rsid w:val="00C82173"/>
    <w:rsid w:val="00C9493F"/>
    <w:rsid w:val="00CA39A1"/>
    <w:rsid w:val="00CC6B40"/>
    <w:rsid w:val="00D15C3B"/>
    <w:rsid w:val="00D208E9"/>
    <w:rsid w:val="00D4799A"/>
    <w:rsid w:val="00D90E4B"/>
    <w:rsid w:val="00D95257"/>
    <w:rsid w:val="00DD0E76"/>
    <w:rsid w:val="00DD596A"/>
    <w:rsid w:val="00DF317E"/>
    <w:rsid w:val="00E005FB"/>
    <w:rsid w:val="00E05319"/>
    <w:rsid w:val="00E117A7"/>
    <w:rsid w:val="00E236B8"/>
    <w:rsid w:val="00E24E96"/>
    <w:rsid w:val="00E332A8"/>
    <w:rsid w:val="00E67E4C"/>
    <w:rsid w:val="00E71AA9"/>
    <w:rsid w:val="00E90672"/>
    <w:rsid w:val="00E93BA5"/>
    <w:rsid w:val="00E9659E"/>
    <w:rsid w:val="00EA0606"/>
    <w:rsid w:val="00EA2CC5"/>
    <w:rsid w:val="00EA6416"/>
    <w:rsid w:val="00ED1D1C"/>
    <w:rsid w:val="00EF3EDC"/>
    <w:rsid w:val="00F233C0"/>
    <w:rsid w:val="00F32365"/>
    <w:rsid w:val="00F3255D"/>
    <w:rsid w:val="00F32D3C"/>
    <w:rsid w:val="00F6039F"/>
    <w:rsid w:val="00F62AD2"/>
    <w:rsid w:val="00F937DA"/>
    <w:rsid w:val="00FB3D59"/>
    <w:rsid w:val="00FC4095"/>
    <w:rsid w:val="00FE616A"/>
    <w:rsid w:val="00FE6949"/>
    <w:rsid w:val="00FF6212"/>
    <w:rsid w:val="00FF7B38"/>
    <w:rsid w:val="00FF7EA0"/>
    <w:rsid w:val="46D40D0A"/>
    <w:rsid w:val="4791583C"/>
    <w:rsid w:val="4CFE445B"/>
    <w:rsid w:val="4D424BF3"/>
    <w:rsid w:val="5BCD1176"/>
    <w:rsid w:val="77DDAA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Balloon Text"/>
    <w:basedOn w:val="1"/>
    <w:link w:val="11"/>
    <w:unhideWhenUsed/>
    <w:qFormat/>
    <w:uiPriority w:val="99"/>
    <w:pPr>
      <w:spacing w:line="240" w:lineRule="auto"/>
    </w:pPr>
    <w:rPr>
      <w:sz w:val="18"/>
      <w:szCs w:val="18"/>
    </w:rPr>
  </w:style>
  <w:style w:type="paragraph" w:styleId="4">
    <w:name w:val="footer"/>
    <w:basedOn w:val="1"/>
    <w:link w:val="9"/>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character" w:customStyle="1" w:styleId="10">
    <w:name w:val="正文文本 Char"/>
    <w:basedOn w:val="7"/>
    <w:link w:val="2"/>
    <w:qFormat/>
    <w:uiPriority w:val="1"/>
    <w:rPr>
      <w:rFonts w:ascii="Times New Roman" w:hAnsi="Times New Roman" w:eastAsia="Times New Roman" w:cs="Times New Roman"/>
      <w:kern w:val="0"/>
      <w:sz w:val="20"/>
      <w:szCs w:val="20"/>
      <w:lang w:eastAsia="en-US"/>
    </w:rPr>
  </w:style>
  <w:style w:type="character" w:customStyle="1" w:styleId="11">
    <w:name w:val="批注框文本 Char"/>
    <w:basedOn w:val="7"/>
    <w:link w:val="3"/>
    <w:semiHidden/>
    <w:qFormat/>
    <w:uiPriority w:val="99"/>
    <w:rPr>
      <w:sz w:val="18"/>
      <w:szCs w:val="18"/>
    </w:rPr>
  </w:style>
  <w:style w:type="paragraph" w:customStyle="1" w:styleId="12">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3">
    <w:name w:val="列出段落1"/>
    <w:basedOn w:val="1"/>
    <w:qFormat/>
    <w:uiPriority w:val="34"/>
    <w:pPr>
      <w:ind w:firstLine="420" w:firstLineChars="200"/>
    </w:pPr>
  </w:style>
  <w:style w:type="paragraph" w:styleId="1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b:Sources xmlns:b="http://schemas.openxmlformats.org/officeDocument/2006/bibliography" SelectedStyle="\APA.XSL" StyleName="APA" xmlns:b="http://schemas.openxmlformats.org/officeDocument/2006/bibliography"/>

</file>

<file path=customXml/itemProps1.xml><?xml version="1.0" encoding="utf-8"?>
<ds:datastoreItem xmlns:ds="http://schemas.openxmlformats.org/officeDocument/2006/customXml" ds:itemID="{63804073-8D62-4925-B123-509ECF4704E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28</Pages>
  <Words>2328</Words>
  <Characters>2353</Characters>
  <Lines>87</Lines>
  <Paragraphs>24</Paragraphs>
  <TotalTime>25</TotalTime>
  <ScaleCrop>false</ScaleCrop>
  <LinksUpToDate>false</LinksUpToDate>
  <CharactersWithSpaces>2418</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2019-03-10T16:45:00Z</dcterms:created>
  <dc:creator>null</dc:creator>
  <cp:lastModifiedBy>lyadmin</cp:lastModifiedBy>
  <cp:lastPrinted>2026-01-20T14:38:00Z</cp:lastPrinted>
  <dcterms:modified xsi:type="dcterms:W3CDTF">2026-01-21T11:21:59Z</dcterms:modified>
  <cp:revision>154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eyJoZGlkIjoiMzM0MzQ1NmQ2YmFmMzFmNGJiNDA4MGE0ODI5YzlkMmUiLCJ1c2VySWQiOiIzNzMxNTI3ODcifQ==</vt:lpwstr>
  </property>
  <property fmtid="{D5CDD505-2E9C-101B-9397-08002B2CF9AE}" pid="4" name="ICV">
    <vt:lpwstr>2BCE864DFC924FE093F9ACCADD50209A_12</vt:lpwstr>
  </property>
</Properties>
</file>