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rPr>
          <w:sz w:val="32"/>
          <w:szCs w:val="32"/>
        </w:rPr>
      </w:pPr>
    </w:p>
    <w:p>
      <w:pPr>
        <w:widowControl/>
        <w:jc w:val="center"/>
        <w:rPr>
          <w:sz w:val="84"/>
          <w:szCs w:val="84"/>
        </w:rPr>
      </w:pPr>
    </w:p>
    <w:p>
      <w:pPr>
        <w:widowControl/>
        <w:jc w:val="center"/>
        <w:rPr>
          <w:sz w:val="84"/>
          <w:szCs w:val="84"/>
        </w:rPr>
      </w:pPr>
    </w:p>
    <w:p>
      <w:pPr>
        <w:widowControl/>
        <w:jc w:val="center"/>
        <w:rPr>
          <w:rFonts w:ascii="方正小标宋简体" w:eastAsia="方正小标宋简体"/>
          <w:sz w:val="84"/>
          <w:szCs w:val="84"/>
        </w:rPr>
      </w:pPr>
      <w:r>
        <w:rPr>
          <w:rFonts w:hint="eastAsia" w:ascii="方正小标宋简体" w:eastAsia="方正小标宋简体"/>
          <w:sz w:val="84"/>
          <w:szCs w:val="84"/>
          <w:lang w:val="en-US" w:eastAsia="zh-CN"/>
        </w:rPr>
        <w:t>2025</w:t>
      </w:r>
      <w:r>
        <w:rPr>
          <w:rFonts w:hint="eastAsia" w:ascii="方正小标宋简体" w:eastAsia="方正小标宋简体"/>
          <w:sz w:val="84"/>
          <w:szCs w:val="84"/>
        </w:rPr>
        <w:t>年度</w:t>
      </w:r>
    </w:p>
    <w:p>
      <w:pPr>
        <w:widowControl/>
        <w:jc w:val="center"/>
        <w:rPr>
          <w:rFonts w:ascii="方正小标宋简体" w:eastAsia="方正小标宋简体"/>
          <w:sz w:val="84"/>
          <w:szCs w:val="84"/>
        </w:rPr>
      </w:pPr>
      <w:r>
        <w:rPr>
          <w:rFonts w:hint="eastAsia" w:ascii="方正小标宋简体" w:eastAsia="方正小标宋简体"/>
          <w:sz w:val="84"/>
          <w:szCs w:val="84"/>
        </w:rPr>
        <w:t>漳平市救助站</w:t>
      </w:r>
    </w:p>
    <w:p>
      <w:pPr>
        <w:widowControl/>
        <w:jc w:val="center"/>
        <w:rPr>
          <w:rFonts w:ascii="方正小标宋简体" w:eastAsia="方正小标宋简体"/>
          <w:sz w:val="84"/>
          <w:szCs w:val="84"/>
        </w:rPr>
      </w:pPr>
      <w:r>
        <w:rPr>
          <w:rFonts w:hint="eastAsia" w:ascii="方正小标宋简体" w:eastAsia="方正小标宋简体"/>
          <w:sz w:val="84"/>
          <w:szCs w:val="84"/>
          <w:lang w:eastAsia="zh-CN"/>
        </w:rPr>
        <w:t>单位</w:t>
      </w:r>
      <w:r>
        <w:rPr>
          <w:rFonts w:hint="eastAsia" w:ascii="方正小标宋简体" w:eastAsia="方正小标宋简体"/>
          <w:sz w:val="84"/>
          <w:szCs w:val="84"/>
        </w:rPr>
        <w:t>预算</w:t>
      </w:r>
    </w:p>
    <w:p>
      <w:pPr>
        <w:widowControl/>
        <w:rPr>
          <w:sz w:val="84"/>
          <w:szCs w:val="84"/>
        </w:rPr>
      </w:pPr>
      <w:r>
        <w:rPr>
          <w:sz w:val="84"/>
          <w:szCs w:val="84"/>
        </w:rPr>
        <w:br w:type="page"/>
      </w:r>
    </w:p>
    <w:p>
      <w:pPr>
        <w:pStyle w:val="2"/>
        <w:jc w:val="center"/>
        <w:rPr>
          <w:rFonts w:ascii="方正小标宋简体" w:eastAsia="方正小标宋简体" w:hAnsiTheme="majorEastAsia"/>
          <w:sz w:val="44"/>
          <w:lang w:eastAsia="zh-CN"/>
        </w:rPr>
      </w:pPr>
      <w:r>
        <w:rPr>
          <w:rFonts w:hint="eastAsia" w:ascii="方正小标宋简体" w:eastAsia="方正小标宋简体" w:hAnsiTheme="majorEastAsia"/>
          <w:sz w:val="44"/>
          <w:lang w:eastAsia="zh-CN"/>
        </w:rPr>
        <w:t>目</w:t>
      </w:r>
      <w:r>
        <w:rPr>
          <w:rFonts w:ascii="方正小标宋简体" w:eastAsia="方正小标宋简体" w:hAnsiTheme="majorEastAsia"/>
          <w:sz w:val="44"/>
          <w:lang w:eastAsia="zh-CN"/>
        </w:rPr>
        <w:t xml:space="preserve">  </w:t>
      </w:r>
      <w:r>
        <w:rPr>
          <w:rFonts w:hint="eastAsia" w:ascii="方正小标宋简体" w:eastAsia="方正小标宋简体" w:hAnsiTheme="majorEastAsia"/>
          <w:sz w:val="44"/>
          <w:lang w:eastAsia="zh-CN"/>
        </w:rPr>
        <w:t>录</w:t>
      </w:r>
    </w:p>
    <w:p>
      <w:pPr>
        <w:pStyle w:val="2"/>
        <w:rPr>
          <w:rFonts w:asciiTheme="majorEastAsia" w:hAnsiTheme="majorEastAsia" w:eastAsiaTheme="majorEastAsia"/>
          <w:sz w:val="36"/>
          <w:lang w:eastAsia="zh-CN"/>
        </w:rPr>
      </w:pPr>
    </w:p>
    <w:p>
      <w:pPr>
        <w:pStyle w:val="2"/>
        <w:rPr>
          <w:rFonts w:hint="default" w:ascii="仿宋" w:hAnsi="仿宋" w:eastAsia="仿宋"/>
          <w:b/>
          <w:sz w:val="36"/>
          <w:lang w:val="en-US" w:eastAsia="zh-CN"/>
        </w:rPr>
      </w:pPr>
      <w:r>
        <w:rPr>
          <w:rFonts w:hint="eastAsia" w:ascii="仿宋" w:hAnsi="仿宋" w:eastAsia="仿宋"/>
          <w:b/>
          <w:sz w:val="36"/>
          <w:lang w:eastAsia="zh-CN"/>
        </w:rPr>
        <w:t>第一部分</w:t>
      </w:r>
      <w:r>
        <w:rPr>
          <w:rFonts w:ascii="仿宋" w:hAnsi="仿宋" w:eastAsia="仿宋"/>
          <w:b/>
          <w:sz w:val="36"/>
          <w:lang w:eastAsia="zh-CN"/>
        </w:rPr>
        <w:t xml:space="preserve"> </w:t>
      </w:r>
      <w:r>
        <w:rPr>
          <w:rFonts w:hint="eastAsia" w:ascii="仿宋" w:hAnsi="仿宋" w:eastAsia="仿宋"/>
          <w:b/>
          <w:sz w:val="36"/>
          <w:lang w:eastAsia="zh-CN"/>
        </w:rPr>
        <w:t>单位概况</w:t>
      </w:r>
      <w:r>
        <w:rPr>
          <w:rFonts w:ascii="仿宋" w:hAnsi="仿宋" w:eastAsia="仿宋"/>
          <w:b/>
          <w:sz w:val="36"/>
          <w:lang w:eastAsia="zh-CN"/>
        </w:rPr>
        <w:t>…………………………………</w:t>
      </w:r>
      <w:r>
        <w:rPr>
          <w:rFonts w:hint="eastAsia" w:ascii="仿宋" w:hAnsi="仿宋" w:eastAsia="仿宋"/>
          <w:b/>
          <w:sz w:val="36"/>
          <w:lang w:val="en-US" w:eastAsia="zh-CN"/>
        </w:rPr>
        <w:t>4</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一、单位主要职责</w:t>
      </w:r>
      <w:r>
        <w:rPr>
          <w:rFonts w:ascii="仿宋" w:hAnsi="仿宋" w:eastAsia="仿宋"/>
          <w:b/>
          <w:sz w:val="36"/>
          <w:lang w:eastAsia="zh-CN"/>
        </w:rPr>
        <w:t>…………………………………</w:t>
      </w:r>
      <w:r>
        <w:rPr>
          <w:rFonts w:hint="eastAsia" w:ascii="仿宋" w:hAnsi="仿宋" w:eastAsia="仿宋"/>
          <w:b/>
          <w:sz w:val="36"/>
          <w:lang w:val="en-US" w:eastAsia="zh-CN"/>
        </w:rPr>
        <w:t>5</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二、单位预算单位构成</w:t>
      </w:r>
      <w:r>
        <w:rPr>
          <w:rFonts w:ascii="仿宋" w:hAnsi="仿宋" w:eastAsia="仿宋"/>
          <w:sz w:val="36"/>
          <w:lang w:eastAsia="zh-CN"/>
        </w:rPr>
        <w:t>……………………………</w:t>
      </w:r>
      <w:r>
        <w:rPr>
          <w:rFonts w:hint="eastAsia" w:ascii="仿宋" w:hAnsi="仿宋" w:eastAsia="仿宋"/>
          <w:sz w:val="36"/>
          <w:lang w:val="en-US" w:eastAsia="zh-CN"/>
        </w:rPr>
        <w:t>5</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三、单位主要工作任务</w:t>
      </w:r>
      <w:r>
        <w:rPr>
          <w:rFonts w:ascii="仿宋" w:hAnsi="仿宋" w:eastAsia="仿宋"/>
          <w:sz w:val="36"/>
          <w:lang w:eastAsia="zh-CN"/>
        </w:rPr>
        <w:t>……………………………</w:t>
      </w:r>
      <w:r>
        <w:rPr>
          <w:rFonts w:hint="eastAsia" w:ascii="仿宋" w:hAnsi="仿宋" w:eastAsia="仿宋"/>
          <w:sz w:val="36"/>
          <w:lang w:val="en-US" w:eastAsia="zh-CN"/>
        </w:rPr>
        <w:t>5</w:t>
      </w:r>
    </w:p>
    <w:p>
      <w:pPr>
        <w:pStyle w:val="2"/>
        <w:rPr>
          <w:rFonts w:hint="default" w:ascii="仿宋" w:hAnsi="仿宋" w:eastAsia="仿宋"/>
          <w:b/>
          <w:sz w:val="36"/>
          <w:lang w:val="en-US" w:eastAsia="zh-CN"/>
        </w:rPr>
      </w:pPr>
      <w:r>
        <w:rPr>
          <w:rFonts w:hint="eastAsia" w:ascii="仿宋" w:hAnsi="仿宋" w:eastAsia="仿宋"/>
          <w:b/>
          <w:sz w:val="36"/>
          <w:lang w:eastAsia="zh-CN"/>
        </w:rPr>
        <w:t>第二部分</w:t>
      </w:r>
      <w:r>
        <w:rPr>
          <w:rFonts w:ascii="仿宋" w:hAnsi="仿宋" w:eastAsia="仿宋"/>
          <w:b/>
          <w:sz w:val="36"/>
          <w:lang w:eastAsia="zh-CN"/>
        </w:rPr>
        <w:t xml:space="preserve"> </w:t>
      </w:r>
      <w:r>
        <w:rPr>
          <w:rFonts w:hint="eastAsia" w:ascii="仿宋" w:hAnsi="仿宋" w:eastAsia="仿宋"/>
          <w:b/>
          <w:sz w:val="36"/>
          <w:lang w:val="en-US" w:eastAsia="zh-CN"/>
        </w:rPr>
        <w:t>2025</w:t>
      </w:r>
      <w:r>
        <w:rPr>
          <w:rFonts w:hint="eastAsia" w:ascii="仿宋" w:hAnsi="仿宋" w:eastAsia="仿宋"/>
          <w:b/>
          <w:sz w:val="36"/>
          <w:lang w:eastAsia="zh-CN"/>
        </w:rPr>
        <w:t>年度单位预算表</w:t>
      </w:r>
      <w:r>
        <w:rPr>
          <w:rFonts w:ascii="仿宋" w:hAnsi="仿宋" w:eastAsia="仿宋"/>
          <w:sz w:val="36"/>
          <w:lang w:eastAsia="zh-CN"/>
        </w:rPr>
        <w:t>……………………</w:t>
      </w:r>
      <w:r>
        <w:rPr>
          <w:rFonts w:hint="eastAsia" w:ascii="仿宋" w:hAnsi="仿宋" w:eastAsia="仿宋"/>
          <w:sz w:val="36"/>
          <w:lang w:val="en-US" w:eastAsia="zh-CN"/>
        </w:rPr>
        <w:t>7</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一、收支预算总表</w:t>
      </w:r>
      <w:r>
        <w:rPr>
          <w:rFonts w:ascii="仿宋" w:hAnsi="仿宋" w:eastAsia="仿宋"/>
          <w:sz w:val="36"/>
          <w:lang w:eastAsia="zh-CN"/>
        </w:rPr>
        <w:t>…………………………………</w:t>
      </w:r>
      <w:r>
        <w:rPr>
          <w:rFonts w:hint="eastAsia" w:ascii="仿宋" w:hAnsi="仿宋" w:eastAsia="仿宋"/>
          <w:sz w:val="36"/>
          <w:lang w:val="en-US" w:eastAsia="zh-CN"/>
        </w:rPr>
        <w:t>8</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二、收入预算总表</w:t>
      </w:r>
      <w:r>
        <w:rPr>
          <w:rFonts w:ascii="仿宋" w:hAnsi="仿宋" w:eastAsia="仿宋"/>
          <w:sz w:val="36"/>
          <w:lang w:eastAsia="zh-CN"/>
        </w:rPr>
        <w:t>…………………………………</w:t>
      </w:r>
      <w:r>
        <w:rPr>
          <w:rFonts w:hint="eastAsia" w:ascii="仿宋" w:hAnsi="仿宋" w:eastAsia="仿宋"/>
          <w:sz w:val="36"/>
          <w:lang w:val="en-US" w:eastAsia="zh-CN"/>
        </w:rPr>
        <w:t>9</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三、支出预算总表</w:t>
      </w:r>
      <w:r>
        <w:rPr>
          <w:rFonts w:ascii="仿宋" w:hAnsi="仿宋" w:eastAsia="仿宋"/>
          <w:sz w:val="36"/>
          <w:lang w:eastAsia="zh-CN"/>
        </w:rPr>
        <w:t>…………………………………</w:t>
      </w:r>
      <w:r>
        <w:rPr>
          <w:rFonts w:hint="eastAsia" w:ascii="仿宋" w:hAnsi="仿宋" w:eastAsia="仿宋"/>
          <w:sz w:val="36"/>
          <w:lang w:val="en-US" w:eastAsia="zh-CN"/>
        </w:rPr>
        <w:t>10</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四、财政拨款收支预算总表</w:t>
      </w:r>
      <w:r>
        <w:rPr>
          <w:rFonts w:ascii="仿宋" w:hAnsi="仿宋" w:eastAsia="仿宋"/>
          <w:sz w:val="36"/>
          <w:lang w:eastAsia="zh-CN"/>
        </w:rPr>
        <w:t>………………………</w:t>
      </w:r>
      <w:r>
        <w:rPr>
          <w:rFonts w:hint="eastAsia" w:ascii="仿宋" w:hAnsi="仿宋" w:eastAsia="仿宋"/>
          <w:sz w:val="36"/>
          <w:lang w:val="en-US" w:eastAsia="zh-CN"/>
        </w:rPr>
        <w:t>11</w:t>
      </w:r>
      <w:r>
        <w:rPr>
          <w:rFonts w:hint="eastAsia" w:ascii="仿宋" w:hAnsi="仿宋" w:eastAsia="仿宋"/>
          <w:sz w:val="36"/>
          <w:lang w:eastAsia="zh-CN"/>
        </w:rPr>
        <w:t>五、一般公共预算拨款支出预算表</w:t>
      </w:r>
      <w:r>
        <w:rPr>
          <w:rFonts w:ascii="仿宋" w:hAnsi="仿宋" w:eastAsia="仿宋"/>
          <w:sz w:val="36"/>
          <w:lang w:eastAsia="zh-CN"/>
        </w:rPr>
        <w:t>………………</w:t>
      </w:r>
      <w:r>
        <w:rPr>
          <w:rFonts w:hint="eastAsia" w:ascii="仿宋" w:hAnsi="仿宋" w:eastAsia="仿宋"/>
          <w:sz w:val="36"/>
          <w:lang w:eastAsia="zh-CN"/>
        </w:rPr>
        <w:t>…</w:t>
      </w:r>
      <w:r>
        <w:rPr>
          <w:rFonts w:hint="eastAsia" w:ascii="仿宋" w:hAnsi="仿宋" w:eastAsia="仿宋"/>
          <w:sz w:val="36"/>
          <w:lang w:val="en-US" w:eastAsia="zh-CN"/>
        </w:rPr>
        <w:t>12</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六、政府性基金预算拨款支出预算表</w:t>
      </w:r>
      <w:r>
        <w:rPr>
          <w:rFonts w:ascii="仿宋" w:hAnsi="仿宋" w:eastAsia="仿宋"/>
          <w:sz w:val="36"/>
          <w:lang w:eastAsia="zh-CN"/>
        </w:rPr>
        <w:t>……………</w:t>
      </w:r>
      <w:r>
        <w:rPr>
          <w:rFonts w:hint="eastAsia" w:ascii="仿宋" w:hAnsi="仿宋" w:eastAsia="仿宋"/>
          <w:sz w:val="36"/>
          <w:lang w:val="en-US" w:eastAsia="zh-CN"/>
        </w:rPr>
        <w:t>12</w:t>
      </w:r>
      <w:r>
        <w:rPr>
          <w:rFonts w:hint="eastAsia" w:ascii="仿宋" w:hAnsi="仿宋" w:eastAsia="仿宋"/>
          <w:sz w:val="36"/>
          <w:lang w:eastAsia="zh-CN"/>
        </w:rPr>
        <w:t>七、国有资本经营预算拨款支出预算表……………</w:t>
      </w:r>
      <w:r>
        <w:rPr>
          <w:rFonts w:hint="eastAsia" w:ascii="仿宋" w:hAnsi="仿宋" w:eastAsia="仿宋"/>
          <w:sz w:val="36"/>
          <w:lang w:val="en-US" w:eastAsia="zh-CN"/>
        </w:rPr>
        <w:t>13</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八、一般公共预算支出经济分类情况表</w:t>
      </w:r>
      <w:r>
        <w:rPr>
          <w:rFonts w:ascii="仿宋" w:hAnsi="仿宋" w:eastAsia="仿宋"/>
          <w:sz w:val="36"/>
          <w:lang w:eastAsia="zh-CN"/>
        </w:rPr>
        <w:t>…………</w:t>
      </w:r>
      <w:r>
        <w:rPr>
          <w:rFonts w:hint="eastAsia" w:ascii="仿宋" w:hAnsi="仿宋" w:eastAsia="仿宋"/>
          <w:sz w:val="36"/>
          <w:lang w:val="en-US" w:eastAsia="zh-CN"/>
        </w:rPr>
        <w:t>14</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九、一般公共预算基本支出经济分类情况表</w:t>
      </w:r>
      <w:r>
        <w:rPr>
          <w:rFonts w:ascii="仿宋" w:hAnsi="仿宋" w:eastAsia="仿宋"/>
          <w:sz w:val="36"/>
          <w:lang w:eastAsia="zh-CN"/>
        </w:rPr>
        <w:t>……</w:t>
      </w:r>
      <w:r>
        <w:rPr>
          <w:rFonts w:hint="eastAsia" w:ascii="仿宋" w:hAnsi="仿宋" w:eastAsia="仿宋"/>
          <w:sz w:val="36"/>
          <w:lang w:val="en-US" w:eastAsia="zh-CN"/>
        </w:rPr>
        <w:t>14</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十、一般公共预算“三公”经费支出预算表</w:t>
      </w:r>
      <w:r>
        <w:rPr>
          <w:rFonts w:ascii="仿宋" w:hAnsi="仿宋" w:eastAsia="仿宋"/>
          <w:sz w:val="36"/>
          <w:lang w:eastAsia="zh-CN"/>
        </w:rPr>
        <w:t>……</w:t>
      </w:r>
      <w:r>
        <w:rPr>
          <w:rFonts w:hint="eastAsia" w:ascii="仿宋" w:hAnsi="仿宋" w:eastAsia="仿宋"/>
          <w:sz w:val="36"/>
          <w:lang w:val="en-US" w:eastAsia="zh-CN"/>
        </w:rPr>
        <w:t>18</w:t>
      </w:r>
    </w:p>
    <w:p>
      <w:pPr>
        <w:pStyle w:val="2"/>
        <w:ind w:firstLine="360" w:firstLineChars="100"/>
        <w:rPr>
          <w:rFonts w:hint="default" w:ascii="仿宋" w:hAnsi="仿宋" w:eastAsia="仿宋"/>
          <w:sz w:val="36"/>
          <w:lang w:val="en-US" w:eastAsia="zh-CN"/>
        </w:rPr>
      </w:pPr>
      <w:r>
        <w:rPr>
          <w:rFonts w:hint="eastAsia" w:ascii="仿宋" w:hAnsi="仿宋" w:eastAsia="仿宋"/>
          <w:sz w:val="36"/>
          <w:lang w:eastAsia="zh-CN"/>
        </w:rPr>
        <w:t>十一、单位专项资金管理清单目录</w:t>
      </w:r>
      <w:r>
        <w:rPr>
          <w:rFonts w:ascii="仿宋" w:hAnsi="仿宋" w:eastAsia="仿宋"/>
          <w:sz w:val="36"/>
          <w:lang w:eastAsia="zh-CN"/>
        </w:rPr>
        <w:t>………………</w:t>
      </w:r>
      <w:r>
        <w:rPr>
          <w:rFonts w:hint="eastAsia" w:ascii="仿宋" w:hAnsi="仿宋" w:eastAsia="仿宋"/>
          <w:sz w:val="36"/>
          <w:lang w:val="en-US" w:eastAsia="zh-CN"/>
        </w:rPr>
        <w:t>19</w:t>
      </w:r>
    </w:p>
    <w:p>
      <w:pPr>
        <w:widowControl/>
        <w:rPr>
          <w:rFonts w:hint="default" w:ascii="仿宋" w:hAnsi="仿宋" w:eastAsia="仿宋"/>
          <w:b/>
          <w:sz w:val="40"/>
          <w:lang w:val="en-US" w:eastAsia="zh-CN"/>
        </w:rPr>
      </w:pPr>
      <w:r>
        <w:rPr>
          <w:rFonts w:hint="eastAsia" w:ascii="仿宋" w:hAnsi="仿宋" w:eastAsia="仿宋"/>
          <w:b/>
          <w:sz w:val="40"/>
        </w:rPr>
        <w:t>第三部分</w:t>
      </w:r>
      <w:r>
        <w:rPr>
          <w:rFonts w:ascii="仿宋" w:hAnsi="仿宋" w:eastAsia="仿宋"/>
          <w:b/>
          <w:sz w:val="40"/>
        </w:rPr>
        <w:t xml:space="preserve"> </w:t>
      </w:r>
      <w:r>
        <w:rPr>
          <w:rFonts w:hint="eastAsia" w:ascii="仿宋" w:hAnsi="仿宋" w:eastAsia="仿宋"/>
          <w:b/>
          <w:sz w:val="40"/>
          <w:lang w:val="en-US" w:eastAsia="zh-CN"/>
        </w:rPr>
        <w:t>2025</w:t>
      </w:r>
      <w:r>
        <w:rPr>
          <w:rFonts w:hint="eastAsia" w:ascii="仿宋" w:hAnsi="仿宋" w:eastAsia="仿宋"/>
          <w:b/>
          <w:sz w:val="40"/>
        </w:rPr>
        <w:t>年度</w:t>
      </w:r>
      <w:r>
        <w:rPr>
          <w:rFonts w:hint="eastAsia" w:ascii="仿宋" w:hAnsi="仿宋" w:eastAsia="仿宋"/>
          <w:b/>
          <w:sz w:val="40"/>
          <w:lang w:eastAsia="zh-CN"/>
        </w:rPr>
        <w:t>单位</w:t>
      </w:r>
      <w:r>
        <w:rPr>
          <w:rFonts w:hint="eastAsia" w:ascii="仿宋" w:hAnsi="仿宋" w:eastAsia="仿宋"/>
          <w:b/>
          <w:sz w:val="40"/>
        </w:rPr>
        <w:t>预算情况说明</w:t>
      </w:r>
      <w:r>
        <w:rPr>
          <w:rFonts w:ascii="仿宋" w:hAnsi="仿宋" w:eastAsia="仿宋"/>
          <w:sz w:val="36"/>
        </w:rPr>
        <w:t>………</w:t>
      </w:r>
      <w:r>
        <w:rPr>
          <w:rFonts w:hint="eastAsia" w:ascii="仿宋" w:hAnsi="仿宋" w:eastAsia="仿宋"/>
          <w:sz w:val="36"/>
          <w:lang w:val="en-US" w:eastAsia="zh-CN"/>
        </w:rPr>
        <w:t>20</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一、预算收支总体情况</w:t>
      </w:r>
      <w:r>
        <w:rPr>
          <w:rFonts w:ascii="仿宋" w:hAnsi="仿宋" w:eastAsia="仿宋"/>
          <w:sz w:val="36"/>
        </w:rPr>
        <w:t>…………………</w:t>
      </w:r>
      <w:r>
        <w:rPr>
          <w:rFonts w:ascii="仿宋" w:hAnsi="仿宋" w:eastAsia="仿宋" w:cs="Times New Roman"/>
          <w:kern w:val="0"/>
          <w:sz w:val="36"/>
          <w:szCs w:val="20"/>
        </w:rPr>
        <w:t>…</w:t>
      </w:r>
      <w:r>
        <w:rPr>
          <w:rFonts w:ascii="仿宋" w:hAnsi="仿宋" w:eastAsia="仿宋"/>
          <w:sz w:val="36"/>
        </w:rPr>
        <w:t>………</w:t>
      </w:r>
      <w:r>
        <w:rPr>
          <w:rFonts w:hint="eastAsia" w:ascii="仿宋" w:hAnsi="仿宋" w:eastAsia="仿宋"/>
          <w:sz w:val="36"/>
          <w:lang w:val="en-US" w:eastAsia="zh-CN"/>
        </w:rPr>
        <w:t>21</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二、一般公共预算拨款支出情况</w:t>
      </w:r>
      <w:r>
        <w:rPr>
          <w:rFonts w:ascii="仿宋" w:hAnsi="仿宋" w:eastAsia="仿宋" w:cs="Times New Roman"/>
          <w:kern w:val="0"/>
          <w:sz w:val="36"/>
          <w:szCs w:val="20"/>
        </w:rPr>
        <w:t>…………………</w:t>
      </w:r>
      <w:r>
        <w:rPr>
          <w:rFonts w:hint="eastAsia" w:ascii="仿宋" w:hAnsi="仿宋" w:eastAsia="仿宋" w:cs="Times New Roman"/>
          <w:kern w:val="0"/>
          <w:sz w:val="36"/>
          <w:szCs w:val="20"/>
          <w:lang w:val="en-US" w:eastAsia="zh-CN"/>
        </w:rPr>
        <w:t>21</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三、政府性基金预算拨款支出情况</w:t>
      </w:r>
      <w:r>
        <w:rPr>
          <w:rFonts w:ascii="仿宋" w:hAnsi="仿宋" w:eastAsia="仿宋" w:cs="Times New Roman"/>
          <w:kern w:val="0"/>
          <w:sz w:val="36"/>
          <w:szCs w:val="20"/>
        </w:rPr>
        <w:t>………………</w:t>
      </w:r>
      <w:r>
        <w:rPr>
          <w:rFonts w:hint="eastAsia" w:ascii="仿宋" w:hAnsi="仿宋" w:eastAsia="仿宋" w:cs="Times New Roman"/>
          <w:kern w:val="0"/>
          <w:sz w:val="36"/>
          <w:szCs w:val="20"/>
          <w:lang w:val="en-US" w:eastAsia="zh-CN"/>
        </w:rPr>
        <w:t>22</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四、国有资本经营预算拨款支出情况……………</w:t>
      </w:r>
      <w:r>
        <w:rPr>
          <w:rFonts w:hint="eastAsia" w:ascii="仿宋" w:hAnsi="仿宋" w:eastAsia="仿宋" w:cs="Times New Roman"/>
          <w:kern w:val="0"/>
          <w:sz w:val="36"/>
          <w:szCs w:val="20"/>
          <w:lang w:val="en-US" w:eastAsia="zh-CN"/>
        </w:rPr>
        <w:t>22</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五、一般公共预算拨款基本支出情况</w:t>
      </w:r>
      <w:r>
        <w:rPr>
          <w:rFonts w:ascii="仿宋" w:hAnsi="仿宋" w:eastAsia="仿宋" w:cs="Times New Roman"/>
          <w:kern w:val="0"/>
          <w:sz w:val="36"/>
          <w:szCs w:val="20"/>
        </w:rPr>
        <w:t>……………</w:t>
      </w:r>
      <w:r>
        <w:rPr>
          <w:rFonts w:hint="eastAsia" w:ascii="仿宋" w:hAnsi="仿宋" w:eastAsia="仿宋" w:cs="Times New Roman"/>
          <w:kern w:val="0"/>
          <w:sz w:val="36"/>
          <w:szCs w:val="20"/>
          <w:lang w:val="en-US" w:eastAsia="zh-CN"/>
        </w:rPr>
        <w:t>22</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六、一般公共预算“三公”经费支出情况</w:t>
      </w:r>
      <w:r>
        <w:rPr>
          <w:rFonts w:ascii="仿宋" w:hAnsi="仿宋" w:eastAsia="仿宋" w:cs="Times New Roman"/>
          <w:kern w:val="0"/>
          <w:sz w:val="36"/>
          <w:szCs w:val="20"/>
        </w:rPr>
        <w:t>…</w:t>
      </w:r>
      <w:r>
        <w:rPr>
          <w:rFonts w:hint="eastAsia" w:ascii="仿宋" w:hAnsi="仿宋" w:eastAsia="仿宋" w:cs="Times New Roman"/>
          <w:kern w:val="0"/>
          <w:sz w:val="36"/>
          <w:szCs w:val="20"/>
        </w:rPr>
        <w:t>…</w:t>
      </w:r>
      <w:r>
        <w:rPr>
          <w:rFonts w:ascii="仿宋" w:hAnsi="仿宋" w:eastAsia="仿宋" w:cs="Times New Roman"/>
          <w:kern w:val="0"/>
          <w:sz w:val="36"/>
          <w:szCs w:val="20"/>
        </w:rPr>
        <w:t>…</w:t>
      </w:r>
      <w:r>
        <w:rPr>
          <w:rFonts w:hint="eastAsia" w:ascii="仿宋" w:hAnsi="仿宋" w:eastAsia="仿宋" w:cs="Times New Roman"/>
          <w:kern w:val="0"/>
          <w:sz w:val="36"/>
          <w:szCs w:val="20"/>
          <w:lang w:val="en-US" w:eastAsia="zh-CN"/>
        </w:rPr>
        <w:t>23</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七、预算绩效目标情况</w:t>
      </w:r>
      <w:r>
        <w:rPr>
          <w:rFonts w:ascii="仿宋" w:hAnsi="仿宋" w:eastAsia="仿宋" w:cs="Times New Roman"/>
          <w:kern w:val="0"/>
          <w:sz w:val="36"/>
          <w:szCs w:val="20"/>
        </w:rPr>
        <w:t>……………………………</w:t>
      </w:r>
      <w:r>
        <w:rPr>
          <w:rFonts w:hint="eastAsia" w:ascii="仿宋" w:hAnsi="仿宋" w:eastAsia="仿宋" w:cs="Times New Roman"/>
          <w:kern w:val="0"/>
          <w:sz w:val="36"/>
          <w:szCs w:val="20"/>
          <w:lang w:val="en-US" w:eastAsia="zh-CN"/>
        </w:rPr>
        <w:t>24</w:t>
      </w:r>
    </w:p>
    <w:p>
      <w:pPr>
        <w:widowControl/>
        <w:ind w:firstLine="360" w:firstLineChars="100"/>
        <w:rPr>
          <w:rFonts w:hint="default" w:ascii="仿宋" w:hAnsi="仿宋" w:eastAsia="仿宋" w:cs="Times New Roman"/>
          <w:kern w:val="0"/>
          <w:sz w:val="36"/>
          <w:szCs w:val="20"/>
          <w:lang w:val="en-US" w:eastAsia="zh-CN"/>
        </w:rPr>
      </w:pPr>
      <w:r>
        <w:rPr>
          <w:rFonts w:hint="eastAsia" w:ascii="仿宋" w:hAnsi="仿宋" w:eastAsia="仿宋" w:cs="Times New Roman"/>
          <w:kern w:val="0"/>
          <w:sz w:val="36"/>
          <w:szCs w:val="20"/>
        </w:rPr>
        <w:t>八、其他重要事项说明</w:t>
      </w:r>
      <w:r>
        <w:rPr>
          <w:rFonts w:ascii="仿宋" w:hAnsi="仿宋" w:eastAsia="仿宋" w:cs="Times New Roman"/>
          <w:kern w:val="0"/>
          <w:sz w:val="36"/>
          <w:szCs w:val="20"/>
        </w:rPr>
        <w:t>……………………………</w:t>
      </w:r>
      <w:r>
        <w:rPr>
          <w:rFonts w:hint="eastAsia" w:ascii="仿宋" w:hAnsi="仿宋" w:eastAsia="仿宋" w:cs="Times New Roman"/>
          <w:kern w:val="0"/>
          <w:sz w:val="36"/>
          <w:szCs w:val="20"/>
          <w:lang w:val="en-US" w:eastAsia="zh-CN"/>
        </w:rPr>
        <w:t>24</w:t>
      </w:r>
    </w:p>
    <w:p>
      <w:pPr>
        <w:pStyle w:val="2"/>
        <w:spacing w:before="3"/>
        <w:rPr>
          <w:rFonts w:hint="default" w:ascii="仿宋" w:hAnsi="仿宋" w:eastAsia="仿宋"/>
          <w:sz w:val="26"/>
          <w:lang w:val="en-US" w:eastAsia="zh-CN"/>
        </w:rPr>
      </w:pPr>
      <w:r>
        <w:rPr>
          <w:rFonts w:hint="eastAsia" w:ascii="仿宋" w:hAnsi="仿宋" w:eastAsia="仿宋"/>
          <w:b/>
          <w:sz w:val="40"/>
          <w:lang w:eastAsia="zh-CN"/>
        </w:rPr>
        <w:t>第四部分</w:t>
      </w:r>
      <w:r>
        <w:rPr>
          <w:rFonts w:ascii="仿宋" w:hAnsi="仿宋" w:eastAsia="仿宋"/>
          <w:b/>
          <w:sz w:val="40"/>
          <w:lang w:eastAsia="zh-CN"/>
        </w:rPr>
        <w:t xml:space="preserve"> </w:t>
      </w:r>
      <w:r>
        <w:rPr>
          <w:rFonts w:hint="eastAsia" w:ascii="仿宋" w:hAnsi="仿宋" w:eastAsia="仿宋"/>
          <w:b/>
          <w:sz w:val="40"/>
          <w:lang w:eastAsia="zh-CN"/>
        </w:rPr>
        <w:t>名词解释</w:t>
      </w:r>
      <w:r>
        <w:rPr>
          <w:rFonts w:ascii="仿宋" w:hAnsi="仿宋" w:eastAsia="仿宋"/>
          <w:sz w:val="36"/>
          <w:lang w:eastAsia="zh-CN"/>
        </w:rPr>
        <w:t>……………………………</w:t>
      </w:r>
      <w:r>
        <w:rPr>
          <w:rFonts w:hint="eastAsia" w:ascii="仿宋" w:hAnsi="仿宋" w:eastAsia="仿宋"/>
          <w:sz w:val="36"/>
          <w:lang w:eastAsia="zh-CN"/>
        </w:rPr>
        <w:t>…</w:t>
      </w:r>
      <w:r>
        <w:rPr>
          <w:rFonts w:hint="eastAsia" w:ascii="仿宋" w:hAnsi="仿宋" w:eastAsia="仿宋"/>
          <w:sz w:val="36"/>
          <w:lang w:val="en-US" w:eastAsia="zh-CN"/>
        </w:rPr>
        <w:t>26</w:t>
      </w:r>
    </w:p>
    <w:p>
      <w:pPr>
        <w:widowControl/>
      </w:pPr>
      <w:r>
        <w:tab/>
      </w:r>
    </w:p>
    <w:p>
      <w:pPr>
        <w:widowControl/>
        <w:spacing w:line="240" w:lineRule="auto"/>
        <w:jc w:val="left"/>
        <w:rPr>
          <w:rFonts w:ascii="黑体" w:hAnsi="黑体" w:eastAsia="黑体" w:cs="Times New Roman"/>
          <w:kern w:val="0"/>
          <w:sz w:val="36"/>
          <w:szCs w:val="36"/>
        </w:rPr>
      </w:pPr>
      <w:r>
        <w:rPr>
          <w:rFonts w:ascii="黑体" w:hAnsi="黑体" w:eastAsia="黑体"/>
          <w:sz w:val="36"/>
          <w:szCs w:val="36"/>
        </w:rPr>
        <w:br w:type="page"/>
      </w:r>
      <w:bookmarkStart w:id="0" w:name="_GoBack"/>
      <w:bookmarkEnd w:id="0"/>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rPr>
          <w:rFonts w:ascii="黑体" w:hAnsi="黑体" w:eastAsia="黑体"/>
          <w:sz w:val="56"/>
          <w:szCs w:val="36"/>
          <w:lang w:eastAsia="zh-CN"/>
        </w:rPr>
      </w:pPr>
      <w:r>
        <w:rPr>
          <w:rFonts w:hint="eastAsia" w:ascii="黑体" w:hAnsi="黑体" w:eastAsia="黑体"/>
          <w:sz w:val="56"/>
          <w:szCs w:val="36"/>
          <w:lang w:eastAsia="zh-CN"/>
        </w:rPr>
        <w:t>第一部分</w:t>
      </w:r>
      <w:r>
        <w:rPr>
          <w:rFonts w:ascii="黑体" w:hAnsi="黑体" w:eastAsia="黑体"/>
          <w:sz w:val="56"/>
          <w:szCs w:val="36"/>
          <w:lang w:eastAsia="zh-CN"/>
        </w:rPr>
        <w:t xml:space="preserve"> </w:t>
      </w:r>
    </w:p>
    <w:p>
      <w:pPr>
        <w:pStyle w:val="2"/>
        <w:jc w:val="center"/>
        <w:rPr>
          <w:rFonts w:ascii="黑体" w:hAnsi="黑体" w:eastAsia="黑体"/>
          <w:sz w:val="56"/>
          <w:szCs w:val="36"/>
          <w:lang w:eastAsia="zh-CN"/>
        </w:rPr>
      </w:pPr>
      <w:r>
        <w:rPr>
          <w:rFonts w:hint="eastAsia" w:ascii="黑体" w:hAnsi="黑体" w:eastAsia="黑体"/>
          <w:sz w:val="56"/>
          <w:szCs w:val="36"/>
          <w:lang w:eastAsia="zh-CN"/>
        </w:rPr>
        <w:t>单位概况</w:t>
      </w:r>
    </w:p>
    <w:p>
      <w:pPr>
        <w:pStyle w:val="2"/>
        <w:rPr>
          <w:rFonts w:ascii="黑体" w:hAnsi="黑体" w:eastAsia="黑体"/>
          <w:sz w:val="36"/>
          <w:szCs w:val="36"/>
          <w:lang w:eastAsia="zh-CN"/>
        </w:rPr>
      </w:pPr>
    </w:p>
    <w:p>
      <w:pPr>
        <w:pStyle w:val="2"/>
        <w:rPr>
          <w:rFonts w:ascii="黑体" w:hAnsi="黑体" w:eastAsia="黑体" w:cstheme="minorBidi"/>
          <w:kern w:val="2"/>
          <w:sz w:val="32"/>
          <w:szCs w:val="32"/>
          <w:lang w:eastAsia="zh-CN"/>
        </w:rPr>
        <w:sectPr>
          <w:headerReference r:id="rId5" w:type="default"/>
          <w:footerReference r:id="rId6" w:type="default"/>
          <w:pgSz w:w="11906" w:h="16838"/>
          <w:pgMar w:top="1440" w:right="1800" w:bottom="1440" w:left="1800" w:header="851" w:footer="992" w:gutter="0"/>
          <w:pgNumType w:start="1"/>
          <w:cols w:space="425" w:num="1"/>
          <w:docGrid w:type="lines" w:linePitch="312" w:charSpace="0"/>
        </w:sectPr>
      </w:pPr>
    </w:p>
    <w:p>
      <w:pPr>
        <w:pStyle w:val="2"/>
        <w:ind w:firstLine="640" w:firstLineChars="200"/>
        <w:rPr>
          <w:rFonts w:ascii="黑体" w:hAnsi="黑体" w:eastAsia="黑体" w:cstheme="minorBidi"/>
          <w:kern w:val="2"/>
          <w:sz w:val="32"/>
          <w:szCs w:val="32"/>
          <w:lang w:eastAsia="zh-CN"/>
        </w:rPr>
      </w:pPr>
      <w:r>
        <w:rPr>
          <w:rFonts w:hint="eastAsia" w:ascii="黑体" w:hAnsi="黑体" w:eastAsia="黑体" w:cstheme="minorBidi"/>
          <w:kern w:val="2"/>
          <w:sz w:val="32"/>
          <w:szCs w:val="32"/>
          <w:lang w:eastAsia="zh-CN"/>
        </w:rPr>
        <w:t>一、单位主要职责</w:t>
      </w:r>
    </w:p>
    <w:p>
      <w:pPr>
        <w:spacing w:line="600" w:lineRule="exact"/>
        <w:ind w:firstLine="320" w:firstLineChars="100"/>
        <w:rPr>
          <w:rFonts w:hint="eastAsia" w:ascii="仿宋" w:hAnsi="仿宋" w:eastAsia="仿宋"/>
          <w:sz w:val="32"/>
          <w:szCs w:val="32"/>
        </w:rPr>
      </w:pPr>
      <w:r>
        <w:rPr>
          <w:rFonts w:hint="eastAsia" w:ascii="仿宋" w:hAnsi="仿宋" w:eastAsia="仿宋"/>
          <w:sz w:val="32"/>
          <w:szCs w:val="32"/>
        </w:rPr>
        <w:t>漳平市救助站的主要职责是：</w:t>
      </w:r>
    </w:p>
    <w:p>
      <w:pPr>
        <w:spacing w:line="600" w:lineRule="exact"/>
        <w:ind w:firstLine="320" w:firstLineChars="100"/>
        <w:rPr>
          <w:rFonts w:ascii="仿宋" w:hAnsi="仿宋" w:eastAsia="仿宋"/>
          <w:sz w:val="32"/>
          <w:szCs w:val="32"/>
        </w:rPr>
      </w:pPr>
      <w:r>
        <w:rPr>
          <w:rFonts w:hint="eastAsia" w:ascii="仿宋" w:hAnsi="仿宋" w:eastAsia="仿宋"/>
          <w:sz w:val="32"/>
          <w:szCs w:val="32"/>
        </w:rPr>
        <w:t>（1）负责生活无着的流浪乞讨人员的救助工作，对符合条件人员提供必要的食、宿、行、寻亲返乡、医疗救治等工作。</w:t>
      </w:r>
    </w:p>
    <w:p>
      <w:pPr>
        <w:spacing w:line="600" w:lineRule="exact"/>
        <w:ind w:firstLine="320" w:firstLineChars="100"/>
        <w:rPr>
          <w:rFonts w:ascii="仿宋" w:hAnsi="仿宋" w:eastAsia="仿宋"/>
          <w:sz w:val="32"/>
          <w:szCs w:val="32"/>
        </w:rPr>
      </w:pPr>
      <w:r>
        <w:rPr>
          <w:rFonts w:hint="eastAsia" w:ascii="仿宋" w:hAnsi="仿宋" w:eastAsia="仿宋"/>
          <w:sz w:val="32"/>
          <w:szCs w:val="32"/>
        </w:rPr>
        <w:t>（2）负责帮助受助人员与亲属或当地民政部门联系等事宜，配合参与社会综合治理和城市综合治理工作，开展未成年人救治保护工作，及时提供临时性救助服务，积极帮助受助人员返乡回家。</w:t>
      </w:r>
    </w:p>
    <w:p>
      <w:pPr>
        <w:ind w:firstLine="640" w:firstLineChars="200"/>
        <w:rPr>
          <w:rFonts w:ascii="仿宋" w:hAnsi="仿宋" w:eastAsia="仿宋"/>
          <w:sz w:val="32"/>
          <w:szCs w:val="32"/>
        </w:rPr>
      </w:pPr>
    </w:p>
    <w:p>
      <w:pPr>
        <w:pStyle w:val="2"/>
        <w:ind w:firstLine="640" w:firstLineChars="200"/>
        <w:rPr>
          <w:rFonts w:ascii="黑体" w:hAnsi="黑体" w:eastAsia="黑体" w:cstheme="minorBidi"/>
          <w:kern w:val="2"/>
          <w:sz w:val="32"/>
          <w:szCs w:val="32"/>
          <w:lang w:eastAsia="zh-CN"/>
        </w:rPr>
      </w:pPr>
      <w:r>
        <w:rPr>
          <w:rFonts w:hint="eastAsia" w:ascii="黑体" w:hAnsi="黑体" w:eastAsia="黑体" w:cstheme="minorBidi"/>
          <w:kern w:val="2"/>
          <w:sz w:val="32"/>
          <w:szCs w:val="32"/>
          <w:lang w:eastAsia="zh-CN"/>
        </w:rPr>
        <w:t>二、单位预算单位构成</w:t>
      </w:r>
    </w:p>
    <w:p>
      <w:pPr>
        <w:tabs>
          <w:tab w:val="left" w:pos="7513"/>
        </w:tabs>
        <w:adjustRightInd w:val="0"/>
        <w:snapToGrid w:val="0"/>
        <w:spacing w:line="600" w:lineRule="exact"/>
        <w:ind w:firstLine="640" w:firstLineChars="200"/>
        <w:rPr>
          <w:rFonts w:ascii="楷体" w:hAnsi="楷体" w:eastAsia="楷体" w:cs="仿宋_GB2312"/>
          <w:sz w:val="32"/>
          <w:szCs w:val="32"/>
        </w:rPr>
      </w:pP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rPr>
        <w:t>无下属单位</w:t>
      </w:r>
    </w:p>
    <w:p>
      <w:pPr>
        <w:tabs>
          <w:tab w:val="left" w:pos="7513"/>
        </w:tabs>
        <w:adjustRightInd w:val="0"/>
        <w:snapToGrid w:val="0"/>
        <w:spacing w:line="600" w:lineRule="exact"/>
        <w:rPr>
          <w:rFonts w:ascii="黑体" w:hAnsi="黑体" w:eastAsia="黑体"/>
          <w:sz w:val="32"/>
          <w:szCs w:val="32"/>
        </w:rPr>
      </w:pPr>
      <w:r>
        <w:rPr>
          <w:rFonts w:hint="eastAsia" w:cs="Times New Roman" w:asciiTheme="majorEastAsia" w:hAnsiTheme="majorEastAsia" w:eastAsiaTheme="majorEastAsia"/>
          <w:kern w:val="0"/>
          <w:sz w:val="36"/>
          <w:szCs w:val="20"/>
        </w:rPr>
        <w:t xml:space="preserve">    </w:t>
      </w:r>
      <w:r>
        <w:rPr>
          <w:rFonts w:hint="eastAsia" w:ascii="黑体" w:hAnsi="黑体" w:eastAsia="黑体"/>
          <w:sz w:val="32"/>
          <w:szCs w:val="32"/>
        </w:rPr>
        <w:t>三、</w:t>
      </w:r>
      <w:r>
        <w:rPr>
          <w:rFonts w:hint="eastAsia" w:ascii="黑体" w:hAnsi="黑体" w:eastAsia="黑体"/>
          <w:sz w:val="32"/>
          <w:szCs w:val="32"/>
          <w:lang w:eastAsia="zh-CN"/>
        </w:rPr>
        <w:t>单位</w:t>
      </w:r>
      <w:r>
        <w:rPr>
          <w:rFonts w:hint="eastAsia" w:ascii="黑体" w:hAnsi="黑体" w:eastAsia="黑体"/>
          <w:sz w:val="32"/>
          <w:szCs w:val="32"/>
        </w:rPr>
        <w:t>主要工作任务</w:t>
      </w:r>
    </w:p>
    <w:p>
      <w:pPr>
        <w:spacing w:line="580" w:lineRule="exact"/>
        <w:ind w:firstLine="640" w:firstLineChars="200"/>
        <w:rPr>
          <w:rFonts w:ascii="仿宋" w:hAnsi="仿宋" w:eastAsia="仿宋"/>
          <w:sz w:val="32"/>
          <w:szCs w:val="32"/>
        </w:rPr>
      </w:pPr>
      <w:r>
        <w:rPr>
          <w:rFonts w:hint="eastAsia" w:ascii="仿宋" w:hAnsi="仿宋" w:eastAsia="仿宋" w:cs="仿宋_GB2312"/>
          <w:sz w:val="32"/>
          <w:szCs w:val="32"/>
          <w:lang w:val="en-US" w:eastAsia="zh-CN"/>
        </w:rPr>
        <w:t>2025</w:t>
      </w:r>
      <w:r>
        <w:rPr>
          <w:rFonts w:hint="eastAsia" w:ascii="仿宋" w:hAnsi="仿宋" w:eastAsia="仿宋"/>
          <w:sz w:val="32"/>
          <w:szCs w:val="32"/>
        </w:rPr>
        <w:t>年，漳平市救助站主要任务是：</w:t>
      </w:r>
      <w:r>
        <w:rPr>
          <w:rFonts w:hint="eastAsia" w:ascii="仿宋_GB2312" w:eastAsia="仿宋_GB2312"/>
          <w:sz w:val="32"/>
          <w:szCs w:val="32"/>
        </w:rPr>
        <w:t>根据救助管理办法等政策和规定，做好流浪乞讨人员的救助管理工作，为流浪受助人员提供人性化、专业化救助服务，持续提升流浪乞讨人员救助服务水平。</w:t>
      </w:r>
      <w:r>
        <w:rPr>
          <w:rFonts w:hint="eastAsia" w:ascii="仿宋" w:hAnsi="仿宋" w:eastAsia="仿宋"/>
          <w:sz w:val="32"/>
          <w:szCs w:val="32"/>
        </w:rPr>
        <w:t>围绕上述任务，重点抓好以下工作：</w:t>
      </w:r>
    </w:p>
    <w:p>
      <w:pPr>
        <w:numPr>
          <w:ilvl w:val="0"/>
          <w:numId w:val="1"/>
        </w:numPr>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对入站的流浪受助人员实行分类分区管理，及时提供食宿、返乡等临时性服务。</w:t>
      </w:r>
    </w:p>
    <w:p>
      <w:pPr>
        <w:numPr>
          <w:ilvl w:val="0"/>
          <w:numId w:val="1"/>
        </w:numPr>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加强与流浪乞讨救助管理工作联席会议成员单位联系协作，特别加强和公安、城管等部门联动配合，按照街面巡查协同机制，持续开展街面流浪乞讨人员的劝导和救助工作。</w:t>
      </w:r>
    </w:p>
    <w:p>
      <w:pPr>
        <w:numPr>
          <w:ilvl w:val="0"/>
          <w:numId w:val="1"/>
        </w:numPr>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加强对查无身份信息的流浪受助人员开展寻亲核实、返乡安置等服务。</w:t>
      </w:r>
    </w:p>
    <w:p>
      <w:pPr>
        <w:numPr>
          <w:ilvl w:val="0"/>
          <w:numId w:val="1"/>
        </w:numPr>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通过购买社会工作服务，引进社工机构为流浪受助人员提供人性化、专业化救助服务，持续提升救助服务水平。</w:t>
      </w:r>
    </w:p>
    <w:p>
      <w:pPr>
        <w:ind w:firstLine="640" w:firstLineChars="200"/>
        <w:rPr>
          <w:rFonts w:ascii="仿宋" w:hAnsi="仿宋" w:eastAsia="仿宋" w:cs="仿宋_GB2312"/>
          <w:sz w:val="32"/>
          <w:szCs w:val="32"/>
        </w:rPr>
      </w:pPr>
    </w:p>
    <w:p>
      <w:pPr>
        <w:pStyle w:val="2"/>
        <w:jc w:val="center"/>
        <w:rPr>
          <w:rFonts w:ascii="黑体" w:hAnsi="黑体" w:eastAsia="黑体"/>
          <w:sz w:val="36"/>
          <w:szCs w:val="36"/>
          <w:lang w:eastAsia="zh-CN"/>
        </w:rPr>
        <w:sectPr>
          <w:pgSz w:w="11906" w:h="16838"/>
          <w:pgMar w:top="1440" w:right="1800" w:bottom="1440" w:left="1800" w:header="851" w:footer="992" w:gutter="0"/>
          <w:cols w:space="425" w:num="1"/>
          <w:docGrid w:type="lines" w:linePitch="312" w:charSpace="0"/>
        </w:sect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jc w:val="center"/>
        <w:rPr>
          <w:rFonts w:ascii="黑体" w:hAnsi="黑体" w:eastAsia="黑体"/>
          <w:sz w:val="36"/>
          <w:szCs w:val="36"/>
          <w:lang w:eastAsia="zh-CN"/>
        </w:rPr>
      </w:pPr>
    </w:p>
    <w:p>
      <w:pPr>
        <w:pStyle w:val="2"/>
        <w:rPr>
          <w:rFonts w:ascii="黑体" w:hAnsi="黑体" w:eastAsia="黑体"/>
          <w:sz w:val="56"/>
          <w:szCs w:val="36"/>
          <w:lang w:eastAsia="zh-CN"/>
        </w:rPr>
      </w:pPr>
      <w:r>
        <w:rPr>
          <w:rFonts w:hint="eastAsia" w:ascii="黑体" w:hAnsi="黑体" w:eastAsia="黑体"/>
          <w:sz w:val="56"/>
          <w:szCs w:val="36"/>
          <w:lang w:eastAsia="zh-CN"/>
        </w:rPr>
        <w:t>第二部分</w:t>
      </w:r>
      <w:r>
        <w:rPr>
          <w:rFonts w:ascii="黑体" w:hAnsi="黑体" w:eastAsia="黑体"/>
          <w:sz w:val="56"/>
          <w:szCs w:val="36"/>
          <w:lang w:eastAsia="zh-CN"/>
        </w:rPr>
        <w:t xml:space="preserve"> </w:t>
      </w:r>
    </w:p>
    <w:p>
      <w:pPr>
        <w:pStyle w:val="2"/>
        <w:jc w:val="center"/>
        <w:rPr>
          <w:rFonts w:asciiTheme="majorEastAsia" w:hAnsiTheme="majorEastAsia" w:eastAsiaTheme="majorEastAsia"/>
          <w:sz w:val="36"/>
        </w:rPr>
        <w:sectPr>
          <w:pgSz w:w="11906" w:h="16838"/>
          <w:pgMar w:top="1440" w:right="1800" w:bottom="1440" w:left="1800" w:header="851" w:footer="992" w:gutter="0"/>
          <w:cols w:space="425" w:num="1"/>
          <w:docGrid w:type="lines" w:linePitch="312" w:charSpace="0"/>
        </w:sectPr>
      </w:pPr>
      <w:r>
        <w:rPr>
          <w:rFonts w:hint="eastAsia" w:ascii="黑体" w:hAnsi="黑体" w:eastAsia="黑体"/>
          <w:sz w:val="56"/>
          <w:szCs w:val="36"/>
          <w:lang w:val="en-US" w:eastAsia="zh-CN"/>
        </w:rPr>
        <w:t>2025</w:t>
      </w:r>
      <w:r>
        <w:rPr>
          <w:rFonts w:hint="eastAsia" w:ascii="黑体" w:hAnsi="黑体" w:eastAsia="黑体"/>
          <w:sz w:val="56"/>
          <w:szCs w:val="36"/>
          <w:lang w:eastAsia="zh-CN"/>
        </w:rPr>
        <w:t>年度单位预算表</w:t>
      </w:r>
    </w:p>
    <w:p>
      <w:pPr>
        <w:keepNext w:val="0"/>
        <w:keepLines w:val="0"/>
        <w:pageBreakBefore w:val="0"/>
        <w:tabs>
          <w:tab w:val="left" w:pos="7513"/>
        </w:tabs>
        <w:kinsoku/>
        <w:wordWrap/>
        <w:overflowPunct/>
        <w:topLinePunct w:val="0"/>
        <w:autoSpaceDE/>
        <w:autoSpaceDN/>
        <w:bidi w:val="0"/>
        <w:adjustRightInd w:val="0"/>
        <w:snapToGrid w:val="0"/>
        <w:spacing w:line="160" w:lineRule="atLeast"/>
        <w:jc w:val="left"/>
        <w:textAlignment w:val="auto"/>
        <w:rPr>
          <w:rFonts w:ascii="楷体" w:hAnsi="楷体" w:eastAsia="楷体"/>
          <w:sz w:val="28"/>
          <w:szCs w:val="28"/>
        </w:rPr>
      </w:pPr>
      <w:r>
        <w:rPr>
          <w:rFonts w:hint="eastAsia" w:ascii="黑体" w:hAnsi="黑体" w:eastAsia="黑体"/>
          <w:sz w:val="32"/>
          <w:szCs w:val="32"/>
        </w:rPr>
        <w:t>一、收支预算总表</w:t>
      </w:r>
    </w:p>
    <w:tbl>
      <w:tblPr>
        <w:tblStyle w:val="6"/>
        <w:tblpPr w:leftFromText="180" w:rightFromText="180" w:vertAnchor="text" w:horzAnchor="page" w:tblpX="1742" w:tblpY="595"/>
        <w:tblOverlap w:val="never"/>
        <w:tblW w:w="9810" w:type="dxa"/>
        <w:tblInd w:w="0" w:type="dxa"/>
        <w:tblLayout w:type="fixed"/>
        <w:tblCellMar>
          <w:top w:w="0" w:type="dxa"/>
          <w:left w:w="108" w:type="dxa"/>
          <w:bottom w:w="0" w:type="dxa"/>
          <w:right w:w="108" w:type="dxa"/>
        </w:tblCellMar>
      </w:tblPr>
      <w:tblGrid>
        <w:gridCol w:w="2865"/>
        <w:gridCol w:w="2010"/>
        <w:gridCol w:w="2910"/>
        <w:gridCol w:w="2025"/>
      </w:tblGrid>
      <w:tr>
        <w:tblPrEx>
          <w:tblCellMar>
            <w:top w:w="0" w:type="dxa"/>
            <w:left w:w="108" w:type="dxa"/>
            <w:bottom w:w="0" w:type="dxa"/>
            <w:right w:w="108" w:type="dxa"/>
          </w:tblCellMar>
        </w:tblPrEx>
        <w:trPr>
          <w:trHeight w:val="504" w:hRule="atLeast"/>
        </w:trPr>
        <w:tc>
          <w:tcPr>
            <w:tcW w:w="9810" w:type="dxa"/>
            <w:gridSpan w:val="4"/>
            <w:tcBorders>
              <w:top w:val="nil"/>
              <w:left w:val="nil"/>
              <w:bottom w:val="nil"/>
              <w:right w:val="nil"/>
            </w:tcBorders>
            <w:shd w:val="clear" w:color="auto" w:fill="auto"/>
            <w:noWrap/>
            <w:vAlign w:val="center"/>
          </w:tcPr>
          <w:p>
            <w:pPr>
              <w:keepNext w:val="0"/>
              <w:keepLines w:val="0"/>
              <w:pageBreakBefore w:val="0"/>
              <w:widowControl/>
              <w:kinsoku/>
              <w:wordWrap/>
              <w:overflowPunct/>
              <w:topLinePunct w:val="0"/>
              <w:autoSpaceDE/>
              <w:autoSpaceDN/>
              <w:bidi w:val="0"/>
              <w:spacing w:line="160" w:lineRule="atLeast"/>
              <w:ind w:firstLine="3200" w:firstLineChars="1000"/>
              <w:jc w:val="left"/>
              <w:textAlignment w:val="auto"/>
              <w:rPr>
                <w:rFonts w:ascii="方正小标宋简体" w:hAnsi="宋体" w:eastAsia="方正小标宋简体" w:cs="宋体"/>
                <w:kern w:val="0"/>
                <w:sz w:val="32"/>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年度收支预算总表</w:t>
            </w:r>
          </w:p>
        </w:tc>
      </w:tr>
      <w:tr>
        <w:tblPrEx>
          <w:tblCellMar>
            <w:top w:w="0" w:type="dxa"/>
            <w:left w:w="108" w:type="dxa"/>
            <w:bottom w:w="0" w:type="dxa"/>
            <w:right w:w="108" w:type="dxa"/>
          </w:tblCellMar>
        </w:tblPrEx>
        <w:trPr>
          <w:trHeight w:val="285" w:hRule="atLeast"/>
        </w:trPr>
        <w:tc>
          <w:tcPr>
            <w:tcW w:w="9810" w:type="dxa"/>
            <w:gridSpan w:val="4"/>
            <w:tcBorders>
              <w:top w:val="nil"/>
              <w:left w:val="nil"/>
              <w:bottom w:val="nil"/>
              <w:right w:val="nil"/>
            </w:tcBorders>
            <w:shd w:val="clear" w:color="auto" w:fill="auto"/>
            <w:noWrap/>
            <w:vAlign w:val="bottom"/>
          </w:tcPr>
          <w:p>
            <w:pPr>
              <w:widowControl/>
              <w:spacing w:line="240" w:lineRule="auto"/>
              <w:jc w:val="right"/>
              <w:rPr>
                <w:rFonts w:ascii="宋体" w:hAnsi="宋体" w:eastAsia="宋体" w:cs="宋体"/>
                <w:kern w:val="0"/>
                <w:sz w:val="24"/>
                <w:szCs w:val="24"/>
              </w:rPr>
            </w:pPr>
            <w:r>
              <w:rPr>
                <w:rFonts w:hint="eastAsia" w:ascii="宋体" w:hAnsi="宋体" w:eastAsia="宋体" w:cs="宋体"/>
                <w:kern w:val="0"/>
                <w:sz w:val="22"/>
                <w:szCs w:val="24"/>
              </w:rPr>
              <w:t>单位：万元</w:t>
            </w:r>
          </w:p>
        </w:tc>
      </w:tr>
      <w:tr>
        <w:tblPrEx>
          <w:tblCellMar>
            <w:top w:w="0" w:type="dxa"/>
            <w:left w:w="108" w:type="dxa"/>
            <w:bottom w:w="0" w:type="dxa"/>
            <w:right w:w="108" w:type="dxa"/>
          </w:tblCellMar>
        </w:tblPrEx>
        <w:trPr>
          <w:trHeight w:val="402" w:hRule="atLeast"/>
        </w:trPr>
        <w:tc>
          <w:tcPr>
            <w:tcW w:w="487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收入</w:t>
            </w:r>
          </w:p>
        </w:tc>
        <w:tc>
          <w:tcPr>
            <w:tcW w:w="4935" w:type="dxa"/>
            <w:gridSpan w:val="2"/>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支出</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项目</w:t>
            </w:r>
          </w:p>
        </w:tc>
        <w:tc>
          <w:tcPr>
            <w:tcW w:w="201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预算数</w:t>
            </w: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项目</w:t>
            </w:r>
          </w:p>
        </w:tc>
        <w:tc>
          <w:tcPr>
            <w:tcW w:w="2025"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预算数</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一、一般公共预算拨款收入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lang w:val="en-US" w:eastAsia="zh-CN"/>
              </w:rPr>
              <w:t>98.03</w:t>
            </w:r>
            <w:r>
              <w:rPr>
                <w:rFonts w:hint="eastAsia" w:ascii="宋体" w:hAnsi="宋体" w:eastAsia="宋体" w:cs="宋体"/>
                <w:kern w:val="0"/>
                <w:sz w:val="18"/>
                <w:szCs w:val="18"/>
              </w:rPr>
              <w:t>　</w:t>
            </w: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一、一般公共服务支出</w:t>
            </w:r>
          </w:p>
        </w:tc>
        <w:tc>
          <w:tcPr>
            <w:tcW w:w="2025" w:type="dxa"/>
            <w:tcBorders>
              <w:top w:val="nil"/>
              <w:left w:val="nil"/>
              <w:bottom w:val="single" w:color="auto" w:sz="4" w:space="0"/>
              <w:right w:val="single" w:color="auto" w:sz="4" w:space="0"/>
            </w:tcBorders>
            <w:shd w:val="clear" w:color="auto" w:fill="auto"/>
            <w:noWrap/>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二、政府性基金预算拨款收入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二、外交支出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三、国有资本经营预算拨款收入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三、国防支出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四、财政专户管理资金收入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四、公共安全支出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五、事业收入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五、教育支出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六、事业单位经营收入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六、科学技术支出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七、上级补助收入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七、文化旅游体育与传媒支出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八、附属单位上缴收入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八、社会保障和就业支出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95.32</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九、其他收入</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九、卫生健康支出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十、上年结转结余</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十、节能环保支出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十一、城乡社区支出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十二、农林水支出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十三、交通运输支出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十四、资源勘探工业信息等支出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十五、商业服务业等支出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十六、金融支出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十七、援助其他地区支出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十八、自然资源海洋气象等支出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hint="default" w:ascii="宋体" w:hAnsi="宋体" w:eastAsia="宋体" w:cs="宋体"/>
                <w:kern w:val="0"/>
                <w:sz w:val="18"/>
                <w:szCs w:val="18"/>
                <w:lang w:val="en-US" w:eastAsia="zh-CN"/>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十九、住房保障支出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2.71</w:t>
            </w: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二十、粮油物资储备支出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二十一、国有资本经营预算支出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二十二、灾害防治及应急管理支出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383"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二十三、其他支出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二十四、债务还本支出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二十五、债务付息支出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二十六、债务发行费用支出</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kern w:val="0"/>
                <w:sz w:val="18"/>
                <w:szCs w:val="18"/>
              </w:rPr>
            </w:pPr>
          </w:p>
        </w:tc>
      </w:tr>
      <w:tr>
        <w:tblPrEx>
          <w:tblCellMar>
            <w:top w:w="0" w:type="dxa"/>
            <w:left w:w="108" w:type="dxa"/>
            <w:bottom w:w="0" w:type="dxa"/>
            <w:right w:w="108" w:type="dxa"/>
          </w:tblCellMar>
        </w:tblPrEx>
        <w:trPr>
          <w:trHeight w:val="402" w:hRule="atLeast"/>
        </w:trPr>
        <w:tc>
          <w:tcPr>
            <w:tcW w:w="2865"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收入合计</w:t>
            </w:r>
          </w:p>
        </w:tc>
        <w:tc>
          <w:tcPr>
            <w:tcW w:w="2010"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b w:val="0"/>
                <w:bCs/>
                <w:kern w:val="0"/>
                <w:sz w:val="22"/>
              </w:rPr>
            </w:pPr>
            <w:r>
              <w:rPr>
                <w:rFonts w:hint="eastAsia" w:ascii="宋体" w:hAnsi="宋体" w:eastAsia="宋体" w:cs="宋体"/>
                <w:b w:val="0"/>
                <w:bCs/>
                <w:kern w:val="0"/>
                <w:sz w:val="22"/>
                <w:lang w:val="en-US" w:eastAsia="zh-CN"/>
              </w:rPr>
              <w:t>98.03</w:t>
            </w:r>
            <w:r>
              <w:rPr>
                <w:rFonts w:hint="eastAsia" w:ascii="宋体" w:hAnsi="宋体" w:eastAsia="宋体" w:cs="宋体"/>
                <w:b w:val="0"/>
                <w:bCs/>
                <w:kern w:val="0"/>
                <w:sz w:val="22"/>
              </w:rPr>
              <w:t>　</w:t>
            </w:r>
          </w:p>
        </w:tc>
        <w:tc>
          <w:tcPr>
            <w:tcW w:w="291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b w:val="0"/>
                <w:bCs/>
                <w:kern w:val="0"/>
                <w:sz w:val="22"/>
              </w:rPr>
            </w:pPr>
            <w:r>
              <w:rPr>
                <w:rFonts w:hint="eastAsia" w:ascii="宋体" w:hAnsi="宋体" w:eastAsia="宋体" w:cs="宋体"/>
                <w:b w:val="0"/>
                <w:bCs/>
                <w:kern w:val="0"/>
                <w:sz w:val="22"/>
              </w:rPr>
              <w:t>支出合计</w:t>
            </w:r>
          </w:p>
        </w:tc>
        <w:tc>
          <w:tcPr>
            <w:tcW w:w="2025" w:type="dxa"/>
            <w:tcBorders>
              <w:top w:val="nil"/>
              <w:left w:val="nil"/>
              <w:bottom w:val="single" w:color="auto" w:sz="4" w:space="0"/>
              <w:right w:val="single" w:color="auto" w:sz="4" w:space="0"/>
            </w:tcBorders>
            <w:shd w:val="clear" w:color="auto" w:fill="auto"/>
            <w:vAlign w:val="center"/>
          </w:tcPr>
          <w:p>
            <w:pPr>
              <w:widowControl/>
              <w:spacing w:line="240" w:lineRule="auto"/>
              <w:jc w:val="right"/>
              <w:rPr>
                <w:rFonts w:ascii="宋体" w:hAnsi="宋体" w:eastAsia="宋体" w:cs="宋体"/>
                <w:b w:val="0"/>
                <w:bCs/>
                <w:kern w:val="0"/>
                <w:sz w:val="22"/>
              </w:rPr>
            </w:pPr>
            <w:r>
              <w:rPr>
                <w:rFonts w:hint="eastAsia" w:ascii="宋体" w:hAnsi="宋体" w:eastAsia="宋体" w:cs="宋体"/>
                <w:b w:val="0"/>
                <w:bCs/>
                <w:kern w:val="0"/>
                <w:sz w:val="22"/>
                <w:lang w:val="en-US" w:eastAsia="zh-CN"/>
              </w:rPr>
              <w:t>98.03</w:t>
            </w:r>
            <w:r>
              <w:rPr>
                <w:rFonts w:hint="eastAsia" w:ascii="宋体" w:hAnsi="宋体" w:eastAsia="宋体" w:cs="宋体"/>
                <w:b w:val="0"/>
                <w:bCs/>
                <w:kern w:val="0"/>
                <w:sz w:val="22"/>
              </w:rPr>
              <w:t>　</w:t>
            </w:r>
          </w:p>
        </w:tc>
      </w:tr>
    </w:tbl>
    <w:p>
      <w:pPr>
        <w:tabs>
          <w:tab w:val="left" w:pos="7513"/>
        </w:tabs>
        <w:adjustRightInd w:val="0"/>
        <w:snapToGrid w:val="0"/>
        <w:spacing w:line="600" w:lineRule="exact"/>
        <w:rPr>
          <w:rFonts w:hint="eastAsia" w:ascii="黑体" w:hAnsi="黑体" w:eastAsia="黑体"/>
          <w:sz w:val="32"/>
          <w:szCs w:val="32"/>
        </w:rPr>
      </w:pPr>
    </w:p>
    <w:p>
      <w:pPr>
        <w:numPr>
          <w:ilvl w:val="0"/>
          <w:numId w:val="2"/>
        </w:numPr>
        <w:tabs>
          <w:tab w:val="left" w:pos="7513"/>
        </w:tabs>
        <w:adjustRightInd w:val="0"/>
        <w:snapToGrid w:val="0"/>
        <w:spacing w:line="600" w:lineRule="exact"/>
        <w:rPr>
          <w:rFonts w:hint="eastAsia" w:ascii="黑体" w:hAnsi="黑体" w:eastAsia="黑体"/>
          <w:sz w:val="32"/>
          <w:szCs w:val="32"/>
        </w:rPr>
      </w:pPr>
      <w:r>
        <w:rPr>
          <w:rFonts w:hint="eastAsia" w:ascii="黑体" w:hAnsi="黑体" w:eastAsia="黑体"/>
          <w:sz w:val="32"/>
          <w:szCs w:val="32"/>
        </w:rPr>
        <w:t>收入预算总表</w:t>
      </w:r>
    </w:p>
    <w:tbl>
      <w:tblPr>
        <w:tblStyle w:val="6"/>
        <w:tblpPr w:leftFromText="180" w:rightFromText="180" w:vertAnchor="text" w:horzAnchor="page" w:tblpX="1538" w:tblpY="582"/>
        <w:tblOverlap w:val="never"/>
        <w:tblW w:w="1010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95"/>
        <w:gridCol w:w="1185"/>
        <w:gridCol w:w="931"/>
        <w:gridCol w:w="863"/>
        <w:gridCol w:w="615"/>
        <w:gridCol w:w="630"/>
        <w:gridCol w:w="690"/>
        <w:gridCol w:w="540"/>
        <w:gridCol w:w="660"/>
        <w:gridCol w:w="630"/>
        <w:gridCol w:w="735"/>
        <w:gridCol w:w="750"/>
        <w:gridCol w:w="7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10104" w:type="dxa"/>
            <w:gridSpan w:val="13"/>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30"/>
                <w:szCs w:val="30"/>
                <w:u w:val="none"/>
              </w:rPr>
            </w:pPr>
            <w:r>
              <w:rPr>
                <w:rFonts w:hint="eastAsia" w:ascii="宋体" w:hAnsi="宋体" w:eastAsia="宋体" w:cs="宋体"/>
                <w:b/>
                <w:bCs/>
                <w:i w:val="0"/>
                <w:iCs w:val="0"/>
                <w:color w:val="000000"/>
                <w:kern w:val="0"/>
                <w:sz w:val="28"/>
                <w:szCs w:val="28"/>
                <w:u w:val="none"/>
                <w:lang w:val="en-US" w:eastAsia="zh-CN" w:bidi="ar"/>
              </w:rPr>
              <w:t>2025年度</w:t>
            </w:r>
            <w:r>
              <w:rPr>
                <w:rFonts w:ascii="宋体" w:hAnsi="宋体" w:eastAsia="宋体" w:cs="宋体"/>
                <w:i w:val="0"/>
                <w:iCs w:val="0"/>
                <w:color w:val="000000"/>
                <w:kern w:val="0"/>
                <w:sz w:val="30"/>
                <w:szCs w:val="30"/>
                <w:u w:val="none"/>
                <w:lang w:val="en-US" w:eastAsia="zh-CN" w:bidi="ar"/>
              </w:rPr>
              <w:t>收入预算总表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18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931"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863"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61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63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69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4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66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63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3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5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80" w:type="dxa"/>
            <w:tcBorders>
              <w:top w:val="nil"/>
              <w:left w:val="nil"/>
              <w:bottom w:val="nil"/>
              <w:right w:val="nil"/>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9"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科目编码</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科目名称</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总计</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一般公共预算拨款收入</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政府性基金预算拨款收入</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国有资本经营预算拨款收入</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财政专户管理资金收入</w:t>
            </w: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事业收入</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事业单位经营收入</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上级补助收入</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附属单位上缴收入</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其他收入</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上年结转结余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社会保障和就业支出</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20820</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临时救助</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2082002</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流浪乞讨人员救助支出</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住房保障支出</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22102</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住房改革支出</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2210201</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住房公积金</w:t>
            </w:r>
          </w:p>
        </w:tc>
        <w:tc>
          <w:tcPr>
            <w:tcW w:w="9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8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bl>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三、支出预算总表</w:t>
      </w:r>
    </w:p>
    <w:p>
      <w:pPr>
        <w:numPr>
          <w:ilvl w:val="0"/>
          <w:numId w:val="0"/>
        </w:numPr>
        <w:tabs>
          <w:tab w:val="left" w:pos="7513"/>
        </w:tabs>
        <w:adjustRightInd w:val="0"/>
        <w:snapToGrid w:val="0"/>
        <w:spacing w:line="600" w:lineRule="exact"/>
        <w:rPr>
          <w:rFonts w:hint="eastAsia" w:ascii="黑体" w:hAnsi="黑体" w:eastAsia="黑体"/>
          <w:sz w:val="32"/>
          <w:szCs w:val="32"/>
        </w:rPr>
      </w:pPr>
    </w:p>
    <w:tbl>
      <w:tblPr>
        <w:tblStyle w:val="6"/>
        <w:tblW w:w="9525"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842"/>
        <w:gridCol w:w="1698"/>
        <w:gridCol w:w="975"/>
        <w:gridCol w:w="1188"/>
        <w:gridCol w:w="1212"/>
        <w:gridCol w:w="885"/>
        <w:gridCol w:w="795"/>
        <w:gridCol w:w="9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9525" w:type="dxa"/>
            <w:gridSpan w:val="8"/>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30"/>
                <w:szCs w:val="30"/>
                <w:u w:val="none"/>
              </w:rPr>
            </w:pPr>
            <w:r>
              <w:rPr>
                <w:rFonts w:hint="eastAsia" w:ascii="宋体" w:hAnsi="宋体" w:eastAsia="宋体" w:cs="宋体"/>
                <w:b/>
                <w:bCs/>
                <w:i w:val="0"/>
                <w:iCs w:val="0"/>
                <w:color w:val="000000"/>
                <w:kern w:val="0"/>
                <w:sz w:val="28"/>
                <w:szCs w:val="28"/>
                <w:u w:val="none"/>
                <w:lang w:val="en-US" w:eastAsia="zh-CN" w:bidi="ar"/>
              </w:rPr>
              <w:t>2025年度</w:t>
            </w:r>
            <w:r>
              <w:rPr>
                <w:rFonts w:ascii="宋体" w:hAnsi="宋体" w:eastAsia="宋体" w:cs="宋体"/>
                <w:i w:val="0"/>
                <w:iCs w:val="0"/>
                <w:color w:val="000000"/>
                <w:kern w:val="0"/>
                <w:sz w:val="30"/>
                <w:szCs w:val="30"/>
                <w:u w:val="none"/>
                <w:lang w:val="en-US" w:eastAsia="zh-CN" w:bidi="ar"/>
              </w:rPr>
              <w:t>支出预算总表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1" w:hRule="atLeast"/>
        </w:trPr>
        <w:tc>
          <w:tcPr>
            <w:tcW w:w="184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698"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97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188"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21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88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9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930" w:type="dxa"/>
            <w:tcBorders>
              <w:top w:val="nil"/>
              <w:left w:val="nil"/>
              <w:bottom w:val="nil"/>
              <w:right w:val="nil"/>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2"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科目编码</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科目名称</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基本支出</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项目支出</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事业单位经营支出</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上缴上级支出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60.03</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社会保障和就业支出</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57.32</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20820</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临时救助</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57.32</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2082002</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流浪乞讨人员救助支出</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57.32</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住房保障支出</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22102</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住房改革支出</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7" w:hRule="atLeast"/>
        </w:trPr>
        <w:tc>
          <w:tcPr>
            <w:tcW w:w="18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2210201</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住房公积金</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r>
    </w:tbl>
    <w:p>
      <w:pPr>
        <w:tabs>
          <w:tab w:val="left" w:pos="7513"/>
        </w:tabs>
        <w:rPr>
          <w:rFonts w:cs="Times New Roman" w:asciiTheme="majorEastAsia" w:hAnsiTheme="majorEastAsia" w:eastAsiaTheme="majorEastAsia"/>
          <w:sz w:val="36"/>
          <w:szCs w:val="20"/>
        </w:rPr>
        <w:sectPr>
          <w:pgSz w:w="11906" w:h="16838"/>
          <w:pgMar w:top="1440" w:right="1800" w:bottom="1440" w:left="1800" w:header="851" w:footer="992" w:gutter="0"/>
          <w:cols w:space="425" w:num="1"/>
          <w:docGrid w:type="lines" w:linePitch="312" w:charSpace="0"/>
        </w:sectPr>
      </w:pPr>
    </w:p>
    <w:p>
      <w:pPr>
        <w:numPr>
          <w:ilvl w:val="0"/>
          <w:numId w:val="0"/>
        </w:numPr>
        <w:tabs>
          <w:tab w:val="left" w:pos="7513"/>
        </w:tabs>
        <w:adjustRightInd w:val="0"/>
        <w:snapToGrid w:val="0"/>
        <w:spacing w:line="600" w:lineRule="exact"/>
        <w:ind w:leftChars="0"/>
        <w:rPr>
          <w:rFonts w:hint="eastAsia" w:ascii="黑体" w:hAnsi="黑体" w:eastAsia="黑体"/>
          <w:sz w:val="32"/>
          <w:szCs w:val="32"/>
        </w:rPr>
      </w:pPr>
      <w:r>
        <w:rPr>
          <w:rFonts w:hint="eastAsia" w:ascii="黑体" w:hAnsi="黑体" w:eastAsia="黑体"/>
          <w:sz w:val="32"/>
          <w:szCs w:val="32"/>
          <w:lang w:eastAsia="zh-CN"/>
        </w:rPr>
        <w:t>四、</w:t>
      </w:r>
      <w:r>
        <w:rPr>
          <w:rFonts w:hint="eastAsia" w:ascii="黑体" w:hAnsi="黑体" w:eastAsia="黑体"/>
          <w:sz w:val="32"/>
          <w:szCs w:val="32"/>
        </w:rPr>
        <w:t>财政拨款收支预算总表</w:t>
      </w:r>
    </w:p>
    <w:tbl>
      <w:tblPr>
        <w:tblStyle w:val="6"/>
        <w:tblW w:w="9751"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649"/>
        <w:gridCol w:w="2003"/>
        <w:gridCol w:w="2514"/>
        <w:gridCol w:w="25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12051" w:type="dxa"/>
            <w:gridSpan w:val="4"/>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2025年度</w:t>
            </w:r>
            <w:r>
              <w:rPr>
                <w:rFonts w:ascii="宋体" w:hAnsi="宋体" w:eastAsia="宋体" w:cs="宋体"/>
                <w:b/>
                <w:bCs/>
                <w:i w:val="0"/>
                <w:iCs w:val="0"/>
                <w:color w:val="000000"/>
                <w:kern w:val="0"/>
                <w:sz w:val="28"/>
                <w:szCs w:val="28"/>
                <w:u w:val="none"/>
                <w:lang w:val="en-US" w:eastAsia="zh-CN" w:bidi="ar"/>
              </w:rPr>
              <w:t>财政拨款收支预算总表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3192" w:type="dxa"/>
            <w:tcBorders>
              <w:top w:val="nil"/>
              <w:left w:val="nil"/>
              <w:bottom w:val="nil"/>
              <w:right w:val="nil"/>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5732" w:type="dxa"/>
            <w:gridSpan w:val="2"/>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收  入</w:t>
            </w:r>
          </w:p>
        </w:tc>
        <w:tc>
          <w:tcPr>
            <w:tcW w:w="63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 xml:space="preserve">         项目</w:t>
            </w: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预算数</w:t>
            </w: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 xml:space="preserve">        项目</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一、一般公共预算拨款收入</w:t>
            </w: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一、一般公共服务支出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二、政府性基金预算拨款收入</w:t>
            </w: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二、外交支出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三、国有资本经营预算拨款收入</w:t>
            </w: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三、国防支出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四、公共安全支出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五、教育支出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六、科学技术支出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七、文化旅游体育与传媒支出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八、社会保障和就业支出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九、卫生健康支出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1"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十、节能环保支出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十一、城乡社区支出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十二、农林水支出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十三、交通运输支出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十四、资源勘探工业信息等支出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十五、商业服务业等支出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十六、金融支出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十七、援助其他地区支出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十八、自然资源海洋气象等支出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十九、住房保障支出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二十、粮油物资储备支出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二十一、国有资本经营预算支出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二十二、灾害防治及应急管理支出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二十三、其他支出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二十四、债务还本支出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二十五、债务付息支出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二十六、债务发行费用支出</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33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收入合计</w:t>
            </w:r>
          </w:p>
        </w:tc>
        <w:tc>
          <w:tcPr>
            <w:tcW w:w="242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c>
          <w:tcPr>
            <w:tcW w:w="31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支出合计</w:t>
            </w:r>
          </w:p>
        </w:tc>
        <w:tc>
          <w:tcPr>
            <w:tcW w:w="31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r>
    </w:tbl>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五、一般公共预算拨款支出预算表</w:t>
      </w:r>
    </w:p>
    <w:tbl>
      <w:tblPr>
        <w:tblStyle w:val="6"/>
        <w:tblW w:w="963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15"/>
        <w:gridCol w:w="2815"/>
        <w:gridCol w:w="1496"/>
        <w:gridCol w:w="1808"/>
        <w:gridCol w:w="200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3" w:hRule="atLeast"/>
        </w:trPr>
        <w:tc>
          <w:tcPr>
            <w:tcW w:w="14767" w:type="dxa"/>
            <w:gridSpan w:val="5"/>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30"/>
                <w:szCs w:val="30"/>
                <w:u w:val="none"/>
              </w:rPr>
            </w:pPr>
            <w:r>
              <w:rPr>
                <w:rFonts w:hint="eastAsia" w:ascii="宋体" w:hAnsi="宋体" w:eastAsia="宋体" w:cs="宋体"/>
                <w:b/>
                <w:bCs/>
                <w:i w:val="0"/>
                <w:iCs w:val="0"/>
                <w:color w:val="000000"/>
                <w:kern w:val="0"/>
                <w:sz w:val="30"/>
                <w:szCs w:val="30"/>
                <w:u w:val="none"/>
                <w:lang w:val="en-US" w:eastAsia="zh-CN" w:bidi="ar"/>
              </w:rPr>
              <w:t>2025年度</w:t>
            </w:r>
            <w:r>
              <w:rPr>
                <w:rFonts w:ascii="宋体" w:hAnsi="宋体" w:eastAsia="宋体" w:cs="宋体"/>
                <w:b/>
                <w:bCs/>
                <w:i w:val="0"/>
                <w:iCs w:val="0"/>
                <w:color w:val="000000"/>
                <w:kern w:val="0"/>
                <w:sz w:val="30"/>
                <w:szCs w:val="30"/>
                <w:u w:val="none"/>
                <w:lang w:val="en-US" w:eastAsia="zh-CN" w:bidi="ar"/>
              </w:rPr>
              <w:t>一般公共预算拨款支出预算表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3075" w:type="dxa"/>
            <w:tcBorders>
              <w:top w:val="nil"/>
              <w:left w:val="nil"/>
              <w:bottom w:val="nil"/>
              <w:right w:val="nil"/>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科目编码</w:t>
            </w:r>
          </w:p>
        </w:tc>
        <w:tc>
          <w:tcPr>
            <w:tcW w:w="47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科目名称</w:t>
            </w:r>
          </w:p>
        </w:tc>
        <w:tc>
          <w:tcPr>
            <w:tcW w:w="216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579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3" w:hRule="atLeast"/>
        </w:trPr>
        <w:tc>
          <w:tcPr>
            <w:tcW w:w="20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7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基本支出</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60.03</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社会保障和就业支出</w:t>
            </w: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57.32</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20820</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临时救助</w:t>
            </w: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57.32</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2082002</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流浪乞讨人员救助支出</w:t>
            </w: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95.32</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57.32</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住房保障支出</w:t>
            </w: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22102</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住房改革支出</w:t>
            </w: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0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2210201</w:t>
            </w:r>
          </w:p>
        </w:tc>
        <w:tc>
          <w:tcPr>
            <w:tcW w:w="47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住房公积金</w:t>
            </w:r>
          </w:p>
        </w:tc>
        <w:tc>
          <w:tcPr>
            <w:tcW w:w="21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27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c>
          <w:tcPr>
            <w:tcW w:w="30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bl>
    <w:p>
      <w:pPr>
        <w:widowControl/>
        <w:spacing w:line="300" w:lineRule="auto"/>
        <w:jc w:val="left"/>
        <w:rPr>
          <w:rFonts w:hint="eastAsia" w:ascii="楷体" w:hAnsi="楷体" w:eastAsia="楷体" w:cs="Times New Roman"/>
          <w:kern w:val="0"/>
          <w:szCs w:val="21"/>
        </w:rPr>
      </w:pPr>
    </w:p>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六、政府性基金预算拨款支出预算表</w:t>
      </w:r>
    </w:p>
    <w:tbl>
      <w:tblPr>
        <w:tblStyle w:val="6"/>
        <w:tblW w:w="9751" w:type="dxa"/>
        <w:tblInd w:w="91" w:type="dxa"/>
        <w:tblLayout w:type="autofit"/>
        <w:tblCellMar>
          <w:top w:w="0" w:type="dxa"/>
          <w:left w:w="108" w:type="dxa"/>
          <w:bottom w:w="0" w:type="dxa"/>
          <w:right w:w="108" w:type="dxa"/>
        </w:tblCellMar>
      </w:tblPr>
      <w:tblGrid>
        <w:gridCol w:w="1359"/>
        <w:gridCol w:w="3021"/>
        <w:gridCol w:w="1846"/>
        <w:gridCol w:w="1846"/>
        <w:gridCol w:w="1679"/>
      </w:tblGrid>
      <w:tr>
        <w:tblPrEx>
          <w:tblCellMar>
            <w:top w:w="0" w:type="dxa"/>
            <w:left w:w="108" w:type="dxa"/>
            <w:bottom w:w="0" w:type="dxa"/>
            <w:right w:w="108" w:type="dxa"/>
          </w:tblCellMar>
        </w:tblPrEx>
        <w:trPr>
          <w:trHeight w:val="529" w:hRule="atLeast"/>
        </w:trPr>
        <w:tc>
          <w:tcPr>
            <w:tcW w:w="8237" w:type="dxa"/>
            <w:gridSpan w:val="5"/>
            <w:tcBorders>
              <w:top w:val="nil"/>
              <w:left w:val="nil"/>
              <w:bottom w:val="nil"/>
              <w:right w:val="nil"/>
            </w:tcBorders>
            <w:shd w:val="clear" w:color="auto" w:fill="auto"/>
            <w:noWrap/>
            <w:vAlign w:val="center"/>
          </w:tcPr>
          <w:p>
            <w:pPr>
              <w:widowControl/>
              <w:spacing w:line="240" w:lineRule="auto"/>
              <w:jc w:val="center"/>
              <w:rPr>
                <w:rFonts w:ascii="方正小标宋简体" w:hAnsi="宋体" w:eastAsia="方正小标宋简体" w:cs="宋体"/>
                <w:kern w:val="0"/>
                <w:sz w:val="32"/>
                <w:szCs w:val="32"/>
              </w:rPr>
            </w:pPr>
            <w:r>
              <w:rPr>
                <w:rFonts w:hint="eastAsia" w:ascii="方正小标宋简体" w:hAnsi="宋体" w:eastAsia="方正小标宋简体" w:cs="宋体"/>
                <w:kern w:val="0"/>
                <w:sz w:val="30"/>
                <w:szCs w:val="30"/>
                <w:lang w:val="en-US" w:eastAsia="zh-CN"/>
              </w:rPr>
              <w:t>2025</w:t>
            </w:r>
            <w:r>
              <w:rPr>
                <w:rFonts w:hint="eastAsia" w:ascii="方正小标宋简体" w:hAnsi="宋体" w:eastAsia="方正小标宋简体" w:cs="宋体"/>
                <w:kern w:val="0"/>
                <w:sz w:val="30"/>
                <w:szCs w:val="30"/>
              </w:rPr>
              <w:t>年度政府性基金预算拨款支出预算表</w:t>
            </w:r>
          </w:p>
        </w:tc>
      </w:tr>
      <w:tr>
        <w:tblPrEx>
          <w:tblCellMar>
            <w:top w:w="0" w:type="dxa"/>
            <w:left w:w="108" w:type="dxa"/>
            <w:bottom w:w="0" w:type="dxa"/>
            <w:right w:w="108" w:type="dxa"/>
          </w:tblCellMar>
        </w:tblPrEx>
        <w:trPr>
          <w:trHeight w:val="285" w:hRule="atLeast"/>
        </w:trPr>
        <w:tc>
          <w:tcPr>
            <w:tcW w:w="1149"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2552"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1559"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1559"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1418" w:type="dxa"/>
            <w:tcBorders>
              <w:top w:val="nil"/>
              <w:left w:val="nil"/>
              <w:bottom w:val="nil"/>
              <w:right w:val="nil"/>
            </w:tcBorders>
            <w:shd w:val="clear" w:color="auto" w:fill="auto"/>
            <w:noWrap/>
            <w:vAlign w:val="center"/>
          </w:tcPr>
          <w:p>
            <w:pPr>
              <w:widowControl/>
              <w:spacing w:line="240" w:lineRule="auto"/>
              <w:jc w:val="right"/>
              <w:rPr>
                <w:rFonts w:ascii="宋体" w:hAnsi="宋体" w:eastAsia="宋体" w:cs="宋体"/>
                <w:kern w:val="0"/>
                <w:sz w:val="22"/>
              </w:rPr>
            </w:pPr>
            <w:r>
              <w:rPr>
                <w:rFonts w:hint="eastAsia" w:ascii="宋体" w:hAnsi="宋体" w:eastAsia="宋体" w:cs="宋体"/>
                <w:kern w:val="0"/>
                <w:sz w:val="22"/>
              </w:rPr>
              <w:t>单位：万元</w:t>
            </w:r>
          </w:p>
        </w:tc>
      </w:tr>
      <w:tr>
        <w:tblPrEx>
          <w:tblCellMar>
            <w:top w:w="0" w:type="dxa"/>
            <w:left w:w="108" w:type="dxa"/>
            <w:bottom w:w="0" w:type="dxa"/>
            <w:right w:w="108" w:type="dxa"/>
          </w:tblCellMar>
        </w:tblPrEx>
        <w:trPr>
          <w:trHeight w:val="402" w:hRule="atLeast"/>
        </w:trPr>
        <w:tc>
          <w:tcPr>
            <w:tcW w:w="1149"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科目编码</w:t>
            </w:r>
          </w:p>
        </w:tc>
        <w:tc>
          <w:tcPr>
            <w:tcW w:w="2552"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科目名称</w:t>
            </w:r>
          </w:p>
        </w:tc>
        <w:tc>
          <w:tcPr>
            <w:tcW w:w="1559"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小计</w:t>
            </w:r>
          </w:p>
        </w:tc>
        <w:tc>
          <w:tcPr>
            <w:tcW w:w="2977" w:type="dxa"/>
            <w:gridSpan w:val="2"/>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left"/>
              <w:rPr>
                <w:rFonts w:ascii="黑体" w:hAnsi="黑体" w:eastAsia="黑体" w:cs="宋体"/>
                <w:bCs/>
                <w:kern w:val="0"/>
                <w:sz w:val="22"/>
              </w:rPr>
            </w:pPr>
            <w:r>
              <w:rPr>
                <w:rFonts w:hint="eastAsia" w:ascii="黑体" w:hAnsi="黑体" w:eastAsia="黑体" w:cs="宋体"/>
                <w:bCs/>
                <w:kern w:val="0"/>
                <w:sz w:val="22"/>
              </w:rPr>
              <w:t>其中：</w:t>
            </w:r>
          </w:p>
        </w:tc>
      </w:tr>
      <w:tr>
        <w:tblPrEx>
          <w:tblCellMar>
            <w:top w:w="0" w:type="dxa"/>
            <w:left w:w="108" w:type="dxa"/>
            <w:bottom w:w="0" w:type="dxa"/>
            <w:right w:w="108" w:type="dxa"/>
          </w:tblCellMar>
        </w:tblPrEx>
        <w:trPr>
          <w:trHeight w:val="402" w:hRule="atLeast"/>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ascii="黑体" w:hAnsi="黑体" w:eastAsia="黑体" w:cs="宋体"/>
                <w:bCs/>
                <w:kern w:val="0"/>
                <w:sz w:val="22"/>
              </w:rPr>
            </w:pPr>
          </w:p>
        </w:tc>
        <w:tc>
          <w:tcPr>
            <w:tcW w:w="255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ascii="黑体" w:hAnsi="黑体" w:eastAsia="黑体" w:cs="宋体"/>
                <w:bCs/>
                <w:kern w:val="0"/>
                <w:sz w:val="22"/>
              </w:rPr>
            </w:pPr>
          </w:p>
        </w:tc>
        <w:tc>
          <w:tcPr>
            <w:tcW w:w="155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ascii="黑体" w:hAnsi="黑体" w:eastAsia="黑体" w:cs="宋体"/>
                <w:bCs/>
                <w:kern w:val="0"/>
                <w:sz w:val="22"/>
              </w:rPr>
            </w:pP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基本支出</w:t>
            </w:r>
          </w:p>
        </w:tc>
        <w:tc>
          <w:tcPr>
            <w:tcW w:w="1418"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项目支出</w:t>
            </w:r>
          </w:p>
        </w:tc>
      </w:tr>
      <w:tr>
        <w:tblPrEx>
          <w:tblCellMar>
            <w:top w:w="0" w:type="dxa"/>
            <w:left w:w="108" w:type="dxa"/>
            <w:bottom w:w="0" w:type="dxa"/>
            <w:right w:w="108" w:type="dxa"/>
          </w:tblCellMar>
        </w:tblPrEx>
        <w:trPr>
          <w:trHeight w:val="402" w:hRule="atLeast"/>
        </w:trPr>
        <w:tc>
          <w:tcPr>
            <w:tcW w:w="3701" w:type="dxa"/>
            <w:gridSpan w:val="2"/>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合计</w:t>
            </w: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kern w:val="0"/>
                <w:sz w:val="22"/>
              </w:rPr>
            </w:pP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center"/>
              <w:rPr>
                <w:rFonts w:ascii="宋体" w:hAnsi="宋体" w:eastAsia="宋体" w:cs="宋体"/>
                <w:kern w:val="0"/>
                <w:sz w:val="22"/>
              </w:rPr>
            </w:pP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center"/>
              <w:rPr>
                <w:rFonts w:ascii="宋体" w:hAnsi="宋体" w:eastAsia="宋体" w:cs="宋体"/>
                <w:kern w:val="0"/>
                <w:sz w:val="22"/>
              </w:rPr>
            </w:pP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bl>
    <w:p>
      <w:pPr>
        <w:tabs>
          <w:tab w:val="left" w:pos="7513"/>
        </w:tabs>
        <w:adjustRightInd w:val="0"/>
        <w:snapToGrid w:val="0"/>
        <w:spacing w:line="300" w:lineRule="auto"/>
        <w:ind w:firstLine="560" w:firstLineChars="200"/>
        <w:rPr>
          <w:rFonts w:hint="eastAsia" w:ascii="黑体" w:hAnsi="黑体" w:eastAsia="楷体"/>
          <w:sz w:val="28"/>
          <w:szCs w:val="28"/>
          <w:lang w:val="en-US" w:eastAsia="zh-CN"/>
        </w:rPr>
        <w:sectPr>
          <w:pgSz w:w="11906" w:h="16838"/>
          <w:pgMar w:top="1440" w:right="1800" w:bottom="1440" w:left="1800" w:header="851" w:footer="992" w:gutter="0"/>
          <w:cols w:space="425" w:num="1"/>
          <w:docGrid w:type="lines" w:linePitch="312" w:charSpace="0"/>
        </w:sectPr>
      </w:pPr>
      <w:r>
        <w:rPr>
          <w:rFonts w:hint="eastAsia" w:ascii="楷体" w:hAnsi="楷体" w:eastAsia="楷体" w:cs="Times New Roman"/>
          <w:kern w:val="0"/>
          <w:sz w:val="28"/>
          <w:szCs w:val="28"/>
          <w:lang w:eastAsia="zh-CN"/>
        </w:rPr>
        <w:t>备注：</w:t>
      </w:r>
      <w:r>
        <w:rPr>
          <w:rFonts w:hint="eastAsia" w:ascii="楷体" w:hAnsi="楷体" w:eastAsia="楷体" w:cs="Times New Roman"/>
          <w:kern w:val="0"/>
          <w:sz w:val="28"/>
          <w:szCs w:val="28"/>
        </w:rPr>
        <w:t>本</w:t>
      </w:r>
      <w:r>
        <w:rPr>
          <w:rFonts w:hint="eastAsia" w:ascii="楷体" w:hAnsi="楷体" w:eastAsia="楷体" w:cs="Times New Roman"/>
          <w:kern w:val="0"/>
          <w:sz w:val="28"/>
          <w:szCs w:val="28"/>
          <w:lang w:eastAsia="zh-CN"/>
        </w:rPr>
        <w:t>单位</w:t>
      </w:r>
      <w:r>
        <w:rPr>
          <w:rFonts w:hint="eastAsia" w:ascii="楷体" w:hAnsi="楷体" w:eastAsia="楷体" w:cs="Times New Roman"/>
          <w:kern w:val="0"/>
          <w:sz w:val="28"/>
          <w:szCs w:val="28"/>
          <w:lang w:val="en-US" w:eastAsia="zh-CN"/>
        </w:rPr>
        <w:t>2025</w:t>
      </w:r>
      <w:r>
        <w:rPr>
          <w:rFonts w:hint="eastAsia" w:ascii="楷体" w:hAnsi="楷体" w:eastAsia="楷体" w:cs="Times New Roman"/>
          <w:kern w:val="0"/>
          <w:sz w:val="28"/>
          <w:szCs w:val="28"/>
        </w:rPr>
        <w:t>年没有使用政府性基金预算拨款安排的支出</w:t>
      </w:r>
      <w:r>
        <w:rPr>
          <w:rFonts w:hint="eastAsia" w:ascii="楷体" w:hAnsi="楷体" w:eastAsia="楷体" w:cs="Times New Roman"/>
          <w:kern w:val="0"/>
          <w:szCs w:val="21"/>
        </w:rPr>
        <w:t>。</w:t>
      </w:r>
    </w:p>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七、国有资本经营预算拨款支出预算表</w:t>
      </w:r>
    </w:p>
    <w:tbl>
      <w:tblPr>
        <w:tblStyle w:val="6"/>
        <w:tblW w:w="9638" w:type="dxa"/>
        <w:tblInd w:w="91" w:type="dxa"/>
        <w:tblLayout w:type="autofit"/>
        <w:tblCellMar>
          <w:top w:w="0" w:type="dxa"/>
          <w:left w:w="108" w:type="dxa"/>
          <w:bottom w:w="0" w:type="dxa"/>
          <w:right w:w="108" w:type="dxa"/>
        </w:tblCellMar>
      </w:tblPr>
      <w:tblGrid>
        <w:gridCol w:w="1344"/>
        <w:gridCol w:w="2986"/>
        <w:gridCol w:w="1824"/>
        <w:gridCol w:w="1824"/>
        <w:gridCol w:w="1660"/>
      </w:tblGrid>
      <w:tr>
        <w:tblPrEx>
          <w:tblCellMar>
            <w:top w:w="0" w:type="dxa"/>
            <w:left w:w="108" w:type="dxa"/>
            <w:bottom w:w="0" w:type="dxa"/>
            <w:right w:w="108" w:type="dxa"/>
          </w:tblCellMar>
        </w:tblPrEx>
        <w:trPr>
          <w:trHeight w:val="529" w:hRule="atLeast"/>
        </w:trPr>
        <w:tc>
          <w:tcPr>
            <w:tcW w:w="8237" w:type="dxa"/>
            <w:gridSpan w:val="5"/>
            <w:tcBorders>
              <w:top w:val="nil"/>
              <w:left w:val="nil"/>
              <w:bottom w:val="nil"/>
              <w:right w:val="nil"/>
            </w:tcBorders>
            <w:shd w:val="clear" w:color="auto" w:fill="auto"/>
            <w:noWrap/>
            <w:vAlign w:val="center"/>
          </w:tcPr>
          <w:p>
            <w:pPr>
              <w:widowControl/>
              <w:spacing w:line="240" w:lineRule="auto"/>
              <w:jc w:val="center"/>
              <w:rPr>
                <w:rFonts w:ascii="方正小标宋简体" w:hAnsi="宋体" w:eastAsia="方正小标宋简体" w:cs="宋体"/>
                <w:kern w:val="0"/>
                <w:sz w:val="32"/>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年度国有资本经营预算拨款支出预算表</w:t>
            </w:r>
          </w:p>
        </w:tc>
      </w:tr>
      <w:tr>
        <w:tblPrEx>
          <w:tblCellMar>
            <w:top w:w="0" w:type="dxa"/>
            <w:left w:w="108" w:type="dxa"/>
            <w:bottom w:w="0" w:type="dxa"/>
            <w:right w:w="108" w:type="dxa"/>
          </w:tblCellMar>
        </w:tblPrEx>
        <w:trPr>
          <w:trHeight w:val="285" w:hRule="atLeast"/>
        </w:trPr>
        <w:tc>
          <w:tcPr>
            <w:tcW w:w="1149"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2552"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1559"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1559" w:type="dxa"/>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kern w:val="0"/>
                <w:sz w:val="24"/>
                <w:szCs w:val="24"/>
              </w:rPr>
            </w:pPr>
          </w:p>
        </w:tc>
        <w:tc>
          <w:tcPr>
            <w:tcW w:w="1418" w:type="dxa"/>
            <w:tcBorders>
              <w:top w:val="nil"/>
              <w:left w:val="nil"/>
              <w:bottom w:val="nil"/>
              <w:right w:val="nil"/>
            </w:tcBorders>
            <w:shd w:val="clear" w:color="auto" w:fill="auto"/>
            <w:noWrap/>
            <w:vAlign w:val="center"/>
          </w:tcPr>
          <w:p>
            <w:pPr>
              <w:widowControl/>
              <w:spacing w:line="240" w:lineRule="auto"/>
              <w:jc w:val="right"/>
              <w:rPr>
                <w:rFonts w:ascii="宋体" w:hAnsi="宋体" w:eastAsia="宋体" w:cs="宋体"/>
                <w:kern w:val="0"/>
                <w:sz w:val="22"/>
              </w:rPr>
            </w:pPr>
            <w:r>
              <w:rPr>
                <w:rFonts w:hint="eastAsia" w:ascii="宋体" w:hAnsi="宋体" w:eastAsia="宋体" w:cs="宋体"/>
                <w:kern w:val="0"/>
                <w:sz w:val="22"/>
              </w:rPr>
              <w:t>单位：万元</w:t>
            </w:r>
          </w:p>
        </w:tc>
      </w:tr>
      <w:tr>
        <w:tblPrEx>
          <w:tblCellMar>
            <w:top w:w="0" w:type="dxa"/>
            <w:left w:w="108" w:type="dxa"/>
            <w:bottom w:w="0" w:type="dxa"/>
            <w:right w:w="108" w:type="dxa"/>
          </w:tblCellMar>
        </w:tblPrEx>
        <w:trPr>
          <w:trHeight w:val="402" w:hRule="atLeast"/>
        </w:trPr>
        <w:tc>
          <w:tcPr>
            <w:tcW w:w="1149"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科目编码</w:t>
            </w:r>
          </w:p>
        </w:tc>
        <w:tc>
          <w:tcPr>
            <w:tcW w:w="2552"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科目名称</w:t>
            </w:r>
          </w:p>
        </w:tc>
        <w:tc>
          <w:tcPr>
            <w:tcW w:w="1559"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小计</w:t>
            </w:r>
          </w:p>
        </w:tc>
        <w:tc>
          <w:tcPr>
            <w:tcW w:w="2977" w:type="dxa"/>
            <w:gridSpan w:val="2"/>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left"/>
              <w:rPr>
                <w:rFonts w:ascii="黑体" w:hAnsi="黑体" w:eastAsia="黑体" w:cs="宋体"/>
                <w:bCs/>
                <w:kern w:val="0"/>
                <w:sz w:val="22"/>
              </w:rPr>
            </w:pPr>
            <w:r>
              <w:rPr>
                <w:rFonts w:hint="eastAsia" w:ascii="黑体" w:hAnsi="黑体" w:eastAsia="黑体" w:cs="宋体"/>
                <w:bCs/>
                <w:kern w:val="0"/>
                <w:sz w:val="22"/>
              </w:rPr>
              <w:t>其中：</w:t>
            </w:r>
          </w:p>
        </w:tc>
      </w:tr>
      <w:tr>
        <w:tblPrEx>
          <w:tblCellMar>
            <w:top w:w="0" w:type="dxa"/>
            <w:left w:w="108" w:type="dxa"/>
            <w:bottom w:w="0" w:type="dxa"/>
            <w:right w:w="108" w:type="dxa"/>
          </w:tblCellMar>
        </w:tblPrEx>
        <w:trPr>
          <w:trHeight w:val="402" w:hRule="atLeast"/>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ascii="黑体" w:hAnsi="黑体" w:eastAsia="黑体" w:cs="宋体"/>
                <w:bCs/>
                <w:kern w:val="0"/>
                <w:sz w:val="22"/>
              </w:rPr>
            </w:pPr>
          </w:p>
        </w:tc>
        <w:tc>
          <w:tcPr>
            <w:tcW w:w="255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ascii="黑体" w:hAnsi="黑体" w:eastAsia="黑体" w:cs="宋体"/>
                <w:bCs/>
                <w:kern w:val="0"/>
                <w:sz w:val="22"/>
              </w:rPr>
            </w:pPr>
          </w:p>
        </w:tc>
        <w:tc>
          <w:tcPr>
            <w:tcW w:w="155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ascii="黑体" w:hAnsi="黑体" w:eastAsia="黑体" w:cs="宋体"/>
                <w:bCs/>
                <w:kern w:val="0"/>
                <w:sz w:val="22"/>
              </w:rPr>
            </w:pP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基本支出</w:t>
            </w:r>
          </w:p>
        </w:tc>
        <w:tc>
          <w:tcPr>
            <w:tcW w:w="1418"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项目支出</w:t>
            </w:r>
          </w:p>
        </w:tc>
      </w:tr>
      <w:tr>
        <w:tblPrEx>
          <w:tblCellMar>
            <w:top w:w="0" w:type="dxa"/>
            <w:left w:w="108" w:type="dxa"/>
            <w:bottom w:w="0" w:type="dxa"/>
            <w:right w:w="108" w:type="dxa"/>
          </w:tblCellMar>
        </w:tblPrEx>
        <w:trPr>
          <w:trHeight w:val="402" w:hRule="atLeast"/>
        </w:trPr>
        <w:tc>
          <w:tcPr>
            <w:tcW w:w="3701" w:type="dxa"/>
            <w:gridSpan w:val="2"/>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合计</w:t>
            </w: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kern w:val="0"/>
                <w:sz w:val="22"/>
              </w:rPr>
            </w:pP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center"/>
              <w:rPr>
                <w:rFonts w:ascii="宋体" w:hAnsi="宋体" w:eastAsia="宋体" w:cs="宋体"/>
                <w:kern w:val="0"/>
                <w:sz w:val="22"/>
              </w:rPr>
            </w:pP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center"/>
              <w:rPr>
                <w:rFonts w:ascii="宋体" w:hAnsi="宋体" w:eastAsia="宋体" w:cs="宋体"/>
                <w:kern w:val="0"/>
                <w:sz w:val="22"/>
              </w:rPr>
            </w:pP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trHeight w:val="402" w:hRule="atLeast"/>
        </w:trPr>
        <w:tc>
          <w:tcPr>
            <w:tcW w:w="1149" w:type="dxa"/>
            <w:tcBorders>
              <w:top w:val="nil"/>
              <w:left w:val="single" w:color="auto" w:sz="4" w:space="0"/>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2552"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559"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c>
          <w:tcPr>
            <w:tcW w:w="1418" w:type="dxa"/>
            <w:tcBorders>
              <w:top w:val="nil"/>
              <w:left w:val="nil"/>
              <w:bottom w:val="single" w:color="auto" w:sz="4" w:space="0"/>
              <w:right w:val="single" w:color="auto" w:sz="4" w:space="0"/>
            </w:tcBorders>
            <w:shd w:val="clear" w:color="auto" w:fill="auto"/>
            <w:noWrap/>
            <w:vAlign w:val="bottom"/>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w:t>
            </w:r>
          </w:p>
        </w:tc>
      </w:tr>
    </w:tbl>
    <w:p>
      <w:pPr>
        <w:tabs>
          <w:tab w:val="left" w:pos="7513"/>
        </w:tabs>
        <w:adjustRightInd w:val="0"/>
        <w:snapToGrid w:val="0"/>
        <w:spacing w:line="300" w:lineRule="auto"/>
        <w:ind w:firstLine="560" w:firstLineChars="200"/>
        <w:rPr>
          <w:rFonts w:ascii="黑体" w:hAnsi="黑体" w:eastAsia="黑体"/>
          <w:sz w:val="28"/>
          <w:szCs w:val="28"/>
        </w:rPr>
        <w:sectPr>
          <w:pgSz w:w="11906" w:h="16838"/>
          <w:pgMar w:top="1440" w:right="1800" w:bottom="1440" w:left="1800" w:header="851" w:footer="992" w:gutter="0"/>
          <w:cols w:space="425" w:num="1"/>
          <w:docGrid w:type="lines" w:linePitch="312" w:charSpace="0"/>
        </w:sectPr>
      </w:pPr>
      <w:r>
        <w:rPr>
          <w:rFonts w:hint="eastAsia" w:ascii="楷体" w:hAnsi="楷体" w:eastAsia="楷体" w:cs="Times New Roman"/>
          <w:kern w:val="0"/>
          <w:sz w:val="28"/>
          <w:szCs w:val="28"/>
        </w:rPr>
        <w:t>备注：本</w:t>
      </w:r>
      <w:r>
        <w:rPr>
          <w:rFonts w:hint="eastAsia" w:ascii="楷体" w:hAnsi="楷体" w:eastAsia="楷体" w:cs="Times New Roman"/>
          <w:kern w:val="0"/>
          <w:sz w:val="28"/>
          <w:szCs w:val="28"/>
          <w:lang w:eastAsia="zh-CN"/>
        </w:rPr>
        <w:t>单位</w:t>
      </w:r>
      <w:r>
        <w:rPr>
          <w:rFonts w:hint="eastAsia" w:ascii="楷体" w:hAnsi="楷体" w:eastAsia="楷体" w:cs="Times New Roman"/>
          <w:kern w:val="0"/>
          <w:sz w:val="28"/>
          <w:szCs w:val="28"/>
          <w:lang w:val="en-US" w:eastAsia="zh-CN"/>
        </w:rPr>
        <w:t>2025</w:t>
      </w:r>
      <w:r>
        <w:rPr>
          <w:rFonts w:hint="eastAsia" w:ascii="楷体" w:hAnsi="楷体" w:eastAsia="楷体" w:cs="Times New Roman"/>
          <w:kern w:val="0"/>
          <w:sz w:val="28"/>
          <w:szCs w:val="28"/>
        </w:rPr>
        <w:t>年没有使用国有资本经营预算拨款安排的支出。</w:t>
      </w:r>
    </w:p>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八、一般公共预算支出经济分类情况表</w:t>
      </w:r>
    </w:p>
    <w:tbl>
      <w:tblPr>
        <w:tblStyle w:val="6"/>
        <w:tblW w:w="963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99"/>
        <w:gridCol w:w="4954"/>
        <w:gridCol w:w="29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7572" w:type="dxa"/>
            <w:gridSpan w:val="3"/>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30"/>
                <w:szCs w:val="30"/>
                <w:u w:val="none"/>
              </w:rPr>
            </w:pPr>
            <w:r>
              <w:rPr>
                <w:rFonts w:hint="eastAsia" w:ascii="宋体" w:hAnsi="宋体" w:eastAsia="宋体" w:cs="宋体"/>
                <w:i w:val="0"/>
                <w:iCs w:val="0"/>
                <w:color w:val="000000"/>
                <w:kern w:val="0"/>
                <w:sz w:val="30"/>
                <w:szCs w:val="30"/>
                <w:u w:val="none"/>
                <w:lang w:val="en-US" w:eastAsia="zh-CN" w:bidi="ar"/>
              </w:rPr>
              <w:t>2025年度</w:t>
            </w:r>
            <w:r>
              <w:rPr>
                <w:rFonts w:ascii="宋体" w:hAnsi="宋体" w:eastAsia="宋体" w:cs="宋体"/>
                <w:i w:val="0"/>
                <w:iCs w:val="0"/>
                <w:color w:val="000000"/>
                <w:kern w:val="0"/>
                <w:sz w:val="30"/>
                <w:szCs w:val="30"/>
                <w:u w:val="none"/>
                <w:lang w:val="en-US" w:eastAsia="zh-CN" w:bidi="ar"/>
              </w:rPr>
              <w:t>一般公共预算支出经济分类情况表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2345" w:type="dxa"/>
            <w:tcBorders>
              <w:top w:val="nil"/>
              <w:left w:val="nil"/>
              <w:bottom w:val="nil"/>
              <w:right w:val="nil"/>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科目编码</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科目名称</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98.03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工资福利支出</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49.99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商品和服务支出</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42.88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对个人和家庭的补助</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307</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债务利息及费用支出</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资本性支出（基本建设）</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资本性支出</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311</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对企业补助（基本建设）</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对企业补助</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313</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对社会保障基金补助</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399</w:t>
            </w:r>
          </w:p>
        </w:tc>
        <w:tc>
          <w:tcPr>
            <w:tcW w:w="38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其他支出</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bl>
    <w:p>
      <w:pPr>
        <w:widowControl/>
        <w:spacing w:line="300" w:lineRule="auto"/>
        <w:jc w:val="left"/>
        <w:rPr>
          <w:rFonts w:hint="eastAsia" w:ascii="楷体" w:hAnsi="楷体" w:eastAsia="楷体" w:cs="Times New Roman"/>
          <w:kern w:val="0"/>
          <w:szCs w:val="21"/>
        </w:rPr>
      </w:pPr>
    </w:p>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九、一般公共预算基本支出经济分类情况表</w:t>
      </w:r>
    </w:p>
    <w:tbl>
      <w:tblPr>
        <w:tblStyle w:val="6"/>
        <w:tblW w:w="963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373"/>
        <w:gridCol w:w="5010"/>
        <w:gridCol w:w="22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9461" w:type="dxa"/>
            <w:gridSpan w:val="3"/>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30"/>
                <w:szCs w:val="30"/>
                <w:u w:val="none"/>
              </w:rPr>
            </w:pPr>
            <w:r>
              <w:rPr>
                <w:rFonts w:hint="eastAsia" w:ascii="宋体" w:hAnsi="宋体" w:eastAsia="宋体" w:cs="宋体"/>
                <w:i w:val="0"/>
                <w:iCs w:val="0"/>
                <w:color w:val="000000"/>
                <w:kern w:val="0"/>
                <w:sz w:val="30"/>
                <w:szCs w:val="30"/>
                <w:u w:val="none"/>
                <w:lang w:val="en-US" w:eastAsia="zh-CN" w:bidi="ar"/>
              </w:rPr>
              <w:t>2025年度</w:t>
            </w:r>
            <w:r>
              <w:rPr>
                <w:rFonts w:ascii="宋体" w:hAnsi="宋体" w:eastAsia="宋体" w:cs="宋体"/>
                <w:i w:val="0"/>
                <w:iCs w:val="0"/>
                <w:color w:val="000000"/>
                <w:kern w:val="0"/>
                <w:sz w:val="30"/>
                <w:szCs w:val="30"/>
                <w:u w:val="none"/>
                <w:lang w:val="en-US" w:eastAsia="zh-CN" w:bidi="ar"/>
              </w:rPr>
              <w:t>一般公共预算基本支出经济分类情况表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2214" w:type="dxa"/>
            <w:tcBorders>
              <w:top w:val="nil"/>
              <w:left w:val="nil"/>
              <w:bottom w:val="nil"/>
              <w:right w:val="nil"/>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科目编码</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科目名称</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工资福利支出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49.99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基本工资</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13.46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津贴补贴</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奖金</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14.49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30106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伙食补助费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30107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绩效工资</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30108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机关事业单位基本养老保险缴费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6.06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30109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职业年金缴费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30110</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职工基本医疗保险缴费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30111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公务员医疗补助缴费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30112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其他社会保障缴费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30113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住房公积金</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30114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医疗费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30199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其他工资福利支出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商品和服务支出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办公费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印刷费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手续费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30205</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水费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电费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邮电费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取暖费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30209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物业管理费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差旅费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因公出国（境）费用</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维修(护)费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租赁费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30215</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会议费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培训费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公务接待费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30218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专用材料费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30224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被装购置费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30225</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专用燃料费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30226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劳务费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30227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委托业务费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30228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工会经费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30229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福利费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0.19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30231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公务用车运行维护费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30239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其他交通费用</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30240</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税金及附加费用</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30299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其他商品和服务支出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对个人和家庭的补助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离休费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退休费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退职（役）费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抚恤金</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30305</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生活补助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救济费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医疗费补助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助学金</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30309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奖励金</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30310</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个人农业生产补贴</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30311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代缴社会保险费</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30399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其他对个人和家庭的补助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债务利息及费用支出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30701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国内债务付息</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30702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国外债务付息</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30703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国内债务发行费用</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30704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国外债务发行费用</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资本性支出（基本建设）</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房屋建筑物购建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办公设备购置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专用设备购置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30905</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基础设施建设</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30906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大型修缮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30907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信息网络及软件购置更新</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30908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物资储备</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30913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公务用车购置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30919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其他交通工具购置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30921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文物和陈列品购置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30922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无形资产购置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30999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其他基本建设支出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资本性支出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房屋建筑物购建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办公设备购置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专用设备购置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31005</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基础设施建设</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大型修缮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信息网络及软件购置更新</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物资储备</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31009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土地补偿</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31010</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安置补助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31011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地上附着物和青苗补偿</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31012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拆迁补偿</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31013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公务用车购置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31019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其他交通工具购置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31021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文物和陈列品购置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31022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无形资产购置</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31099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其他资本性支出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对企业补助（基本建设）</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31101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资本金注入（基本建设）</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31199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其他对企业补助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对企业补助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31201</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资本金注入</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政府投资基金股权投资</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31204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费用补贴</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31205</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利息补贴</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31206</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其他资本性补助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31299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其他对企业补助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对社会保障基金补助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31302</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对社会保险基金补助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31303</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补充全国社会保障基金</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31304</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对机关事业单位职业年金的补助</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39907</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国家赔偿费用支出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39908</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对民间非营利组织和群众性自治组织补贴</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39909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经常性赠与</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39910</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资本性赠与</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23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39999</w:t>
            </w:r>
          </w:p>
        </w:tc>
        <w:tc>
          <w:tcPr>
            <w:tcW w:w="49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其他支出</w:t>
            </w:r>
          </w:p>
        </w:tc>
        <w:tc>
          <w:tcPr>
            <w:tcW w:w="22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bl>
    <w:p>
      <w:pPr>
        <w:tabs>
          <w:tab w:val="left" w:pos="7513"/>
        </w:tabs>
        <w:adjustRightInd w:val="0"/>
        <w:snapToGrid w:val="0"/>
        <w:spacing w:line="600" w:lineRule="exact"/>
        <w:jc w:val="center"/>
        <w:rPr>
          <w:rFonts w:hint="eastAsia" w:ascii="方正小标宋简体" w:hAnsi="宋体" w:eastAsia="方正小标宋简体" w:cs="宋体"/>
          <w:kern w:val="0"/>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hint="eastAsia" w:ascii="黑体" w:hAnsi="黑体" w:eastAsia="黑体"/>
          <w:sz w:val="32"/>
          <w:szCs w:val="32"/>
        </w:rPr>
      </w:pPr>
    </w:p>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十、一般公共预算“三公”经费支出预算表</w:t>
      </w:r>
    </w:p>
    <w:tbl>
      <w:tblPr>
        <w:tblStyle w:val="6"/>
        <w:tblW w:w="9638" w:type="dxa"/>
        <w:tblInd w:w="91" w:type="dxa"/>
        <w:tblLayout w:type="autofit"/>
        <w:tblCellMar>
          <w:top w:w="0" w:type="dxa"/>
          <w:left w:w="108" w:type="dxa"/>
          <w:bottom w:w="0" w:type="dxa"/>
          <w:right w:w="108" w:type="dxa"/>
        </w:tblCellMar>
      </w:tblPr>
      <w:tblGrid>
        <w:gridCol w:w="5241"/>
        <w:gridCol w:w="4397"/>
      </w:tblGrid>
      <w:tr>
        <w:tblPrEx>
          <w:tblCellMar>
            <w:top w:w="0" w:type="dxa"/>
            <w:left w:w="108" w:type="dxa"/>
            <w:bottom w:w="0" w:type="dxa"/>
            <w:right w:w="108" w:type="dxa"/>
          </w:tblCellMar>
        </w:tblPrEx>
        <w:trPr>
          <w:trHeight w:val="570" w:hRule="atLeast"/>
        </w:trPr>
        <w:tc>
          <w:tcPr>
            <w:tcW w:w="7848" w:type="dxa"/>
            <w:gridSpan w:val="2"/>
            <w:tcBorders>
              <w:top w:val="nil"/>
              <w:left w:val="nil"/>
              <w:bottom w:val="nil"/>
              <w:right w:val="nil"/>
            </w:tcBorders>
            <w:shd w:val="clear" w:color="auto" w:fill="auto"/>
            <w:noWrap/>
            <w:vAlign w:val="center"/>
          </w:tcPr>
          <w:p>
            <w:pPr>
              <w:widowControl/>
              <w:spacing w:line="240" w:lineRule="auto"/>
              <w:jc w:val="center"/>
              <w:rPr>
                <w:rFonts w:ascii="方正小标宋简体" w:hAnsi="黑体" w:eastAsia="方正小标宋简体" w:cs="宋体"/>
                <w:kern w:val="0"/>
                <w:sz w:val="32"/>
                <w:szCs w:val="32"/>
              </w:rPr>
            </w:pPr>
            <w:r>
              <w:rPr>
                <w:rFonts w:hint="eastAsia" w:ascii="方正小标宋简体" w:hAnsi="黑体" w:eastAsia="方正小标宋简体" w:cs="宋体"/>
                <w:kern w:val="0"/>
                <w:sz w:val="32"/>
                <w:szCs w:val="32"/>
                <w:lang w:val="en-US" w:eastAsia="zh-CN"/>
              </w:rPr>
              <w:t>2025</w:t>
            </w:r>
            <w:r>
              <w:rPr>
                <w:rFonts w:hint="eastAsia" w:ascii="方正小标宋简体" w:hAnsi="黑体" w:eastAsia="方正小标宋简体" w:cs="宋体"/>
                <w:kern w:val="0"/>
                <w:sz w:val="32"/>
                <w:szCs w:val="32"/>
              </w:rPr>
              <w:t>年度一般公共预算“三公”经费支出预算表</w:t>
            </w:r>
          </w:p>
        </w:tc>
      </w:tr>
      <w:tr>
        <w:tblPrEx>
          <w:tblCellMar>
            <w:top w:w="0" w:type="dxa"/>
            <w:left w:w="108" w:type="dxa"/>
            <w:bottom w:w="0" w:type="dxa"/>
            <w:right w:w="108" w:type="dxa"/>
          </w:tblCellMar>
        </w:tblPrEx>
        <w:trPr>
          <w:trHeight w:val="360" w:hRule="atLeast"/>
        </w:trPr>
        <w:tc>
          <w:tcPr>
            <w:tcW w:w="4268" w:type="dxa"/>
            <w:tcBorders>
              <w:top w:val="nil"/>
              <w:left w:val="nil"/>
              <w:bottom w:val="nil"/>
              <w:right w:val="nil"/>
            </w:tcBorders>
            <w:shd w:val="clear" w:color="auto" w:fill="auto"/>
            <w:noWrap/>
            <w:vAlign w:val="center"/>
          </w:tcPr>
          <w:p>
            <w:pPr>
              <w:widowControl/>
              <w:spacing w:line="240" w:lineRule="auto"/>
              <w:jc w:val="left"/>
              <w:rPr>
                <w:rFonts w:ascii="楷体_GB2312" w:hAnsi="宋体" w:eastAsia="楷体_GB2312" w:cs="宋体"/>
                <w:kern w:val="0"/>
                <w:sz w:val="24"/>
                <w:szCs w:val="24"/>
              </w:rPr>
            </w:pPr>
          </w:p>
        </w:tc>
        <w:tc>
          <w:tcPr>
            <w:tcW w:w="3580" w:type="dxa"/>
            <w:tcBorders>
              <w:top w:val="nil"/>
              <w:left w:val="nil"/>
              <w:bottom w:val="nil"/>
              <w:right w:val="nil"/>
            </w:tcBorders>
            <w:shd w:val="clear" w:color="auto" w:fill="auto"/>
            <w:noWrap/>
            <w:vAlign w:val="center"/>
          </w:tcPr>
          <w:p>
            <w:pPr>
              <w:widowControl/>
              <w:spacing w:line="240" w:lineRule="auto"/>
              <w:jc w:val="right"/>
              <w:rPr>
                <w:rFonts w:ascii="宋体" w:hAnsi="宋体" w:eastAsia="宋体" w:cs="宋体"/>
                <w:kern w:val="0"/>
                <w:sz w:val="22"/>
              </w:rPr>
            </w:pPr>
            <w:r>
              <w:rPr>
                <w:rFonts w:hint="eastAsia" w:ascii="宋体" w:hAnsi="宋体" w:eastAsia="宋体" w:cs="宋体"/>
                <w:kern w:val="0"/>
                <w:sz w:val="22"/>
              </w:rPr>
              <w:t>单位：万元</w:t>
            </w:r>
          </w:p>
        </w:tc>
      </w:tr>
      <w:tr>
        <w:tblPrEx>
          <w:tblCellMar>
            <w:top w:w="0" w:type="dxa"/>
            <w:left w:w="108" w:type="dxa"/>
            <w:bottom w:w="0" w:type="dxa"/>
            <w:right w:w="108" w:type="dxa"/>
          </w:tblCellMar>
        </w:tblPrEx>
        <w:trPr>
          <w:trHeight w:val="402" w:hRule="atLeast"/>
        </w:trPr>
        <w:tc>
          <w:tcPr>
            <w:tcW w:w="426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项目</w:t>
            </w:r>
          </w:p>
        </w:tc>
        <w:tc>
          <w:tcPr>
            <w:tcW w:w="358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黑体" w:hAnsi="黑体" w:eastAsia="黑体" w:cs="宋体"/>
                <w:bCs/>
                <w:kern w:val="0"/>
                <w:sz w:val="22"/>
              </w:rPr>
            </w:pPr>
            <w:r>
              <w:rPr>
                <w:rFonts w:hint="eastAsia" w:ascii="黑体" w:hAnsi="黑体" w:eastAsia="黑体" w:cs="宋体"/>
                <w:bCs/>
                <w:kern w:val="0"/>
                <w:sz w:val="22"/>
              </w:rPr>
              <w:t>预算数</w:t>
            </w:r>
          </w:p>
        </w:tc>
      </w:tr>
      <w:tr>
        <w:tblPrEx>
          <w:tblCellMar>
            <w:top w:w="0" w:type="dxa"/>
            <w:left w:w="108" w:type="dxa"/>
            <w:bottom w:w="0" w:type="dxa"/>
            <w:right w:w="108" w:type="dxa"/>
          </w:tblCellMar>
        </w:tblPrEx>
        <w:trPr>
          <w:trHeight w:val="400" w:hRule="atLeast"/>
        </w:trPr>
        <w:tc>
          <w:tcPr>
            <w:tcW w:w="4268"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合计</w:t>
            </w:r>
          </w:p>
        </w:tc>
        <w:tc>
          <w:tcPr>
            <w:tcW w:w="35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hint="default" w:ascii="宋体" w:hAnsi="宋体" w:eastAsia="宋体" w:cs="宋体"/>
                <w:kern w:val="0"/>
                <w:sz w:val="22"/>
                <w:lang w:val="en-US" w:eastAsia="zh-CN"/>
              </w:rPr>
            </w:pPr>
            <w:r>
              <w:rPr>
                <w:rFonts w:hint="eastAsia" w:ascii="宋体" w:hAnsi="宋体" w:eastAsia="宋体" w:cs="宋体"/>
                <w:kern w:val="0"/>
                <w:sz w:val="22"/>
                <w:lang w:val="en-US" w:eastAsia="zh-CN"/>
              </w:rPr>
              <w:t>0</w:t>
            </w:r>
          </w:p>
        </w:tc>
      </w:tr>
      <w:tr>
        <w:tblPrEx>
          <w:tblCellMar>
            <w:top w:w="0" w:type="dxa"/>
            <w:left w:w="108" w:type="dxa"/>
            <w:bottom w:w="0" w:type="dxa"/>
            <w:right w:w="108" w:type="dxa"/>
          </w:tblCellMar>
        </w:tblPrEx>
        <w:trPr>
          <w:trHeight w:val="402" w:hRule="atLeast"/>
        </w:trPr>
        <w:tc>
          <w:tcPr>
            <w:tcW w:w="4268"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1、因公出国（境）费用</w:t>
            </w:r>
          </w:p>
        </w:tc>
        <w:tc>
          <w:tcPr>
            <w:tcW w:w="35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kern w:val="0"/>
                <w:sz w:val="22"/>
              </w:rPr>
            </w:pPr>
            <w:r>
              <w:rPr>
                <w:rFonts w:hint="eastAsia" w:ascii="宋体" w:hAnsi="宋体" w:eastAsia="宋体" w:cs="宋体"/>
                <w:kern w:val="0"/>
                <w:sz w:val="22"/>
                <w:lang w:val="en-US" w:eastAsia="zh-CN"/>
              </w:rPr>
              <w:t>0</w:t>
            </w:r>
          </w:p>
        </w:tc>
      </w:tr>
      <w:tr>
        <w:tblPrEx>
          <w:tblCellMar>
            <w:top w:w="0" w:type="dxa"/>
            <w:left w:w="108" w:type="dxa"/>
            <w:bottom w:w="0" w:type="dxa"/>
            <w:right w:w="108" w:type="dxa"/>
          </w:tblCellMar>
        </w:tblPrEx>
        <w:trPr>
          <w:trHeight w:val="402" w:hRule="atLeast"/>
        </w:trPr>
        <w:tc>
          <w:tcPr>
            <w:tcW w:w="4268"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2、公务接待费</w:t>
            </w:r>
          </w:p>
        </w:tc>
        <w:tc>
          <w:tcPr>
            <w:tcW w:w="35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kern w:val="0"/>
                <w:sz w:val="22"/>
              </w:rPr>
            </w:pPr>
            <w:r>
              <w:rPr>
                <w:rFonts w:hint="eastAsia" w:ascii="宋体" w:hAnsi="宋体" w:eastAsia="宋体" w:cs="宋体"/>
                <w:kern w:val="0"/>
                <w:sz w:val="22"/>
                <w:lang w:val="en-US" w:eastAsia="zh-CN"/>
              </w:rPr>
              <w:t>0</w:t>
            </w:r>
          </w:p>
        </w:tc>
      </w:tr>
      <w:tr>
        <w:tblPrEx>
          <w:tblCellMar>
            <w:top w:w="0" w:type="dxa"/>
            <w:left w:w="108" w:type="dxa"/>
            <w:bottom w:w="0" w:type="dxa"/>
            <w:right w:w="108" w:type="dxa"/>
          </w:tblCellMar>
        </w:tblPrEx>
        <w:trPr>
          <w:trHeight w:val="402" w:hRule="atLeast"/>
        </w:trPr>
        <w:tc>
          <w:tcPr>
            <w:tcW w:w="4268"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3、公务用车购置及运行费</w:t>
            </w:r>
          </w:p>
        </w:tc>
        <w:tc>
          <w:tcPr>
            <w:tcW w:w="35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kern w:val="0"/>
                <w:sz w:val="22"/>
              </w:rPr>
            </w:pPr>
            <w:r>
              <w:rPr>
                <w:rFonts w:hint="eastAsia" w:ascii="宋体" w:hAnsi="宋体" w:eastAsia="宋体" w:cs="宋体"/>
                <w:kern w:val="0"/>
                <w:sz w:val="22"/>
                <w:lang w:val="en-US" w:eastAsia="zh-CN"/>
              </w:rPr>
              <w:t>0</w:t>
            </w:r>
          </w:p>
        </w:tc>
      </w:tr>
      <w:tr>
        <w:tblPrEx>
          <w:tblCellMar>
            <w:top w:w="0" w:type="dxa"/>
            <w:left w:w="108" w:type="dxa"/>
            <w:bottom w:w="0" w:type="dxa"/>
            <w:right w:w="108" w:type="dxa"/>
          </w:tblCellMar>
        </w:tblPrEx>
        <w:trPr>
          <w:trHeight w:val="402" w:hRule="atLeast"/>
        </w:trPr>
        <w:tc>
          <w:tcPr>
            <w:tcW w:w="4268"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ind w:firstLine="440" w:firstLineChars="200"/>
              <w:jc w:val="left"/>
              <w:rPr>
                <w:rFonts w:ascii="宋体" w:hAnsi="宋体" w:eastAsia="宋体" w:cs="宋体"/>
                <w:kern w:val="0"/>
                <w:sz w:val="22"/>
              </w:rPr>
            </w:pPr>
            <w:r>
              <w:rPr>
                <w:rFonts w:hint="eastAsia" w:ascii="宋体" w:hAnsi="宋体" w:eastAsia="宋体" w:cs="宋体"/>
                <w:kern w:val="0"/>
                <w:sz w:val="22"/>
              </w:rPr>
              <w:t>其中：（1）公务用车购置费</w:t>
            </w:r>
          </w:p>
        </w:tc>
        <w:tc>
          <w:tcPr>
            <w:tcW w:w="35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kern w:val="0"/>
                <w:sz w:val="22"/>
              </w:rPr>
            </w:pPr>
            <w:r>
              <w:rPr>
                <w:rFonts w:hint="eastAsia" w:ascii="宋体" w:hAnsi="宋体" w:eastAsia="宋体" w:cs="宋体"/>
                <w:kern w:val="0"/>
                <w:sz w:val="22"/>
                <w:lang w:val="en-US" w:eastAsia="zh-CN"/>
              </w:rPr>
              <w:t>0</w:t>
            </w:r>
          </w:p>
        </w:tc>
      </w:tr>
      <w:tr>
        <w:tblPrEx>
          <w:tblCellMar>
            <w:top w:w="0" w:type="dxa"/>
            <w:left w:w="108" w:type="dxa"/>
            <w:bottom w:w="0" w:type="dxa"/>
            <w:right w:w="108" w:type="dxa"/>
          </w:tblCellMar>
        </w:tblPrEx>
        <w:trPr>
          <w:trHeight w:val="402" w:hRule="atLeast"/>
        </w:trPr>
        <w:tc>
          <w:tcPr>
            <w:tcW w:w="4268"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kern w:val="0"/>
                <w:sz w:val="22"/>
              </w:rPr>
            </w:pPr>
            <w:r>
              <w:rPr>
                <w:rFonts w:hint="eastAsia" w:ascii="宋体" w:hAnsi="宋体" w:eastAsia="宋体" w:cs="宋体"/>
                <w:kern w:val="0"/>
                <w:sz w:val="22"/>
              </w:rPr>
              <w:t xml:space="preserve">          （2）公务用车运行费</w:t>
            </w:r>
          </w:p>
        </w:tc>
        <w:tc>
          <w:tcPr>
            <w:tcW w:w="35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kern w:val="0"/>
                <w:sz w:val="22"/>
              </w:rPr>
            </w:pPr>
            <w:r>
              <w:rPr>
                <w:rFonts w:hint="eastAsia" w:ascii="宋体" w:hAnsi="宋体" w:eastAsia="宋体" w:cs="宋体"/>
                <w:kern w:val="0"/>
                <w:sz w:val="22"/>
                <w:lang w:val="en-US" w:eastAsia="zh-CN"/>
              </w:rPr>
              <w:t>0</w:t>
            </w:r>
          </w:p>
        </w:tc>
      </w:tr>
    </w:tbl>
    <w:p>
      <w:pPr>
        <w:spacing w:line="300" w:lineRule="auto"/>
        <w:ind w:firstLine="720" w:firstLineChars="300"/>
        <w:jc w:val="left"/>
        <w:rPr>
          <w:rFonts w:ascii="楷体" w:hAnsi="楷体" w:eastAsia="楷体" w:cs="Times New Roman"/>
          <w:kern w:val="0"/>
          <w:sz w:val="24"/>
          <w:szCs w:val="24"/>
        </w:rPr>
        <w:sectPr>
          <w:pgSz w:w="11906" w:h="16838"/>
          <w:pgMar w:top="1440" w:right="1800" w:bottom="1440" w:left="1800" w:header="851" w:footer="992" w:gutter="0"/>
          <w:cols w:space="425" w:num="1"/>
          <w:docGrid w:type="lines" w:linePitch="312" w:charSpace="0"/>
        </w:sectPr>
      </w:pPr>
      <w:r>
        <w:rPr>
          <w:rFonts w:hint="eastAsia" w:ascii="楷体" w:hAnsi="楷体" w:eastAsia="楷体" w:cs="Times New Roman"/>
          <w:kern w:val="0"/>
          <w:sz w:val="24"/>
          <w:szCs w:val="24"/>
        </w:rPr>
        <w:t>本</w:t>
      </w:r>
      <w:r>
        <w:rPr>
          <w:rFonts w:hint="eastAsia" w:ascii="楷体" w:hAnsi="楷体" w:eastAsia="楷体" w:cs="Times New Roman"/>
          <w:kern w:val="0"/>
          <w:sz w:val="24"/>
          <w:szCs w:val="24"/>
          <w:lang w:eastAsia="zh-CN"/>
        </w:rPr>
        <w:t>单位</w:t>
      </w:r>
      <w:r>
        <w:rPr>
          <w:rFonts w:hint="eastAsia" w:ascii="楷体" w:hAnsi="楷体" w:eastAsia="楷体" w:cs="Times New Roman"/>
          <w:kern w:val="0"/>
          <w:sz w:val="24"/>
          <w:szCs w:val="24"/>
          <w:lang w:val="en-US" w:eastAsia="zh-CN"/>
        </w:rPr>
        <w:t>2025</w:t>
      </w:r>
      <w:r>
        <w:rPr>
          <w:rFonts w:hint="eastAsia" w:ascii="楷体" w:hAnsi="楷体" w:eastAsia="楷体" w:cs="Times New Roman"/>
          <w:kern w:val="0"/>
          <w:sz w:val="24"/>
          <w:szCs w:val="24"/>
        </w:rPr>
        <w:t>年度</w:t>
      </w:r>
      <w:r>
        <w:rPr>
          <w:rFonts w:hint="eastAsia" w:ascii="楷体" w:hAnsi="楷体" w:eastAsia="楷体"/>
          <w:sz w:val="24"/>
          <w:szCs w:val="24"/>
        </w:rPr>
        <w:t>没有</w:t>
      </w:r>
      <w:r>
        <w:rPr>
          <w:rFonts w:hint="eastAsia" w:ascii="楷体" w:hAnsi="楷体" w:eastAsia="楷体" w:cs="Times New Roman"/>
          <w:kern w:val="0"/>
          <w:sz w:val="24"/>
          <w:szCs w:val="24"/>
        </w:rPr>
        <w:t>一般公共预算安排的‘三公’经费支出。</w:t>
      </w:r>
    </w:p>
    <w:p>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十一、</w:t>
      </w:r>
      <w:r>
        <w:rPr>
          <w:rFonts w:hint="eastAsia" w:ascii="黑体" w:hAnsi="黑体" w:eastAsia="黑体"/>
          <w:sz w:val="32"/>
          <w:szCs w:val="32"/>
          <w:lang w:eastAsia="zh-CN"/>
        </w:rPr>
        <w:t>单位</w:t>
      </w:r>
      <w:r>
        <w:rPr>
          <w:rFonts w:hint="eastAsia" w:ascii="黑体" w:hAnsi="黑体" w:eastAsia="黑体"/>
          <w:sz w:val="32"/>
          <w:szCs w:val="32"/>
        </w:rPr>
        <w:t>专项资金管理清单目录</w:t>
      </w:r>
    </w:p>
    <w:tbl>
      <w:tblPr>
        <w:tblStyle w:val="6"/>
        <w:tblW w:w="1360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7"/>
        <w:gridCol w:w="1371"/>
        <w:gridCol w:w="1528"/>
        <w:gridCol w:w="675"/>
        <w:gridCol w:w="1810"/>
        <w:gridCol w:w="2210"/>
        <w:gridCol w:w="765"/>
        <w:gridCol w:w="735"/>
        <w:gridCol w:w="870"/>
        <w:gridCol w:w="885"/>
        <w:gridCol w:w="885"/>
        <w:gridCol w:w="11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12441" w:type="dxa"/>
            <w:gridSpan w:val="11"/>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30"/>
                <w:szCs w:val="30"/>
                <w:u w:val="none"/>
              </w:rPr>
            </w:pPr>
            <w:r>
              <w:rPr>
                <w:rFonts w:ascii="宋体" w:hAnsi="宋体" w:eastAsia="宋体" w:cs="宋体"/>
                <w:i w:val="0"/>
                <w:iCs w:val="0"/>
                <w:color w:val="000000"/>
                <w:kern w:val="0"/>
                <w:sz w:val="30"/>
                <w:szCs w:val="30"/>
                <w:u w:val="none"/>
                <w:lang w:val="en-US" w:eastAsia="zh-CN" w:bidi="ar"/>
              </w:rPr>
              <w:t>部门专项资金管理清单目录</w:t>
            </w:r>
          </w:p>
        </w:tc>
        <w:tc>
          <w:tcPr>
            <w:tcW w:w="116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707"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371"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528"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67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81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221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6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3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87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88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88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16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2" w:hRule="atLeast"/>
        </w:trPr>
        <w:tc>
          <w:tcPr>
            <w:tcW w:w="7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主管部门名称</w:t>
            </w:r>
          </w:p>
        </w:tc>
        <w:tc>
          <w:tcPr>
            <w:tcW w:w="13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专项资金立项项目名称</w:t>
            </w:r>
          </w:p>
        </w:tc>
        <w:tc>
          <w:tcPr>
            <w:tcW w:w="152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立项依据</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执行年限</w:t>
            </w:r>
          </w:p>
        </w:tc>
        <w:tc>
          <w:tcPr>
            <w:tcW w:w="18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实施规划</w:t>
            </w:r>
          </w:p>
        </w:tc>
        <w:tc>
          <w:tcPr>
            <w:tcW w:w="22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总体绩效目标</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支出级次</w:t>
            </w:r>
          </w:p>
        </w:tc>
        <w:tc>
          <w:tcPr>
            <w:tcW w:w="337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资金拼盘</w:t>
            </w:r>
          </w:p>
        </w:tc>
        <w:tc>
          <w:tcPr>
            <w:tcW w:w="11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资金分配办法及支出标准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7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3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2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小计</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一般公共预算</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政府性基金预算</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国有资本经营预算</w:t>
            </w:r>
          </w:p>
        </w:tc>
        <w:tc>
          <w:tcPr>
            <w:tcW w:w="11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3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2</w:t>
            </w:r>
          </w:p>
        </w:tc>
        <w:tc>
          <w:tcPr>
            <w:tcW w:w="15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4</w:t>
            </w:r>
          </w:p>
        </w:tc>
        <w:tc>
          <w:tcPr>
            <w:tcW w:w="1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5</w:t>
            </w:r>
          </w:p>
        </w:tc>
        <w:tc>
          <w:tcPr>
            <w:tcW w:w="22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6</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8</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9</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11</w:t>
            </w:r>
          </w:p>
        </w:tc>
        <w:tc>
          <w:tcPr>
            <w:tcW w:w="11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 w:hRule="atLeast"/>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合计</w:t>
            </w:r>
          </w:p>
        </w:tc>
        <w:tc>
          <w:tcPr>
            <w:tcW w:w="13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2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8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2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0.00</w:t>
            </w:r>
          </w:p>
        </w:tc>
        <w:tc>
          <w:tcPr>
            <w:tcW w:w="11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9" w:hRule="atLeast"/>
        </w:trPr>
        <w:tc>
          <w:tcPr>
            <w:tcW w:w="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漳平市民政局</w:t>
            </w:r>
          </w:p>
        </w:tc>
        <w:tc>
          <w:tcPr>
            <w:tcW w:w="13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困难群众救助补助专项资金（流浪乞讨人员）（闽财社指〔2024〕61号）</w:t>
            </w:r>
          </w:p>
        </w:tc>
        <w:tc>
          <w:tcPr>
            <w:tcW w:w="15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（闽财社指〔2024〕61号）福建省财政厅  福建省民政厅关于提前下达2025年民政事业类省级补助转移支付预算的通知</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w:t>
            </w:r>
          </w:p>
        </w:tc>
        <w:tc>
          <w:tcPr>
            <w:tcW w:w="1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用于生活无着的流浪乞讨人员主动救助、生活救助、医疗救治、教育矫治、返乡救助、临时安置等救助保护支出，为站内及街面流浪乞讨人员提供救助所需食宿、衣被、返乡交通费、急病救治。</w:t>
            </w:r>
          </w:p>
        </w:tc>
        <w:tc>
          <w:tcPr>
            <w:tcW w:w="22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1.漳平市救助站购买流浪乞讨人员救助服务项目合计34.8万元。</w:t>
            </w:r>
            <w:r>
              <w:rPr>
                <w:rFonts w:ascii="宋体" w:hAnsi="宋体" w:eastAsia="宋体" w:cs="宋体"/>
                <w:i w:val="0"/>
                <w:iCs w:val="0"/>
                <w:color w:val="000000"/>
                <w:kern w:val="0"/>
                <w:sz w:val="18"/>
                <w:szCs w:val="18"/>
                <w:u w:val="none"/>
                <w:lang w:val="en-US" w:eastAsia="zh-CN" w:bidi="ar"/>
              </w:rPr>
              <w:br w:type="textWrapping"/>
            </w:r>
            <w:r>
              <w:rPr>
                <w:rFonts w:ascii="宋体" w:hAnsi="宋体" w:eastAsia="宋体" w:cs="宋体"/>
                <w:i w:val="0"/>
                <w:iCs w:val="0"/>
                <w:color w:val="000000"/>
                <w:kern w:val="0"/>
                <w:sz w:val="18"/>
                <w:szCs w:val="18"/>
                <w:u w:val="none"/>
                <w:lang w:val="en-US" w:eastAsia="zh-CN" w:bidi="ar"/>
              </w:rPr>
              <w:t>2.用于生活无着的流浪乞讨人员主动救助、生活救助、医疗救治、教育矫治、返乡救助、临时安置等救助保护支出，为站内及街面流浪乞讨人员提供救助所需食宿、衣被、返乡交通费、急病救治、寻亲救助宣传等费用3.2万元</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38.00</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11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lang w:val="en-US" w:eastAsia="zh-CN" w:bidi="ar"/>
              </w:rPr>
              <w:t>因素法</w:t>
            </w:r>
          </w:p>
        </w:tc>
      </w:tr>
    </w:tbl>
    <w:p>
      <w:pPr>
        <w:pStyle w:val="2"/>
        <w:rPr>
          <w:rFonts w:hint="eastAsia" w:ascii="黑体" w:hAnsi="黑体" w:eastAsia="黑体"/>
          <w:sz w:val="56"/>
          <w:szCs w:val="36"/>
          <w:lang w:eastAsia="zh-CN"/>
        </w:rPr>
      </w:pPr>
    </w:p>
    <w:p>
      <w:pPr>
        <w:pStyle w:val="2"/>
        <w:rPr>
          <w:rFonts w:hint="eastAsia" w:ascii="黑体" w:hAnsi="黑体" w:eastAsia="黑体"/>
          <w:sz w:val="56"/>
          <w:szCs w:val="36"/>
          <w:lang w:eastAsia="zh-CN"/>
        </w:rPr>
      </w:pPr>
    </w:p>
    <w:p>
      <w:pPr>
        <w:pStyle w:val="2"/>
        <w:rPr>
          <w:rFonts w:ascii="黑体" w:hAnsi="黑体" w:eastAsia="黑体"/>
          <w:sz w:val="56"/>
          <w:szCs w:val="36"/>
          <w:lang w:eastAsia="zh-CN"/>
        </w:rPr>
      </w:pPr>
      <w:r>
        <w:rPr>
          <w:rFonts w:hint="eastAsia" w:ascii="黑体" w:hAnsi="黑体" w:eastAsia="黑体"/>
          <w:sz w:val="56"/>
          <w:szCs w:val="36"/>
          <w:lang w:eastAsia="zh-CN"/>
        </w:rPr>
        <w:t>第三部分</w:t>
      </w:r>
      <w:r>
        <w:rPr>
          <w:rFonts w:ascii="黑体" w:hAnsi="黑体" w:eastAsia="黑体"/>
          <w:sz w:val="56"/>
          <w:szCs w:val="36"/>
          <w:lang w:eastAsia="zh-CN"/>
        </w:rPr>
        <w:t xml:space="preserve"> </w:t>
      </w:r>
    </w:p>
    <w:p>
      <w:pPr>
        <w:pStyle w:val="2"/>
        <w:jc w:val="center"/>
        <w:rPr>
          <w:rFonts w:ascii="黑体" w:hAnsi="黑体" w:eastAsia="黑体"/>
          <w:sz w:val="56"/>
          <w:szCs w:val="36"/>
          <w:lang w:eastAsia="zh-CN"/>
        </w:rPr>
      </w:pPr>
      <w:r>
        <w:rPr>
          <w:rFonts w:hint="eastAsia" w:ascii="黑体" w:hAnsi="黑体" w:eastAsia="黑体"/>
          <w:sz w:val="56"/>
          <w:szCs w:val="36"/>
          <w:lang w:val="en-US" w:eastAsia="zh-CN"/>
        </w:rPr>
        <w:t>2025</w:t>
      </w:r>
      <w:r>
        <w:rPr>
          <w:rFonts w:hint="eastAsia" w:ascii="黑体" w:hAnsi="黑体" w:eastAsia="黑体"/>
          <w:sz w:val="56"/>
          <w:szCs w:val="36"/>
          <w:lang w:eastAsia="zh-CN"/>
        </w:rPr>
        <w:t>年度单位预算情况说明</w:t>
      </w:r>
    </w:p>
    <w:p>
      <w:pPr>
        <w:ind w:firstLine="640" w:firstLineChars="200"/>
        <w:rPr>
          <w:rFonts w:ascii="仿宋" w:hAnsi="仿宋" w:eastAsia="仿宋" w:cs="仿宋_GB2312"/>
          <w:sz w:val="32"/>
          <w:szCs w:val="32"/>
        </w:rPr>
      </w:pPr>
    </w:p>
    <w:p>
      <w:pPr>
        <w:tabs>
          <w:tab w:val="left" w:pos="7513"/>
        </w:tabs>
        <w:adjustRightInd w:val="0"/>
        <w:snapToGrid w:val="0"/>
        <w:spacing w:line="600" w:lineRule="exact"/>
        <w:rPr>
          <w:rFonts w:ascii="仿宋" w:hAnsi="仿宋" w:eastAsia="仿宋"/>
          <w:b/>
          <w:sz w:val="32"/>
          <w:szCs w:val="32"/>
        </w:rPr>
        <w:sectPr>
          <w:pgSz w:w="16838" w:h="11906" w:orient="landscape"/>
          <w:pgMar w:top="1800" w:right="1440" w:bottom="1800" w:left="1440" w:header="851" w:footer="992" w:gutter="0"/>
          <w:cols w:space="425" w:num="1"/>
          <w:docGrid w:type="lines" w:linePitch="312" w:charSpace="0"/>
        </w:sectPr>
      </w:pPr>
    </w:p>
    <w:p>
      <w:pPr>
        <w:tabs>
          <w:tab w:val="left" w:pos="7513"/>
        </w:tabs>
        <w:adjustRightInd w:val="0"/>
        <w:snapToGrid w:val="0"/>
        <w:spacing w:line="600" w:lineRule="exact"/>
        <w:ind w:firstLine="640" w:firstLineChars="200"/>
        <w:rPr>
          <w:rFonts w:ascii="黑体" w:hAnsi="黑体" w:eastAsia="黑体"/>
          <w:sz w:val="32"/>
          <w:szCs w:val="32"/>
        </w:rPr>
      </w:pPr>
      <w:r>
        <w:rPr>
          <w:rFonts w:hint="eastAsia" w:ascii="黑体" w:hAnsi="黑体" w:eastAsia="黑体"/>
          <w:sz w:val="32"/>
          <w:szCs w:val="32"/>
        </w:rPr>
        <w:t>一、预算收支总体情况</w:t>
      </w:r>
    </w:p>
    <w:p>
      <w:pPr>
        <w:tabs>
          <w:tab w:val="left" w:pos="7513"/>
        </w:tabs>
        <w:adjustRightInd w:val="0"/>
        <w:snapToGrid w:val="0"/>
        <w:spacing w:line="600" w:lineRule="exact"/>
        <w:ind w:firstLine="640" w:firstLineChars="200"/>
        <w:rPr>
          <w:rFonts w:ascii="仿宋" w:hAnsi="仿宋" w:eastAsia="仿宋"/>
          <w:sz w:val="32"/>
          <w:szCs w:val="32"/>
        </w:rPr>
      </w:pPr>
      <w:r>
        <w:rPr>
          <w:rFonts w:hint="eastAsia" w:ascii="仿宋" w:hAnsi="仿宋" w:eastAsia="仿宋"/>
          <w:sz w:val="32"/>
          <w:szCs w:val="32"/>
        </w:rPr>
        <w:t>按照综合预算的原则，</w:t>
      </w:r>
      <w:r>
        <w:rPr>
          <w:rFonts w:hint="eastAsia" w:ascii="仿宋" w:hAnsi="仿宋" w:eastAsia="仿宋"/>
          <w:sz w:val="32"/>
          <w:szCs w:val="32"/>
          <w:lang w:eastAsia="zh-CN"/>
        </w:rPr>
        <w:t>单位</w:t>
      </w:r>
      <w:r>
        <w:rPr>
          <w:rFonts w:hint="eastAsia" w:ascii="仿宋" w:hAnsi="仿宋" w:eastAsia="仿宋"/>
          <w:sz w:val="32"/>
          <w:szCs w:val="32"/>
        </w:rPr>
        <w:t>所有收入和支出均纳入</w:t>
      </w:r>
      <w:r>
        <w:rPr>
          <w:rFonts w:hint="eastAsia" w:ascii="仿宋" w:hAnsi="仿宋" w:eastAsia="仿宋"/>
          <w:sz w:val="32"/>
          <w:szCs w:val="32"/>
          <w:lang w:eastAsia="zh-CN"/>
        </w:rPr>
        <w:t>单位</w:t>
      </w:r>
      <w:r>
        <w:rPr>
          <w:rFonts w:hint="eastAsia" w:ascii="仿宋" w:hAnsi="仿宋" w:eastAsia="仿宋"/>
          <w:sz w:val="32"/>
          <w:szCs w:val="32"/>
        </w:rPr>
        <w:t>预算管理。</w:t>
      </w:r>
      <w:r>
        <w:rPr>
          <w:rFonts w:hint="eastAsia" w:ascii="仿宋" w:hAnsi="仿宋" w:eastAsia="仿宋"/>
          <w:sz w:val="32"/>
          <w:szCs w:val="32"/>
          <w:lang w:val="en-US" w:eastAsia="zh-CN"/>
        </w:rPr>
        <w:t>2025</w:t>
      </w:r>
      <w:r>
        <w:rPr>
          <w:rFonts w:hint="eastAsia" w:ascii="仿宋" w:hAnsi="仿宋" w:eastAsia="仿宋"/>
          <w:sz w:val="32"/>
          <w:szCs w:val="32"/>
        </w:rPr>
        <w:t>年，</w:t>
      </w:r>
      <w:r>
        <w:rPr>
          <w:rFonts w:hint="eastAsia" w:ascii="仿宋" w:hAnsi="仿宋" w:eastAsia="仿宋" w:cs="仿宋_GB2312"/>
          <w:sz w:val="32"/>
          <w:szCs w:val="32"/>
          <w:lang w:eastAsia="zh-CN"/>
        </w:rPr>
        <w:t>漳平市救助站</w:t>
      </w:r>
      <w:r>
        <w:rPr>
          <w:rFonts w:hint="eastAsia" w:ascii="仿宋" w:hAnsi="仿宋" w:eastAsia="仿宋"/>
          <w:sz w:val="32"/>
          <w:szCs w:val="32"/>
        </w:rPr>
        <w:t>收入预算为</w:t>
      </w:r>
      <w:r>
        <w:rPr>
          <w:rFonts w:hint="eastAsia" w:ascii="仿宋" w:hAnsi="仿宋" w:eastAsia="仿宋" w:cs="仿宋_GB2312"/>
          <w:sz w:val="32"/>
          <w:szCs w:val="32"/>
          <w:lang w:val="en-US" w:eastAsia="zh-CN"/>
        </w:rPr>
        <w:t>98.03</w:t>
      </w:r>
      <w:r>
        <w:rPr>
          <w:rFonts w:hint="eastAsia" w:ascii="仿宋" w:hAnsi="仿宋" w:eastAsia="仿宋"/>
          <w:sz w:val="32"/>
          <w:szCs w:val="32"/>
        </w:rPr>
        <w:t>万元，比上年减少</w:t>
      </w:r>
      <w:r>
        <w:rPr>
          <w:rFonts w:hint="eastAsia" w:ascii="仿宋" w:hAnsi="仿宋" w:eastAsia="仿宋" w:cs="仿宋_GB2312"/>
          <w:sz w:val="32"/>
          <w:szCs w:val="32"/>
          <w:lang w:val="en-US" w:eastAsia="zh-CN"/>
        </w:rPr>
        <w:t>9.51</w:t>
      </w:r>
      <w:r>
        <w:rPr>
          <w:rFonts w:hint="eastAsia" w:ascii="仿宋" w:hAnsi="仿宋" w:eastAsia="仿宋"/>
          <w:sz w:val="32"/>
          <w:szCs w:val="32"/>
        </w:rPr>
        <w:t>万元，主要原因是</w:t>
      </w:r>
      <w:r>
        <w:rPr>
          <w:rFonts w:hint="eastAsia" w:ascii="仿宋" w:hAnsi="仿宋" w:eastAsia="仿宋" w:cs="仿宋_GB2312"/>
          <w:sz w:val="32"/>
          <w:szCs w:val="32"/>
        </w:rPr>
        <w:t>流浪乞讨人员救助支出</w:t>
      </w:r>
      <w:r>
        <w:rPr>
          <w:rFonts w:hint="eastAsia" w:ascii="仿宋" w:hAnsi="仿宋" w:eastAsia="仿宋" w:cs="仿宋_GB2312"/>
          <w:sz w:val="32"/>
          <w:szCs w:val="32"/>
          <w:lang w:eastAsia="zh-CN"/>
        </w:rPr>
        <w:t>减少</w:t>
      </w:r>
      <w:r>
        <w:rPr>
          <w:rFonts w:hint="eastAsia" w:ascii="仿宋" w:hAnsi="仿宋" w:eastAsia="仿宋" w:cs="仿宋_GB2312"/>
          <w:sz w:val="32"/>
          <w:szCs w:val="32"/>
        </w:rPr>
        <w:t>。</w:t>
      </w:r>
      <w:r>
        <w:rPr>
          <w:rFonts w:hint="eastAsia" w:ascii="仿宋" w:hAnsi="仿宋" w:eastAsia="仿宋"/>
          <w:sz w:val="32"/>
          <w:szCs w:val="32"/>
        </w:rPr>
        <w:t>其中：一般公共预算拨款收入</w:t>
      </w:r>
      <w:r>
        <w:rPr>
          <w:rFonts w:hint="eastAsia" w:ascii="仿宋" w:hAnsi="仿宋" w:eastAsia="仿宋" w:cs="仿宋_GB2312"/>
          <w:sz w:val="32"/>
          <w:szCs w:val="32"/>
          <w:lang w:val="en-US" w:eastAsia="zh-CN"/>
        </w:rPr>
        <w:t>98.03</w:t>
      </w:r>
      <w:r>
        <w:rPr>
          <w:rFonts w:hint="eastAsia" w:ascii="仿宋" w:hAnsi="仿宋" w:eastAsia="仿宋"/>
          <w:sz w:val="32"/>
          <w:szCs w:val="32"/>
        </w:rPr>
        <w:t>万元、政府性基金预算拨款收入</w:t>
      </w:r>
      <w:r>
        <w:rPr>
          <w:rFonts w:hint="eastAsia" w:ascii="仿宋" w:hAnsi="仿宋" w:eastAsia="仿宋" w:cs="仿宋_GB2312"/>
          <w:sz w:val="32"/>
          <w:szCs w:val="32"/>
          <w:lang w:val="en-US" w:eastAsia="zh-CN"/>
        </w:rPr>
        <w:t>0</w:t>
      </w:r>
      <w:r>
        <w:rPr>
          <w:rFonts w:hint="eastAsia" w:ascii="仿宋" w:hAnsi="仿宋" w:eastAsia="仿宋"/>
          <w:sz w:val="32"/>
          <w:szCs w:val="32"/>
        </w:rPr>
        <w:t>万元、国有资本经营预算拨款收入</w:t>
      </w:r>
      <w:r>
        <w:rPr>
          <w:rFonts w:hint="eastAsia" w:ascii="仿宋" w:hAnsi="仿宋" w:eastAsia="仿宋" w:cs="仿宋_GB2312"/>
          <w:sz w:val="32"/>
          <w:szCs w:val="32"/>
          <w:lang w:val="en-US" w:eastAsia="zh-CN"/>
        </w:rPr>
        <w:t>0</w:t>
      </w:r>
      <w:r>
        <w:rPr>
          <w:rFonts w:hint="eastAsia" w:ascii="仿宋" w:hAnsi="仿宋" w:eastAsia="仿宋"/>
          <w:sz w:val="32"/>
          <w:szCs w:val="32"/>
        </w:rPr>
        <w:t>万元、财政专户管理资金收入</w:t>
      </w:r>
      <w:r>
        <w:rPr>
          <w:rFonts w:hint="eastAsia" w:ascii="仿宋" w:hAnsi="仿宋" w:eastAsia="仿宋" w:cs="仿宋_GB2312"/>
          <w:sz w:val="32"/>
          <w:szCs w:val="32"/>
          <w:lang w:val="en-US" w:eastAsia="zh-CN"/>
        </w:rPr>
        <w:t>0</w:t>
      </w:r>
      <w:r>
        <w:rPr>
          <w:rFonts w:hint="eastAsia" w:ascii="仿宋" w:hAnsi="仿宋" w:eastAsia="仿宋"/>
          <w:sz w:val="32"/>
          <w:szCs w:val="32"/>
        </w:rPr>
        <w:t>万元、事业收入</w:t>
      </w:r>
      <w:r>
        <w:rPr>
          <w:rFonts w:hint="eastAsia" w:ascii="仿宋" w:hAnsi="仿宋" w:eastAsia="仿宋" w:cs="仿宋_GB2312"/>
          <w:sz w:val="32"/>
          <w:szCs w:val="32"/>
          <w:lang w:val="en-US" w:eastAsia="zh-CN"/>
        </w:rPr>
        <w:t>0</w:t>
      </w:r>
      <w:r>
        <w:rPr>
          <w:rFonts w:hint="eastAsia" w:ascii="仿宋" w:hAnsi="仿宋" w:eastAsia="仿宋"/>
          <w:sz w:val="32"/>
          <w:szCs w:val="32"/>
        </w:rPr>
        <w:t>万元、事业单位经营收入</w:t>
      </w:r>
      <w:r>
        <w:rPr>
          <w:rFonts w:hint="eastAsia" w:ascii="仿宋" w:hAnsi="仿宋" w:eastAsia="仿宋" w:cs="仿宋_GB2312"/>
          <w:sz w:val="32"/>
          <w:szCs w:val="32"/>
          <w:lang w:val="en-US" w:eastAsia="zh-CN"/>
        </w:rPr>
        <w:t>0</w:t>
      </w:r>
      <w:r>
        <w:rPr>
          <w:rFonts w:hint="eastAsia" w:ascii="仿宋" w:hAnsi="仿宋" w:eastAsia="仿宋"/>
          <w:sz w:val="32"/>
          <w:szCs w:val="32"/>
        </w:rPr>
        <w:t>万元、上级补助收入</w:t>
      </w:r>
      <w:r>
        <w:rPr>
          <w:rFonts w:hint="eastAsia" w:ascii="仿宋" w:hAnsi="仿宋" w:eastAsia="仿宋" w:cs="仿宋_GB2312"/>
          <w:sz w:val="32"/>
          <w:szCs w:val="32"/>
          <w:lang w:val="en-US" w:eastAsia="zh-CN"/>
        </w:rPr>
        <w:t>0</w:t>
      </w:r>
      <w:r>
        <w:rPr>
          <w:rFonts w:hint="eastAsia" w:ascii="仿宋" w:hAnsi="仿宋" w:eastAsia="仿宋"/>
          <w:sz w:val="32"/>
          <w:szCs w:val="32"/>
        </w:rPr>
        <w:t>万元、附属单位上缴收入</w:t>
      </w:r>
      <w:r>
        <w:rPr>
          <w:rFonts w:hint="eastAsia" w:ascii="仿宋" w:hAnsi="仿宋" w:eastAsia="仿宋" w:cs="仿宋_GB2312"/>
          <w:sz w:val="32"/>
          <w:szCs w:val="32"/>
          <w:lang w:val="en-US" w:eastAsia="zh-CN"/>
        </w:rPr>
        <w:t>0</w:t>
      </w:r>
      <w:r>
        <w:rPr>
          <w:rFonts w:hint="eastAsia" w:ascii="仿宋" w:hAnsi="仿宋" w:eastAsia="仿宋"/>
          <w:sz w:val="32"/>
          <w:szCs w:val="32"/>
        </w:rPr>
        <w:t>万元、其他收入</w:t>
      </w:r>
      <w:r>
        <w:rPr>
          <w:rFonts w:hint="eastAsia" w:ascii="仿宋" w:hAnsi="仿宋" w:eastAsia="仿宋" w:cs="仿宋_GB2312"/>
          <w:sz w:val="32"/>
          <w:szCs w:val="32"/>
          <w:lang w:val="en-US" w:eastAsia="zh-CN"/>
        </w:rPr>
        <w:t>0</w:t>
      </w:r>
      <w:r>
        <w:rPr>
          <w:rFonts w:hint="eastAsia" w:ascii="仿宋" w:hAnsi="仿宋" w:eastAsia="仿宋"/>
          <w:sz w:val="32"/>
          <w:szCs w:val="32"/>
        </w:rPr>
        <w:t>万元、上年结转结余</w:t>
      </w:r>
      <w:r>
        <w:rPr>
          <w:rFonts w:hint="eastAsia" w:ascii="仿宋" w:hAnsi="仿宋" w:eastAsia="仿宋" w:cs="仿宋_GB2312"/>
          <w:sz w:val="32"/>
          <w:szCs w:val="32"/>
          <w:lang w:val="en-US" w:eastAsia="zh-CN"/>
        </w:rPr>
        <w:t>0</w:t>
      </w:r>
      <w:r>
        <w:rPr>
          <w:rFonts w:hint="eastAsia" w:ascii="仿宋" w:hAnsi="仿宋" w:eastAsia="仿宋"/>
          <w:sz w:val="32"/>
          <w:szCs w:val="32"/>
        </w:rPr>
        <w:t>万元。</w:t>
      </w:r>
    </w:p>
    <w:p>
      <w:pPr>
        <w:tabs>
          <w:tab w:val="left" w:pos="7513"/>
        </w:tabs>
        <w:adjustRightInd w:val="0"/>
        <w:snapToGrid w:val="0"/>
        <w:spacing w:line="600" w:lineRule="exact"/>
        <w:ind w:firstLine="640" w:firstLineChars="200"/>
        <w:rPr>
          <w:rFonts w:ascii="仿宋" w:hAnsi="仿宋" w:eastAsia="仿宋"/>
          <w:sz w:val="32"/>
          <w:szCs w:val="32"/>
        </w:rPr>
      </w:pPr>
      <w:r>
        <w:rPr>
          <w:rFonts w:hint="eastAsia" w:ascii="仿宋" w:hAnsi="仿宋" w:eastAsia="仿宋"/>
          <w:sz w:val="32"/>
          <w:szCs w:val="32"/>
        </w:rPr>
        <w:t>相应安排支出预算</w:t>
      </w:r>
      <w:r>
        <w:rPr>
          <w:rFonts w:hint="eastAsia" w:ascii="仿宋" w:hAnsi="仿宋" w:eastAsia="仿宋" w:cs="仿宋_GB2312"/>
          <w:sz w:val="32"/>
          <w:szCs w:val="32"/>
          <w:lang w:val="en-US" w:eastAsia="zh-CN"/>
        </w:rPr>
        <w:t>98.03</w:t>
      </w:r>
      <w:r>
        <w:rPr>
          <w:rFonts w:hint="eastAsia" w:ascii="仿宋" w:hAnsi="仿宋" w:eastAsia="仿宋"/>
          <w:sz w:val="32"/>
          <w:szCs w:val="32"/>
        </w:rPr>
        <w:t>万元，比上年减少</w:t>
      </w:r>
      <w:r>
        <w:rPr>
          <w:rFonts w:hint="eastAsia" w:ascii="仿宋" w:hAnsi="仿宋" w:eastAsia="仿宋" w:cs="仿宋_GB2312"/>
          <w:sz w:val="32"/>
          <w:szCs w:val="32"/>
          <w:lang w:val="en-US" w:eastAsia="zh-CN"/>
        </w:rPr>
        <w:t>9.51</w:t>
      </w:r>
      <w:r>
        <w:rPr>
          <w:rFonts w:hint="eastAsia" w:ascii="仿宋" w:hAnsi="仿宋" w:eastAsia="仿宋"/>
          <w:sz w:val="32"/>
          <w:szCs w:val="32"/>
        </w:rPr>
        <w:t>万元，主要原因是</w:t>
      </w:r>
      <w:r>
        <w:rPr>
          <w:rFonts w:hint="eastAsia" w:ascii="仿宋" w:hAnsi="仿宋" w:eastAsia="仿宋" w:cs="仿宋_GB2312"/>
          <w:sz w:val="32"/>
          <w:szCs w:val="32"/>
        </w:rPr>
        <w:t>流浪乞讨人员救助支出</w:t>
      </w:r>
      <w:r>
        <w:rPr>
          <w:rFonts w:hint="eastAsia" w:ascii="仿宋" w:hAnsi="仿宋" w:eastAsia="仿宋" w:cs="仿宋_GB2312"/>
          <w:sz w:val="32"/>
          <w:szCs w:val="32"/>
          <w:lang w:eastAsia="zh-CN"/>
        </w:rPr>
        <w:t>减少</w:t>
      </w:r>
      <w:r>
        <w:rPr>
          <w:rFonts w:hint="eastAsia" w:ascii="仿宋" w:hAnsi="仿宋" w:eastAsia="仿宋" w:cs="仿宋_GB2312"/>
          <w:sz w:val="32"/>
          <w:szCs w:val="32"/>
        </w:rPr>
        <w:t>。</w:t>
      </w:r>
      <w:r>
        <w:rPr>
          <w:rFonts w:hint="eastAsia" w:ascii="仿宋" w:hAnsi="仿宋" w:eastAsia="仿宋"/>
          <w:sz w:val="32"/>
          <w:szCs w:val="32"/>
        </w:rPr>
        <w:t>其中：基本支出</w:t>
      </w:r>
      <w:r>
        <w:rPr>
          <w:rFonts w:hint="eastAsia" w:ascii="仿宋" w:hAnsi="仿宋" w:eastAsia="仿宋" w:cs="仿宋_GB2312"/>
          <w:sz w:val="32"/>
          <w:szCs w:val="32"/>
          <w:lang w:val="en-US" w:eastAsia="zh-CN"/>
        </w:rPr>
        <w:t>60.03</w:t>
      </w:r>
      <w:r>
        <w:rPr>
          <w:rFonts w:hint="eastAsia" w:ascii="仿宋" w:hAnsi="仿宋" w:eastAsia="仿宋"/>
          <w:sz w:val="32"/>
          <w:szCs w:val="32"/>
        </w:rPr>
        <w:t>万元、项目支出</w:t>
      </w:r>
      <w:r>
        <w:rPr>
          <w:rFonts w:hint="eastAsia" w:ascii="仿宋" w:hAnsi="仿宋" w:eastAsia="仿宋" w:cs="仿宋_GB2312"/>
          <w:sz w:val="32"/>
          <w:szCs w:val="32"/>
          <w:lang w:val="en-US" w:eastAsia="zh-CN"/>
        </w:rPr>
        <w:t>38</w:t>
      </w:r>
      <w:r>
        <w:rPr>
          <w:rFonts w:hint="eastAsia" w:ascii="仿宋" w:hAnsi="仿宋" w:eastAsia="仿宋"/>
          <w:sz w:val="32"/>
          <w:szCs w:val="32"/>
        </w:rPr>
        <w:t>万元、事业单位经营支出</w:t>
      </w:r>
      <w:r>
        <w:rPr>
          <w:rFonts w:hint="eastAsia" w:ascii="仿宋" w:hAnsi="仿宋" w:eastAsia="仿宋" w:cs="仿宋_GB2312"/>
          <w:sz w:val="32"/>
          <w:szCs w:val="32"/>
          <w:lang w:val="en-US" w:eastAsia="zh-CN"/>
        </w:rPr>
        <w:t>0</w:t>
      </w:r>
      <w:r>
        <w:rPr>
          <w:rFonts w:hint="eastAsia" w:ascii="仿宋" w:hAnsi="仿宋" w:eastAsia="仿宋"/>
          <w:sz w:val="32"/>
          <w:szCs w:val="32"/>
        </w:rPr>
        <w:t>万元、上缴上级支出</w:t>
      </w:r>
      <w:r>
        <w:rPr>
          <w:rFonts w:hint="eastAsia" w:ascii="仿宋" w:hAnsi="仿宋" w:eastAsia="仿宋" w:cs="仿宋_GB2312"/>
          <w:sz w:val="32"/>
          <w:szCs w:val="32"/>
          <w:lang w:val="en-US" w:eastAsia="zh-CN"/>
        </w:rPr>
        <w:t>0</w:t>
      </w:r>
      <w:r>
        <w:rPr>
          <w:rFonts w:hint="eastAsia" w:ascii="仿宋" w:hAnsi="仿宋" w:eastAsia="仿宋"/>
          <w:sz w:val="32"/>
          <w:szCs w:val="32"/>
        </w:rPr>
        <w:t>万元、对附属单位补助支出</w:t>
      </w:r>
      <w:r>
        <w:rPr>
          <w:rFonts w:hint="eastAsia" w:ascii="仿宋" w:hAnsi="仿宋" w:eastAsia="仿宋" w:cs="仿宋_GB2312"/>
          <w:sz w:val="32"/>
          <w:szCs w:val="32"/>
          <w:lang w:val="en-US" w:eastAsia="zh-CN"/>
        </w:rPr>
        <w:t>0</w:t>
      </w:r>
      <w:r>
        <w:rPr>
          <w:rFonts w:hint="eastAsia" w:ascii="仿宋" w:hAnsi="仿宋" w:eastAsia="仿宋"/>
          <w:sz w:val="32"/>
          <w:szCs w:val="32"/>
        </w:rPr>
        <w:t>万元。</w:t>
      </w:r>
    </w:p>
    <w:p>
      <w:pPr>
        <w:tabs>
          <w:tab w:val="left" w:pos="7513"/>
        </w:tabs>
        <w:adjustRightInd w:val="0"/>
        <w:snapToGrid w:val="0"/>
        <w:spacing w:line="600" w:lineRule="exact"/>
        <w:ind w:firstLine="640" w:firstLineChars="200"/>
        <w:rPr>
          <w:rFonts w:ascii="黑体" w:hAnsi="黑体" w:eastAsia="黑体"/>
          <w:sz w:val="32"/>
          <w:szCs w:val="32"/>
        </w:rPr>
      </w:pPr>
      <w:r>
        <w:rPr>
          <w:rFonts w:hint="eastAsia" w:ascii="黑体" w:hAnsi="黑体" w:eastAsia="黑体"/>
          <w:sz w:val="32"/>
          <w:szCs w:val="32"/>
        </w:rPr>
        <w:t>二、一般公共预算拨款支出情况</w:t>
      </w:r>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宋体"/>
          <w:bCs/>
          <w:sz w:val="32"/>
          <w:szCs w:val="32"/>
          <w:lang w:val="en-US" w:eastAsia="zh-CN"/>
        </w:rPr>
        <w:t>2025</w:t>
      </w:r>
      <w:r>
        <w:rPr>
          <w:rFonts w:hint="eastAsia" w:ascii="仿宋" w:hAnsi="仿宋" w:eastAsia="仿宋" w:cs="仿宋_GB2312"/>
          <w:sz w:val="32"/>
          <w:szCs w:val="32"/>
        </w:rPr>
        <w:t>年度一般公共预算拨款支出</w:t>
      </w:r>
      <w:r>
        <w:rPr>
          <w:rFonts w:hint="eastAsia" w:ascii="仿宋" w:hAnsi="仿宋" w:eastAsia="仿宋" w:cs="仿宋_GB2312"/>
          <w:sz w:val="32"/>
          <w:szCs w:val="32"/>
          <w:lang w:val="en-US" w:eastAsia="zh-CN"/>
        </w:rPr>
        <w:t>98.03</w:t>
      </w:r>
      <w:r>
        <w:rPr>
          <w:rFonts w:hint="eastAsia" w:ascii="仿宋" w:hAnsi="仿宋" w:eastAsia="仿宋" w:cs="仿宋_GB2312"/>
          <w:sz w:val="32"/>
          <w:szCs w:val="32"/>
        </w:rPr>
        <w:t>万元</w:t>
      </w:r>
      <w:r>
        <w:rPr>
          <w:rFonts w:hint="eastAsia" w:ascii="仿宋" w:hAnsi="仿宋" w:eastAsia="仿宋"/>
          <w:sz w:val="32"/>
          <w:szCs w:val="32"/>
        </w:rPr>
        <w:t>，比上年减少</w:t>
      </w:r>
      <w:r>
        <w:rPr>
          <w:rFonts w:hint="eastAsia" w:ascii="仿宋" w:hAnsi="仿宋" w:eastAsia="仿宋" w:cs="仿宋_GB2312"/>
          <w:kern w:val="0"/>
          <w:sz w:val="32"/>
          <w:szCs w:val="32"/>
          <w:lang w:val="en-US" w:eastAsia="zh-CN"/>
        </w:rPr>
        <w:t>9.51</w:t>
      </w:r>
      <w:r>
        <w:rPr>
          <w:rFonts w:hint="eastAsia" w:ascii="仿宋" w:hAnsi="仿宋" w:eastAsia="仿宋" w:cs="仿宋_GB2312"/>
          <w:kern w:val="0"/>
          <w:sz w:val="32"/>
          <w:szCs w:val="32"/>
        </w:rPr>
        <w:t>万元，</w:t>
      </w:r>
      <w:r>
        <w:rPr>
          <w:rFonts w:hint="eastAsia" w:ascii="仿宋" w:hAnsi="仿宋" w:eastAsia="仿宋" w:cs="仿宋_GB2312"/>
          <w:sz w:val="32"/>
          <w:szCs w:val="32"/>
        </w:rPr>
        <w:t>降低</w:t>
      </w:r>
      <w:r>
        <w:rPr>
          <w:rFonts w:hint="eastAsia" w:ascii="仿宋" w:hAnsi="仿宋" w:eastAsia="仿宋" w:cs="仿宋_GB2312"/>
          <w:sz w:val="32"/>
          <w:szCs w:val="32"/>
          <w:lang w:val="en-US" w:eastAsia="zh-CN"/>
        </w:rPr>
        <w:t>8.84</w:t>
      </w:r>
      <w:r>
        <w:rPr>
          <w:rFonts w:ascii="仿宋" w:hAnsi="仿宋" w:eastAsia="仿宋" w:cs="仿宋_GB2312"/>
          <w:sz w:val="32"/>
          <w:szCs w:val="32"/>
        </w:rPr>
        <w:t>%</w:t>
      </w:r>
      <w:r>
        <w:rPr>
          <w:rFonts w:hint="eastAsia" w:ascii="仿宋" w:hAnsi="仿宋" w:eastAsia="仿宋" w:cs="仿宋_GB2312"/>
          <w:sz w:val="32"/>
          <w:szCs w:val="32"/>
        </w:rPr>
        <w:t>，</w:t>
      </w:r>
      <w:r>
        <w:rPr>
          <w:rFonts w:hint="eastAsia" w:ascii="仿宋" w:hAnsi="仿宋" w:eastAsia="仿宋"/>
          <w:sz w:val="32"/>
          <w:szCs w:val="32"/>
        </w:rPr>
        <w:t>主要原因是</w:t>
      </w:r>
      <w:r>
        <w:rPr>
          <w:rFonts w:hint="eastAsia" w:ascii="仿宋" w:hAnsi="仿宋" w:eastAsia="仿宋" w:cs="仿宋_GB2312"/>
          <w:sz w:val="32"/>
          <w:szCs w:val="32"/>
        </w:rPr>
        <w:t>流浪乞讨人员救助支出</w:t>
      </w:r>
      <w:r>
        <w:rPr>
          <w:rFonts w:hint="eastAsia" w:ascii="仿宋" w:hAnsi="仿宋" w:eastAsia="仿宋" w:cs="仿宋_GB2312"/>
          <w:sz w:val="32"/>
          <w:szCs w:val="32"/>
          <w:lang w:eastAsia="zh-CN"/>
        </w:rPr>
        <w:t>减少</w:t>
      </w:r>
      <w:r>
        <w:rPr>
          <w:rFonts w:hint="eastAsia" w:ascii="仿宋" w:hAnsi="仿宋" w:eastAsia="仿宋" w:cs="仿宋_GB2312"/>
          <w:sz w:val="32"/>
          <w:szCs w:val="32"/>
        </w:rPr>
        <w:t>。按照党中央、国务院和省委、省政府关于过紧日子的有关要求，厉行节约办一切事业，大力压减一般性支出，重点压减了公用经费和培训等项目支出中涉及的非急需非刚性支出，同时合理保障了流浪乞讨人员救助等工作的支出需求，体现在有关支出科目中。</w:t>
      </w:r>
      <w:r>
        <w:rPr>
          <w:rFonts w:hint="eastAsia" w:ascii="仿宋" w:hAnsi="仿宋" w:eastAsia="仿宋" w:cs="宋体"/>
          <w:bCs/>
          <w:sz w:val="32"/>
          <w:szCs w:val="32"/>
        </w:rPr>
        <w:t>其中（按项级科目分类统计）</w:t>
      </w:r>
      <w:r>
        <w:rPr>
          <w:rFonts w:hint="eastAsia" w:ascii="仿宋" w:hAnsi="仿宋" w:eastAsia="仿宋" w:cs="仿宋_GB2312"/>
          <w:sz w:val="32"/>
          <w:szCs w:val="32"/>
        </w:rPr>
        <w:t>：</w:t>
      </w:r>
    </w:p>
    <w:p>
      <w:pPr>
        <w:tabs>
          <w:tab w:val="left" w:pos="7513"/>
        </w:tabs>
        <w:adjustRightInd w:val="0"/>
        <w:snapToGrid w:val="0"/>
        <w:spacing w:line="600" w:lineRule="exact"/>
        <w:ind w:firstLine="640" w:firstLineChars="200"/>
        <w:rPr>
          <w:rFonts w:hint="eastAsia" w:ascii="仿宋" w:hAnsi="仿宋" w:eastAsia="仿宋" w:cs="仿宋_GB2312"/>
          <w:sz w:val="32"/>
          <w:szCs w:val="32"/>
        </w:rPr>
      </w:pPr>
      <w:r>
        <w:rPr>
          <w:rFonts w:hint="eastAsia" w:ascii="仿宋" w:hAnsi="仿宋" w:eastAsia="仿宋" w:cs="仿宋_GB2312"/>
          <w:sz w:val="32"/>
          <w:szCs w:val="32"/>
        </w:rPr>
        <w:t>（一）2082002-流浪乞讨人员救助支出</w:t>
      </w:r>
      <w:r>
        <w:rPr>
          <w:rFonts w:hint="eastAsia" w:ascii="仿宋" w:hAnsi="仿宋" w:eastAsia="仿宋" w:cs="仿宋_GB2312"/>
          <w:sz w:val="32"/>
          <w:szCs w:val="32"/>
          <w:lang w:val="en-US" w:eastAsia="zh-CN"/>
        </w:rPr>
        <w:t>57.32</w:t>
      </w:r>
      <w:r>
        <w:rPr>
          <w:rFonts w:hint="eastAsia" w:ascii="仿宋" w:hAnsi="仿宋" w:eastAsia="仿宋" w:cs="仿宋_GB2312"/>
          <w:sz w:val="32"/>
          <w:szCs w:val="32"/>
        </w:rPr>
        <w:t>万元。主要用于基本支出。</w:t>
      </w:r>
    </w:p>
    <w:p>
      <w:pPr>
        <w:tabs>
          <w:tab w:val="left" w:pos="7513"/>
        </w:tabs>
        <w:adjustRightInd w:val="0"/>
        <w:snapToGrid w:val="0"/>
        <w:spacing w:line="600" w:lineRule="exact"/>
        <w:ind w:firstLine="640" w:firstLineChars="200"/>
        <w:rPr>
          <w:rFonts w:ascii="仿宋" w:hAnsi="仿宋" w:eastAsia="仿宋"/>
          <w:sz w:val="32"/>
          <w:szCs w:val="32"/>
        </w:rPr>
      </w:pPr>
      <w:r>
        <w:rPr>
          <w:rFonts w:hint="eastAsia" w:ascii="仿宋" w:hAnsi="仿宋" w:eastAsia="仿宋" w:cs="仿宋_GB2312"/>
          <w:sz w:val="32"/>
          <w:szCs w:val="32"/>
        </w:rPr>
        <w:t>（</w:t>
      </w:r>
      <w:r>
        <w:rPr>
          <w:rFonts w:hint="eastAsia" w:ascii="仿宋" w:hAnsi="仿宋" w:eastAsia="仿宋" w:cs="仿宋_GB2312"/>
          <w:sz w:val="32"/>
          <w:szCs w:val="32"/>
          <w:lang w:eastAsia="zh-CN"/>
        </w:rPr>
        <w:t>二</w:t>
      </w:r>
      <w:r>
        <w:rPr>
          <w:rFonts w:hint="eastAsia" w:ascii="仿宋" w:hAnsi="仿宋" w:eastAsia="仿宋" w:cs="仿宋_GB2312"/>
          <w:sz w:val="32"/>
          <w:szCs w:val="32"/>
        </w:rPr>
        <w:t>）2082002-流浪乞讨人员救助支出</w:t>
      </w:r>
      <w:r>
        <w:rPr>
          <w:rFonts w:hint="eastAsia" w:ascii="仿宋" w:hAnsi="仿宋" w:eastAsia="仿宋" w:cs="仿宋_GB2312"/>
          <w:sz w:val="32"/>
          <w:szCs w:val="32"/>
          <w:lang w:val="en-US" w:eastAsia="zh-CN"/>
        </w:rPr>
        <w:t>38</w:t>
      </w:r>
      <w:r>
        <w:rPr>
          <w:rFonts w:hint="eastAsia" w:ascii="仿宋" w:hAnsi="仿宋" w:eastAsia="仿宋" w:cs="仿宋_GB2312"/>
          <w:sz w:val="32"/>
          <w:szCs w:val="32"/>
        </w:rPr>
        <w:t>万元。主要用于</w:t>
      </w:r>
      <w:r>
        <w:rPr>
          <w:rFonts w:hint="eastAsia" w:ascii="仿宋" w:hAnsi="仿宋" w:eastAsia="仿宋" w:cs="仿宋_GB2312"/>
          <w:sz w:val="32"/>
          <w:szCs w:val="32"/>
          <w:lang w:eastAsia="zh-CN"/>
        </w:rPr>
        <w:t>项目</w:t>
      </w:r>
      <w:r>
        <w:rPr>
          <w:rFonts w:hint="eastAsia" w:ascii="仿宋" w:hAnsi="仿宋" w:eastAsia="仿宋" w:cs="仿宋_GB2312"/>
          <w:sz w:val="32"/>
          <w:szCs w:val="32"/>
        </w:rPr>
        <w:t>支出。</w:t>
      </w:r>
    </w:p>
    <w:p>
      <w:pPr>
        <w:tabs>
          <w:tab w:val="left" w:pos="7513"/>
        </w:tabs>
        <w:adjustRightInd w:val="0"/>
        <w:snapToGrid w:val="0"/>
        <w:spacing w:line="600" w:lineRule="exact"/>
        <w:ind w:firstLine="640" w:firstLineChars="200"/>
        <w:rPr>
          <w:rFonts w:hint="eastAsia" w:ascii="仿宋" w:hAnsi="仿宋" w:eastAsia="仿宋" w:cs="仿宋_GB2312"/>
          <w:sz w:val="32"/>
          <w:szCs w:val="32"/>
        </w:rPr>
      </w:pPr>
    </w:p>
    <w:p>
      <w:pPr>
        <w:tabs>
          <w:tab w:val="left" w:pos="7513"/>
        </w:tabs>
        <w:adjustRightInd w:val="0"/>
        <w:snapToGrid w:val="0"/>
        <w:spacing w:line="600" w:lineRule="exact"/>
        <w:ind w:firstLine="640" w:firstLineChars="200"/>
        <w:rPr>
          <w:rFonts w:ascii="楷体" w:hAnsi="楷体" w:eastAsia="楷体" w:cs="仿宋_GB2312"/>
          <w:sz w:val="32"/>
          <w:szCs w:val="32"/>
        </w:rPr>
      </w:pPr>
      <w:r>
        <w:rPr>
          <w:rFonts w:hint="eastAsia" w:ascii="仿宋" w:hAnsi="仿宋" w:eastAsia="仿宋" w:cs="仿宋_GB2312"/>
          <w:sz w:val="32"/>
          <w:szCs w:val="32"/>
        </w:rPr>
        <w:t>（</w:t>
      </w:r>
      <w:r>
        <w:rPr>
          <w:rFonts w:hint="eastAsia" w:ascii="仿宋" w:hAnsi="仿宋" w:eastAsia="仿宋" w:cs="仿宋_GB2312"/>
          <w:sz w:val="32"/>
          <w:szCs w:val="32"/>
          <w:lang w:eastAsia="zh-CN"/>
        </w:rPr>
        <w:t>三</w:t>
      </w:r>
      <w:r>
        <w:rPr>
          <w:rFonts w:hint="eastAsia" w:ascii="仿宋" w:hAnsi="仿宋" w:eastAsia="仿宋" w:cs="仿宋_GB2312"/>
          <w:sz w:val="32"/>
          <w:szCs w:val="32"/>
        </w:rPr>
        <w:t>）2210201-住房公积金</w:t>
      </w:r>
      <w:r>
        <w:rPr>
          <w:rFonts w:hint="eastAsia" w:ascii="仿宋" w:hAnsi="仿宋" w:eastAsia="仿宋" w:cs="仿宋_GB2312"/>
          <w:sz w:val="32"/>
          <w:szCs w:val="32"/>
          <w:lang w:val="en-US" w:eastAsia="zh-CN"/>
        </w:rPr>
        <w:t>2.71</w:t>
      </w:r>
      <w:r>
        <w:rPr>
          <w:rFonts w:hint="eastAsia" w:ascii="仿宋" w:hAnsi="仿宋" w:eastAsia="仿宋" w:cs="仿宋_GB2312"/>
          <w:sz w:val="32"/>
          <w:szCs w:val="32"/>
        </w:rPr>
        <w:t>万元。主要用于</w:t>
      </w:r>
      <w:r>
        <w:rPr>
          <w:rFonts w:hint="eastAsia" w:ascii="仿宋" w:hAnsi="仿宋" w:eastAsia="仿宋" w:cs="仿宋_GB2312"/>
          <w:sz w:val="32"/>
          <w:szCs w:val="32"/>
          <w:lang w:eastAsia="zh-CN"/>
        </w:rPr>
        <w:t>基本</w:t>
      </w:r>
      <w:r>
        <w:rPr>
          <w:rFonts w:hint="eastAsia" w:ascii="仿宋" w:hAnsi="仿宋" w:eastAsia="仿宋" w:cs="仿宋_GB2312"/>
          <w:sz w:val="32"/>
          <w:szCs w:val="32"/>
        </w:rPr>
        <w:t>支出。</w:t>
      </w:r>
    </w:p>
    <w:p>
      <w:pPr>
        <w:tabs>
          <w:tab w:val="left" w:pos="7513"/>
        </w:tabs>
        <w:adjustRightInd w:val="0"/>
        <w:snapToGrid w:val="0"/>
        <w:spacing w:line="600" w:lineRule="exact"/>
        <w:ind w:firstLine="640" w:firstLineChars="200"/>
        <w:rPr>
          <w:rFonts w:ascii="黑体" w:hAnsi="黑体" w:eastAsia="黑体"/>
          <w:sz w:val="32"/>
          <w:szCs w:val="32"/>
        </w:rPr>
      </w:pPr>
      <w:r>
        <w:rPr>
          <w:rFonts w:hint="eastAsia" w:ascii="黑体" w:hAnsi="黑体" w:eastAsia="黑体"/>
          <w:sz w:val="32"/>
          <w:szCs w:val="32"/>
        </w:rPr>
        <w:t>三、政府性基金预算拨款支出情况</w:t>
      </w:r>
    </w:p>
    <w:p>
      <w:pPr>
        <w:tabs>
          <w:tab w:val="left" w:pos="7513"/>
        </w:tabs>
        <w:adjustRightInd w:val="0"/>
        <w:snapToGrid w:val="0"/>
        <w:spacing w:line="600" w:lineRule="exact"/>
        <w:ind w:firstLine="640" w:firstLineChars="200"/>
        <w:rPr>
          <w:rFonts w:ascii="楷体" w:hAnsi="楷体" w:eastAsia="楷体"/>
          <w:sz w:val="32"/>
          <w:szCs w:val="32"/>
        </w:rPr>
      </w:pP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年度没有使用政府性基金预算拨款安排的支出。</w:t>
      </w:r>
    </w:p>
    <w:p>
      <w:pPr>
        <w:tabs>
          <w:tab w:val="left" w:pos="7513"/>
        </w:tabs>
        <w:adjustRightInd w:val="0"/>
        <w:snapToGrid w:val="0"/>
        <w:spacing w:line="600" w:lineRule="exact"/>
        <w:ind w:firstLine="640" w:firstLineChars="200"/>
        <w:rPr>
          <w:rFonts w:ascii="黑体" w:hAnsi="黑体" w:eastAsia="黑体" w:cs="仿宋_GB2312"/>
          <w:bCs/>
          <w:sz w:val="32"/>
          <w:szCs w:val="32"/>
        </w:rPr>
      </w:pPr>
      <w:r>
        <w:rPr>
          <w:rFonts w:hint="eastAsia" w:ascii="黑体" w:hAnsi="黑体" w:eastAsia="黑体" w:cs="仿宋_GB2312"/>
          <w:bCs/>
          <w:sz w:val="32"/>
          <w:szCs w:val="32"/>
        </w:rPr>
        <w:t>四、国有资本经营预算拨款支出情况</w:t>
      </w:r>
    </w:p>
    <w:p>
      <w:pPr>
        <w:tabs>
          <w:tab w:val="left" w:pos="7513"/>
        </w:tabs>
        <w:adjustRightInd w:val="0"/>
        <w:snapToGrid w:val="0"/>
        <w:spacing w:line="600" w:lineRule="exact"/>
        <w:ind w:firstLine="640" w:firstLineChars="200"/>
        <w:rPr>
          <w:rFonts w:ascii="楷体" w:hAnsi="楷体" w:eastAsia="楷体" w:cs="仿宋_GB2312"/>
          <w:sz w:val="32"/>
          <w:szCs w:val="32"/>
        </w:rPr>
      </w:pP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年度没有使用国有资本经营预算拨款安排的支出。</w:t>
      </w:r>
    </w:p>
    <w:p>
      <w:pPr>
        <w:tabs>
          <w:tab w:val="left" w:pos="7513"/>
        </w:tabs>
        <w:adjustRightInd w:val="0"/>
        <w:snapToGrid w:val="0"/>
        <w:spacing w:line="600" w:lineRule="exact"/>
        <w:ind w:firstLine="640" w:firstLineChars="200"/>
        <w:rPr>
          <w:rFonts w:ascii="黑体" w:hAnsi="黑体" w:eastAsia="黑体"/>
          <w:sz w:val="32"/>
          <w:szCs w:val="32"/>
        </w:rPr>
      </w:pPr>
      <w:r>
        <w:rPr>
          <w:rFonts w:hint="eastAsia" w:ascii="黑体" w:hAnsi="黑体" w:eastAsia="黑体"/>
          <w:sz w:val="32"/>
          <w:szCs w:val="32"/>
        </w:rPr>
        <w:t>五、一般公共预算拨款基本支出情况</w:t>
      </w:r>
    </w:p>
    <w:p>
      <w:pPr>
        <w:tabs>
          <w:tab w:val="left" w:pos="7513"/>
        </w:tabs>
        <w:adjustRightInd w:val="0"/>
        <w:snapToGrid w:val="0"/>
        <w:spacing w:line="600" w:lineRule="exact"/>
        <w:ind w:firstLine="800" w:firstLineChars="250"/>
        <w:rPr>
          <w:rFonts w:ascii="仿宋" w:hAnsi="仿宋" w:eastAsia="仿宋" w:cs="仿宋_GB2312"/>
          <w:sz w:val="32"/>
          <w:szCs w:val="32"/>
        </w:rPr>
      </w:pPr>
      <w:r>
        <w:rPr>
          <w:rFonts w:hint="eastAsia" w:ascii="仿宋" w:hAnsi="仿宋" w:eastAsia="仿宋" w:cs="宋体"/>
          <w:bCs/>
          <w:sz w:val="32"/>
          <w:szCs w:val="32"/>
          <w:lang w:val="en-US" w:eastAsia="zh-CN"/>
        </w:rPr>
        <w:t>2025</w:t>
      </w:r>
      <w:r>
        <w:rPr>
          <w:rFonts w:hint="eastAsia" w:ascii="仿宋" w:hAnsi="仿宋" w:eastAsia="仿宋" w:cs="仿宋_GB2312"/>
          <w:sz w:val="32"/>
          <w:szCs w:val="32"/>
        </w:rPr>
        <w:t>年度一般公共预算拨款基本支出</w:t>
      </w:r>
      <w:r>
        <w:rPr>
          <w:rFonts w:hint="eastAsia" w:ascii="仿宋" w:hAnsi="仿宋" w:eastAsia="仿宋" w:cs="仿宋_GB2312"/>
          <w:sz w:val="32"/>
          <w:szCs w:val="32"/>
          <w:lang w:val="en-US" w:eastAsia="zh-CN"/>
        </w:rPr>
        <w:t>60.03</w:t>
      </w:r>
      <w:r>
        <w:rPr>
          <w:rFonts w:hint="eastAsia" w:ascii="仿宋" w:hAnsi="仿宋" w:eastAsia="仿宋" w:cs="仿宋_GB2312"/>
          <w:sz w:val="32"/>
          <w:szCs w:val="32"/>
        </w:rPr>
        <w:t>万元，其中：</w:t>
      </w:r>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（一）人员经费</w:t>
      </w:r>
      <w:r>
        <w:rPr>
          <w:rFonts w:hint="eastAsia" w:ascii="仿宋" w:hAnsi="仿宋" w:eastAsia="仿宋" w:cs="仿宋_GB2312"/>
          <w:sz w:val="32"/>
          <w:szCs w:val="32"/>
          <w:lang w:val="en-US" w:eastAsia="zh-CN"/>
        </w:rPr>
        <w:t>49.99</w:t>
      </w:r>
      <w:r>
        <w:rPr>
          <w:rFonts w:hint="eastAsia" w:ascii="仿宋" w:hAnsi="仿宋" w:eastAsia="仿宋" w:cs="仿宋_GB2312"/>
          <w:sz w:val="32"/>
          <w:szCs w:val="32"/>
        </w:rPr>
        <w:t>万元，主要包括：基本工资、津贴补贴、奖金、伙食补助费、绩效工资、机关事业单位基本养老保险缴费、职业年金缴费、职工基本医疗保险缴费、公务员医疗补助缴费、其他社会保障缴费、住房公积金、医疗费、其他工资福利支出、离休费、退休费、抚恤金、生活补助、医疗费补助、奖励金、其他对个人和家庭的补助支出。</w:t>
      </w:r>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（二）公用经费</w:t>
      </w:r>
      <w:r>
        <w:rPr>
          <w:rFonts w:hint="eastAsia" w:ascii="仿宋" w:hAnsi="仿宋" w:eastAsia="仿宋" w:cs="仿宋_GB2312"/>
          <w:sz w:val="32"/>
          <w:szCs w:val="32"/>
          <w:lang w:val="en-US" w:eastAsia="zh-CN"/>
        </w:rPr>
        <w:t>4.88</w:t>
      </w:r>
      <w:r>
        <w:rPr>
          <w:rFonts w:hint="eastAsia" w:ascii="仿宋" w:hAnsi="仿宋" w:eastAsia="仿宋" w:cs="仿宋_GB2312"/>
          <w:sz w:val="32"/>
          <w:szCs w:val="32"/>
        </w:rPr>
        <w:t>万元，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公务用车购置、其他资本性支出。</w:t>
      </w:r>
    </w:p>
    <w:p>
      <w:pPr>
        <w:tabs>
          <w:tab w:val="left" w:pos="7513"/>
        </w:tabs>
        <w:adjustRightInd w:val="0"/>
        <w:snapToGrid w:val="0"/>
        <w:spacing w:line="600" w:lineRule="exact"/>
        <w:ind w:firstLine="640" w:firstLineChars="200"/>
        <w:rPr>
          <w:rFonts w:ascii="黑体" w:hAnsi="黑体" w:eastAsia="黑体"/>
          <w:sz w:val="32"/>
          <w:szCs w:val="32"/>
        </w:rPr>
      </w:pPr>
      <w:r>
        <w:rPr>
          <w:rFonts w:hint="eastAsia" w:ascii="黑体" w:hAnsi="黑体" w:eastAsia="黑体"/>
          <w:sz w:val="32"/>
          <w:szCs w:val="32"/>
        </w:rPr>
        <w:t>六、一般公共预算“三公”经费支出情况</w:t>
      </w:r>
    </w:p>
    <w:p>
      <w:pPr>
        <w:widowControl/>
        <w:adjustRightInd w:val="0"/>
        <w:snapToGrid w:val="0"/>
        <w:spacing w:line="600" w:lineRule="exact"/>
        <w:ind w:firstLine="660"/>
        <w:rPr>
          <w:rFonts w:ascii="楷体" w:hAnsi="楷体" w:eastAsia="楷体" w:cs="宋体"/>
          <w:b/>
          <w:bCs/>
          <w:kern w:val="0"/>
          <w:sz w:val="32"/>
          <w:szCs w:val="32"/>
        </w:rPr>
      </w:pPr>
      <w:r>
        <w:rPr>
          <w:rFonts w:hint="eastAsia" w:ascii="楷体" w:hAnsi="楷体" w:eastAsia="楷体"/>
          <w:b/>
          <w:sz w:val="32"/>
          <w:szCs w:val="32"/>
        </w:rPr>
        <w:t>（一）</w:t>
      </w:r>
      <w:r>
        <w:rPr>
          <w:rFonts w:hint="eastAsia" w:ascii="楷体" w:hAnsi="楷体" w:eastAsia="楷体" w:cs="宋体"/>
          <w:b/>
          <w:bCs/>
          <w:kern w:val="0"/>
          <w:sz w:val="32"/>
          <w:szCs w:val="32"/>
        </w:rPr>
        <w:t>因公出国（境）经费</w:t>
      </w:r>
    </w:p>
    <w:p>
      <w:pPr>
        <w:widowControl/>
        <w:adjustRightInd w:val="0"/>
        <w:snapToGrid w:val="0"/>
        <w:spacing w:line="600" w:lineRule="exact"/>
        <w:ind w:firstLine="660"/>
        <w:rPr>
          <w:rFonts w:hint="eastAsia" w:ascii="仿宋" w:hAnsi="仿宋" w:eastAsia="仿宋" w:cs="仿宋_GB2312"/>
          <w:kern w:val="0"/>
          <w:sz w:val="32"/>
          <w:szCs w:val="32"/>
          <w:lang w:val="en-US" w:eastAsia="zh-CN"/>
        </w:rPr>
      </w:pPr>
      <w:r>
        <w:rPr>
          <w:rFonts w:hint="eastAsia" w:ascii="仿宋" w:hAnsi="仿宋" w:eastAsia="仿宋" w:cs="仿宋_GB2312"/>
          <w:kern w:val="0"/>
          <w:sz w:val="32"/>
          <w:szCs w:val="32"/>
          <w:lang w:val="en-US" w:eastAsia="zh-CN"/>
        </w:rPr>
        <w:t>2025</w:t>
      </w:r>
      <w:r>
        <w:rPr>
          <w:rFonts w:hint="eastAsia" w:ascii="仿宋" w:hAnsi="仿宋" w:eastAsia="仿宋" w:cs="宋体"/>
          <w:kern w:val="0"/>
          <w:sz w:val="32"/>
          <w:szCs w:val="32"/>
        </w:rPr>
        <w:t>年预算安排</w:t>
      </w:r>
      <w:r>
        <w:rPr>
          <w:rFonts w:hint="eastAsia" w:ascii="仿宋" w:hAnsi="仿宋" w:eastAsia="仿宋" w:cs="仿宋_GB2312"/>
          <w:kern w:val="0"/>
          <w:sz w:val="32"/>
          <w:szCs w:val="32"/>
          <w:lang w:val="en-US" w:eastAsia="zh-CN"/>
        </w:rPr>
        <w:t>0</w:t>
      </w:r>
      <w:r>
        <w:rPr>
          <w:rFonts w:hint="eastAsia" w:ascii="仿宋" w:hAnsi="仿宋" w:eastAsia="仿宋" w:cs="宋体"/>
          <w:kern w:val="0"/>
          <w:sz w:val="32"/>
          <w:szCs w:val="32"/>
        </w:rPr>
        <w:t>万元</w:t>
      </w:r>
      <w:r>
        <w:rPr>
          <w:rFonts w:hint="eastAsia" w:ascii="仿宋" w:hAnsi="仿宋" w:eastAsia="仿宋" w:cs="仿宋_GB2312"/>
          <w:kern w:val="0"/>
          <w:sz w:val="32"/>
          <w:szCs w:val="32"/>
          <w:lang w:val="en-US" w:eastAsia="zh-CN"/>
        </w:rPr>
        <w:t>，与上年持平。</w:t>
      </w:r>
    </w:p>
    <w:p>
      <w:pPr>
        <w:widowControl/>
        <w:adjustRightInd w:val="0"/>
        <w:snapToGrid w:val="0"/>
        <w:spacing w:line="600" w:lineRule="exact"/>
        <w:ind w:firstLine="660"/>
        <w:rPr>
          <w:rFonts w:ascii="楷体" w:hAnsi="楷体" w:eastAsia="楷体" w:cs="宋体"/>
          <w:b/>
          <w:bCs/>
          <w:kern w:val="0"/>
          <w:sz w:val="32"/>
          <w:szCs w:val="32"/>
        </w:rPr>
      </w:pPr>
      <w:r>
        <w:rPr>
          <w:rFonts w:hint="eastAsia" w:ascii="楷体" w:hAnsi="楷体" w:eastAsia="楷体"/>
          <w:b/>
          <w:sz w:val="32"/>
          <w:szCs w:val="32"/>
        </w:rPr>
        <w:t>（二）</w:t>
      </w:r>
      <w:r>
        <w:rPr>
          <w:rFonts w:hint="eastAsia" w:ascii="楷体" w:hAnsi="楷体" w:eastAsia="楷体" w:cs="宋体"/>
          <w:b/>
          <w:bCs/>
          <w:kern w:val="0"/>
          <w:sz w:val="32"/>
          <w:szCs w:val="32"/>
        </w:rPr>
        <w:t>公务接待费</w:t>
      </w:r>
    </w:p>
    <w:p>
      <w:pPr>
        <w:widowControl/>
        <w:adjustRightInd w:val="0"/>
        <w:snapToGrid w:val="0"/>
        <w:spacing w:line="600" w:lineRule="exact"/>
        <w:ind w:firstLine="660"/>
        <w:rPr>
          <w:rFonts w:hint="eastAsia" w:ascii="仿宋" w:hAnsi="仿宋" w:eastAsia="仿宋" w:cs="宋体"/>
          <w:kern w:val="0"/>
          <w:sz w:val="32"/>
          <w:szCs w:val="32"/>
        </w:rPr>
      </w:pPr>
      <w:r>
        <w:rPr>
          <w:rFonts w:hint="eastAsia" w:ascii="仿宋" w:hAnsi="仿宋" w:eastAsia="仿宋" w:cs="仿宋_GB2312"/>
          <w:kern w:val="0"/>
          <w:sz w:val="32"/>
          <w:szCs w:val="32"/>
          <w:lang w:val="en-US" w:eastAsia="zh-CN"/>
        </w:rPr>
        <w:t>2025</w:t>
      </w:r>
      <w:r>
        <w:rPr>
          <w:rFonts w:hint="eastAsia" w:ascii="仿宋" w:hAnsi="仿宋" w:eastAsia="仿宋" w:cs="宋体"/>
          <w:kern w:val="0"/>
          <w:sz w:val="32"/>
          <w:szCs w:val="32"/>
        </w:rPr>
        <w:t>年预算安排</w:t>
      </w:r>
      <w:r>
        <w:rPr>
          <w:rFonts w:hint="eastAsia" w:ascii="仿宋" w:hAnsi="仿宋" w:eastAsia="仿宋" w:cs="仿宋_GB2312"/>
          <w:kern w:val="0"/>
          <w:sz w:val="32"/>
          <w:szCs w:val="32"/>
          <w:lang w:val="en-US" w:eastAsia="zh-CN"/>
        </w:rPr>
        <w:t>0</w:t>
      </w:r>
      <w:r>
        <w:rPr>
          <w:rFonts w:hint="eastAsia" w:ascii="仿宋" w:hAnsi="仿宋" w:eastAsia="仿宋" w:cs="宋体"/>
          <w:kern w:val="0"/>
          <w:sz w:val="32"/>
          <w:szCs w:val="32"/>
        </w:rPr>
        <w:t>万元，与上年持平</w:t>
      </w:r>
      <w:r>
        <w:rPr>
          <w:rFonts w:hint="eastAsia" w:ascii="仿宋" w:hAnsi="仿宋" w:eastAsia="仿宋" w:cs="宋体"/>
          <w:kern w:val="0"/>
          <w:sz w:val="32"/>
          <w:szCs w:val="32"/>
          <w:lang w:eastAsia="zh-CN"/>
        </w:rPr>
        <w:t>。</w:t>
      </w:r>
    </w:p>
    <w:p>
      <w:pPr>
        <w:adjustRightInd w:val="0"/>
        <w:snapToGrid w:val="0"/>
        <w:spacing w:line="600" w:lineRule="exact"/>
        <w:ind w:firstLine="642" w:firstLineChars="200"/>
        <w:rPr>
          <w:rFonts w:ascii="楷体" w:hAnsi="楷体" w:eastAsia="楷体" w:cs="宋体"/>
          <w:b/>
          <w:bCs/>
          <w:kern w:val="0"/>
          <w:sz w:val="32"/>
          <w:szCs w:val="32"/>
        </w:rPr>
      </w:pPr>
      <w:r>
        <w:rPr>
          <w:rFonts w:hint="eastAsia" w:ascii="楷体" w:hAnsi="楷体" w:eastAsia="楷体"/>
          <w:b/>
          <w:sz w:val="32"/>
          <w:szCs w:val="32"/>
        </w:rPr>
        <w:t>（三）</w:t>
      </w:r>
      <w:r>
        <w:rPr>
          <w:rFonts w:hint="eastAsia" w:ascii="楷体" w:hAnsi="楷体" w:eastAsia="楷体" w:cs="宋体"/>
          <w:b/>
          <w:bCs/>
          <w:kern w:val="0"/>
          <w:sz w:val="32"/>
          <w:szCs w:val="32"/>
        </w:rPr>
        <w:t>公务用车购置及运行费</w:t>
      </w:r>
    </w:p>
    <w:p>
      <w:pPr>
        <w:widowControl/>
        <w:adjustRightInd w:val="0"/>
        <w:snapToGrid w:val="0"/>
        <w:spacing w:line="600" w:lineRule="exact"/>
        <w:ind w:firstLine="660"/>
        <w:rPr>
          <w:rFonts w:hint="eastAsia" w:ascii="仿宋" w:hAnsi="仿宋" w:eastAsia="仿宋" w:cs="仿宋_GB2312"/>
          <w:sz w:val="32"/>
          <w:szCs w:val="32"/>
        </w:rPr>
      </w:pPr>
      <w:r>
        <w:rPr>
          <w:rFonts w:hint="eastAsia" w:ascii="仿宋" w:hAnsi="仿宋" w:eastAsia="仿宋" w:cs="宋体"/>
          <w:kern w:val="0"/>
          <w:sz w:val="32"/>
          <w:szCs w:val="32"/>
        </w:rPr>
        <w:t xml:space="preserve"> </w:t>
      </w:r>
      <w:r>
        <w:rPr>
          <w:rFonts w:hint="eastAsia" w:ascii="仿宋" w:hAnsi="仿宋" w:eastAsia="仿宋" w:cs="仿宋_GB2312"/>
          <w:kern w:val="0"/>
          <w:sz w:val="32"/>
          <w:szCs w:val="32"/>
          <w:lang w:val="en-US" w:eastAsia="zh-CN"/>
        </w:rPr>
        <w:t>2025</w:t>
      </w:r>
      <w:r>
        <w:rPr>
          <w:rFonts w:hint="eastAsia" w:ascii="仿宋" w:hAnsi="仿宋" w:eastAsia="仿宋" w:cs="宋体"/>
          <w:kern w:val="0"/>
          <w:sz w:val="32"/>
          <w:szCs w:val="32"/>
        </w:rPr>
        <w:t>预算安排</w:t>
      </w:r>
      <w:r>
        <w:rPr>
          <w:rFonts w:hint="eastAsia" w:ascii="仿宋" w:hAnsi="仿宋" w:eastAsia="仿宋" w:cs="仿宋_GB2312"/>
          <w:kern w:val="0"/>
          <w:sz w:val="32"/>
          <w:szCs w:val="32"/>
          <w:lang w:val="en-US" w:eastAsia="zh-CN"/>
        </w:rPr>
        <w:t>0</w:t>
      </w:r>
      <w:r>
        <w:rPr>
          <w:rFonts w:hint="eastAsia" w:ascii="仿宋" w:hAnsi="仿宋" w:eastAsia="仿宋" w:cs="宋体"/>
          <w:kern w:val="0"/>
          <w:sz w:val="32"/>
          <w:szCs w:val="32"/>
        </w:rPr>
        <w:t>万元，</w:t>
      </w:r>
      <w:r>
        <w:rPr>
          <w:rFonts w:hint="eastAsia" w:ascii="仿宋" w:hAnsi="仿宋" w:eastAsia="仿宋" w:cs="仿宋_GB2312"/>
          <w:sz w:val="32"/>
          <w:szCs w:val="32"/>
        </w:rPr>
        <w:t>比上年减少</w:t>
      </w:r>
      <w:r>
        <w:rPr>
          <w:rFonts w:hint="eastAsia" w:ascii="仿宋" w:hAnsi="仿宋" w:eastAsia="仿宋" w:cs="仿宋_GB2312"/>
          <w:sz w:val="32"/>
          <w:szCs w:val="32"/>
          <w:lang w:val="en-US" w:eastAsia="zh-CN"/>
        </w:rPr>
        <w:t>0.34</w:t>
      </w:r>
      <w:r>
        <w:rPr>
          <w:rFonts w:hint="eastAsia" w:ascii="仿宋" w:hAnsi="仿宋" w:eastAsia="仿宋" w:cs="仿宋_GB2312"/>
          <w:kern w:val="0"/>
          <w:sz w:val="32"/>
          <w:szCs w:val="32"/>
        </w:rPr>
        <w:t>万元，</w:t>
      </w:r>
      <w:r>
        <w:rPr>
          <w:rFonts w:hint="eastAsia" w:ascii="仿宋" w:hAnsi="仿宋" w:eastAsia="仿宋" w:cs="仿宋_GB2312"/>
          <w:sz w:val="32"/>
          <w:szCs w:val="32"/>
        </w:rPr>
        <w:t>降低</w:t>
      </w:r>
      <w:r>
        <w:rPr>
          <w:rFonts w:hint="eastAsia" w:ascii="仿宋" w:hAnsi="仿宋" w:eastAsia="仿宋" w:cs="仿宋_GB2312"/>
          <w:sz w:val="32"/>
          <w:szCs w:val="32"/>
          <w:lang w:val="en-US" w:eastAsia="zh-CN"/>
        </w:rPr>
        <w:t>100</w:t>
      </w:r>
      <w:r>
        <w:rPr>
          <w:rFonts w:hint="eastAsia" w:ascii="仿宋" w:hAnsi="仿宋" w:eastAsia="仿宋" w:cs="仿宋_GB2312"/>
          <w:sz w:val="32"/>
          <w:szCs w:val="32"/>
        </w:rPr>
        <w:t>%；主要原因是:</w:t>
      </w:r>
      <w:r>
        <w:rPr>
          <w:rFonts w:hint="eastAsia" w:ascii="仿宋" w:hAnsi="仿宋" w:eastAsia="仿宋" w:cs="仿宋_GB2312"/>
          <w:sz w:val="32"/>
          <w:szCs w:val="32"/>
          <w:lang w:eastAsia="zh-CN"/>
        </w:rPr>
        <w:t>不安排</w:t>
      </w:r>
      <w:r>
        <w:rPr>
          <w:rFonts w:hint="eastAsia" w:ascii="仿宋" w:hAnsi="仿宋" w:eastAsia="仿宋" w:cs="宋体"/>
          <w:kern w:val="0"/>
          <w:sz w:val="32"/>
          <w:szCs w:val="32"/>
        </w:rPr>
        <w:t>公务用车</w:t>
      </w:r>
      <w:r>
        <w:rPr>
          <w:rFonts w:hint="eastAsia" w:ascii="仿宋" w:hAnsi="仿宋" w:eastAsia="仿宋" w:cs="仿宋_GB2312"/>
          <w:sz w:val="32"/>
          <w:szCs w:val="32"/>
          <w:lang w:eastAsia="zh-CN"/>
        </w:rPr>
        <w:t>；</w:t>
      </w:r>
      <w:r>
        <w:rPr>
          <w:rFonts w:hint="eastAsia" w:ascii="仿宋" w:hAnsi="仿宋" w:eastAsia="仿宋" w:cs="宋体"/>
          <w:kern w:val="0"/>
          <w:sz w:val="32"/>
          <w:szCs w:val="32"/>
        </w:rPr>
        <w:t>公务用车购置费</w:t>
      </w:r>
      <w:r>
        <w:rPr>
          <w:rFonts w:hint="eastAsia" w:ascii="仿宋" w:hAnsi="仿宋" w:eastAsia="仿宋" w:cs="仿宋_GB2312"/>
          <w:kern w:val="0"/>
          <w:sz w:val="32"/>
          <w:szCs w:val="32"/>
          <w:lang w:val="en-US" w:eastAsia="zh-CN"/>
        </w:rPr>
        <w:t>0</w:t>
      </w:r>
      <w:r>
        <w:rPr>
          <w:rFonts w:hint="eastAsia" w:ascii="仿宋" w:hAnsi="仿宋" w:eastAsia="仿宋" w:cs="宋体"/>
          <w:kern w:val="0"/>
          <w:sz w:val="32"/>
          <w:szCs w:val="32"/>
        </w:rPr>
        <w:t>万元，</w:t>
      </w:r>
      <w:r>
        <w:rPr>
          <w:rFonts w:hint="eastAsia" w:ascii="仿宋" w:hAnsi="仿宋" w:eastAsia="仿宋" w:cs="仿宋_GB2312"/>
          <w:sz w:val="32"/>
          <w:szCs w:val="32"/>
        </w:rPr>
        <w:t>与上年持平</w:t>
      </w:r>
      <w:r>
        <w:rPr>
          <w:rFonts w:hint="eastAsia" w:ascii="仿宋" w:hAnsi="仿宋" w:eastAsia="仿宋" w:cs="仿宋_GB2312"/>
          <w:sz w:val="32"/>
          <w:szCs w:val="32"/>
          <w:lang w:eastAsia="zh-CN"/>
        </w:rPr>
        <w:t>。</w:t>
      </w:r>
    </w:p>
    <w:p>
      <w:pPr>
        <w:spacing w:line="600" w:lineRule="exact"/>
        <w:ind w:firstLine="640" w:firstLineChars="200"/>
        <w:rPr>
          <w:rFonts w:ascii="黑体" w:hAnsi="黑体" w:eastAsia="黑体"/>
          <w:sz w:val="32"/>
          <w:szCs w:val="32"/>
        </w:rPr>
      </w:pPr>
      <w:r>
        <w:rPr>
          <w:rFonts w:hint="eastAsia" w:ascii="黑体" w:hAnsi="黑体" w:eastAsia="黑体"/>
          <w:sz w:val="32"/>
          <w:szCs w:val="32"/>
        </w:rPr>
        <w:t>七、预算绩效目标情况</w:t>
      </w:r>
    </w:p>
    <w:p>
      <w:pPr>
        <w:spacing w:line="590" w:lineRule="exact"/>
        <w:ind w:firstLine="629" w:firstLineChars="196"/>
        <w:rPr>
          <w:rFonts w:ascii="仿宋" w:hAnsi="仿宋" w:eastAsia="仿宋" w:cs="仿宋_GB2312"/>
          <w:kern w:val="0"/>
          <w:sz w:val="32"/>
          <w:szCs w:val="32"/>
        </w:rPr>
      </w:pPr>
      <w:r>
        <w:rPr>
          <w:rFonts w:hint="eastAsia" w:ascii="楷体" w:hAnsi="楷体" w:eastAsia="楷体"/>
          <w:b/>
          <w:sz w:val="32"/>
          <w:szCs w:val="32"/>
        </w:rPr>
        <w:t>（一）绩效目标设置情况</w:t>
      </w:r>
    </w:p>
    <w:p>
      <w:pPr>
        <w:spacing w:line="590" w:lineRule="exact"/>
        <w:ind w:firstLine="627" w:firstLineChars="196"/>
        <w:rPr>
          <w:rFonts w:ascii="仿宋" w:hAnsi="仿宋" w:eastAsia="仿宋" w:cs="仿宋_GB2312"/>
          <w:kern w:val="0"/>
          <w:sz w:val="32"/>
          <w:szCs w:val="32"/>
        </w:rPr>
      </w:pPr>
      <w:r>
        <w:rPr>
          <w:rFonts w:hint="eastAsia" w:ascii="仿宋" w:hAnsi="仿宋" w:eastAsia="仿宋" w:cs="仿宋_GB2312"/>
          <w:kern w:val="0"/>
          <w:sz w:val="32"/>
          <w:szCs w:val="32"/>
          <w:lang w:val="en-US" w:eastAsia="zh-CN"/>
        </w:rPr>
        <w:t>2025</w:t>
      </w:r>
      <w:r>
        <w:rPr>
          <w:rFonts w:hint="eastAsia" w:ascii="仿宋" w:hAnsi="仿宋" w:eastAsia="仿宋" w:cs="仿宋_GB2312"/>
          <w:kern w:val="0"/>
          <w:sz w:val="32"/>
          <w:szCs w:val="32"/>
        </w:rPr>
        <w:t>年，</w:t>
      </w:r>
      <w:r>
        <w:rPr>
          <w:rFonts w:hint="eastAsia" w:ascii="仿宋" w:hAnsi="仿宋" w:eastAsia="仿宋" w:cs="仿宋_GB2312"/>
          <w:kern w:val="0"/>
          <w:sz w:val="32"/>
          <w:szCs w:val="32"/>
          <w:lang w:eastAsia="zh-CN"/>
        </w:rPr>
        <w:t>漳平市救助站</w:t>
      </w:r>
      <w:r>
        <w:rPr>
          <w:rFonts w:hint="eastAsia" w:ascii="仿宋" w:hAnsi="仿宋" w:eastAsia="仿宋" w:cs="仿宋_GB2312"/>
          <w:kern w:val="0"/>
          <w:sz w:val="32"/>
          <w:szCs w:val="32"/>
        </w:rPr>
        <w:t>按照全面实施预算绩效管理的要求，编制绩效目标并公开。</w:t>
      </w:r>
    </w:p>
    <w:p>
      <w:pPr>
        <w:spacing w:line="590" w:lineRule="exact"/>
        <w:ind w:firstLine="629" w:firstLineChars="196"/>
        <w:rPr>
          <w:rFonts w:ascii="楷体" w:hAnsi="楷体" w:eastAsia="楷体"/>
          <w:b/>
          <w:sz w:val="32"/>
          <w:szCs w:val="32"/>
        </w:rPr>
      </w:pPr>
      <w:r>
        <w:rPr>
          <w:rFonts w:hint="eastAsia" w:ascii="楷体" w:hAnsi="楷体" w:eastAsia="楷体"/>
          <w:b/>
          <w:sz w:val="32"/>
          <w:szCs w:val="32"/>
        </w:rPr>
        <w:t>（二）绩效目标表及说明</w:t>
      </w:r>
    </w:p>
    <w:p>
      <w:pPr>
        <w:spacing w:line="590" w:lineRule="exact"/>
        <w:ind w:firstLine="642" w:firstLineChars="200"/>
        <w:rPr>
          <w:rFonts w:hint="eastAsia" w:ascii="仿宋" w:hAnsi="仿宋" w:eastAsia="仿宋"/>
          <w:b/>
          <w:sz w:val="32"/>
          <w:szCs w:val="32"/>
        </w:rPr>
      </w:pPr>
      <w:r>
        <w:rPr>
          <w:rFonts w:ascii="仿宋" w:hAnsi="仿宋" w:eastAsia="仿宋"/>
          <w:b/>
          <w:sz w:val="32"/>
          <w:szCs w:val="32"/>
        </w:rPr>
        <w:t>1.项目支出绩效目标表</w:t>
      </w:r>
    </w:p>
    <w:p>
      <w:pPr>
        <w:spacing w:line="590" w:lineRule="exact"/>
        <w:ind w:firstLine="642" w:firstLineChars="200"/>
        <w:rPr>
          <w:rFonts w:hint="eastAsia" w:ascii="仿宋" w:hAnsi="仿宋" w:eastAsia="仿宋"/>
          <w:b/>
          <w:sz w:val="32"/>
          <w:szCs w:val="32"/>
        </w:rPr>
      </w:pPr>
    </w:p>
    <w:p>
      <w:pPr>
        <w:spacing w:line="590" w:lineRule="exact"/>
        <w:ind w:firstLine="642" w:firstLineChars="200"/>
        <w:rPr>
          <w:rFonts w:ascii="仿宋" w:hAnsi="仿宋" w:eastAsia="仿宋"/>
          <w:b/>
          <w:sz w:val="32"/>
          <w:szCs w:val="32"/>
        </w:rPr>
      </w:pPr>
    </w:p>
    <w:tbl>
      <w:tblPr>
        <w:tblStyle w:val="6"/>
        <w:tblW w:w="9638" w:type="dxa"/>
        <w:tblInd w:w="91" w:type="dxa"/>
        <w:tblLayout w:type="autofit"/>
        <w:tblCellMar>
          <w:top w:w="0" w:type="dxa"/>
          <w:left w:w="108" w:type="dxa"/>
          <w:bottom w:w="0" w:type="dxa"/>
          <w:right w:w="108" w:type="dxa"/>
        </w:tblCellMar>
      </w:tblPr>
      <w:tblGrid>
        <w:gridCol w:w="1843"/>
        <w:gridCol w:w="1732"/>
        <w:gridCol w:w="2028"/>
        <w:gridCol w:w="2045"/>
        <w:gridCol w:w="1990"/>
      </w:tblGrid>
      <w:tr>
        <w:tblPrEx>
          <w:tblCellMar>
            <w:top w:w="0" w:type="dxa"/>
            <w:left w:w="108" w:type="dxa"/>
            <w:bottom w:w="0" w:type="dxa"/>
            <w:right w:w="108" w:type="dxa"/>
          </w:tblCellMar>
        </w:tblPrEx>
        <w:trPr>
          <w:trHeight w:val="1200" w:hRule="atLeast"/>
        </w:trPr>
        <w:tc>
          <w:tcPr>
            <w:tcW w:w="8237" w:type="dxa"/>
            <w:gridSpan w:val="5"/>
            <w:tcBorders>
              <w:top w:val="nil"/>
              <w:left w:val="nil"/>
              <w:bottom w:val="single" w:color="auto" w:sz="4" w:space="0"/>
              <w:right w:val="nil"/>
            </w:tcBorders>
            <w:shd w:val="clear" w:color="auto" w:fill="auto"/>
          </w:tcPr>
          <w:p>
            <w:pPr>
              <w:widowControl/>
              <w:spacing w:line="240" w:lineRule="auto"/>
              <w:jc w:val="center"/>
              <w:rPr>
                <w:rFonts w:ascii="方正小标宋简体" w:hAnsi="宋体" w:eastAsia="方正小标宋简体" w:cs="宋体"/>
                <w:color w:val="000000"/>
                <w:kern w:val="0"/>
                <w:sz w:val="40"/>
                <w:szCs w:val="40"/>
              </w:rPr>
            </w:pPr>
            <w:r>
              <w:rPr>
                <w:rFonts w:hint="eastAsia" w:ascii="方正小标宋简体" w:hAnsi="宋体" w:eastAsia="方正小标宋简体" w:cs="宋体"/>
                <w:color w:val="000000"/>
                <w:kern w:val="0"/>
                <w:sz w:val="40"/>
                <w:szCs w:val="40"/>
              </w:rPr>
              <w:t>困难群众救助补助专项资金（流浪乞讨人员）绩效目标表</w:t>
            </w:r>
          </w:p>
        </w:tc>
      </w:tr>
      <w:tr>
        <w:tblPrEx>
          <w:tblCellMar>
            <w:top w:w="0" w:type="dxa"/>
            <w:left w:w="108" w:type="dxa"/>
            <w:bottom w:w="0" w:type="dxa"/>
            <w:right w:w="108" w:type="dxa"/>
          </w:tblCellMar>
        </w:tblPrEx>
        <w:trPr>
          <w:trHeight w:val="540" w:hRule="atLeast"/>
        </w:trPr>
        <w:tc>
          <w:tcPr>
            <w:tcW w:w="1575" w:type="dxa"/>
            <w:vMerge w:val="restart"/>
            <w:tcBorders>
              <w:top w:val="nil"/>
              <w:left w:val="single" w:color="auto" w:sz="4" w:space="0"/>
              <w:bottom w:val="nil"/>
              <w:right w:val="single" w:color="auto"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项目资金（万元）</w:t>
            </w:r>
          </w:p>
        </w:tc>
        <w:tc>
          <w:tcPr>
            <w:tcW w:w="3213"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xml:space="preserve">资金总额： </w:t>
            </w:r>
          </w:p>
        </w:tc>
        <w:tc>
          <w:tcPr>
            <w:tcW w:w="3449"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lang w:val="en-US" w:eastAsia="zh-CN"/>
              </w:rPr>
              <w:t>38</w:t>
            </w:r>
            <w:r>
              <w:rPr>
                <w:rFonts w:hint="eastAsia" w:ascii="宋体" w:hAnsi="宋体" w:eastAsia="宋体" w:cs="宋体"/>
                <w:color w:val="000000"/>
                <w:kern w:val="0"/>
                <w:sz w:val="22"/>
              </w:rPr>
              <w:t>　</w:t>
            </w:r>
          </w:p>
        </w:tc>
      </w:tr>
      <w:tr>
        <w:tblPrEx>
          <w:tblCellMar>
            <w:top w:w="0" w:type="dxa"/>
            <w:left w:w="108" w:type="dxa"/>
            <w:bottom w:w="0" w:type="dxa"/>
            <w:right w:w="108" w:type="dxa"/>
          </w:tblCellMar>
        </w:tblPrEx>
        <w:trPr>
          <w:trHeight w:val="540" w:hRule="atLeast"/>
        </w:trPr>
        <w:tc>
          <w:tcPr>
            <w:tcW w:w="1575" w:type="dxa"/>
            <w:vMerge w:val="continue"/>
            <w:tcBorders>
              <w:top w:val="nil"/>
              <w:left w:val="single" w:color="auto" w:sz="4" w:space="0"/>
              <w:bottom w:val="nil"/>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3213"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xml:space="preserve">     财政拨款：</w:t>
            </w:r>
          </w:p>
        </w:tc>
        <w:tc>
          <w:tcPr>
            <w:tcW w:w="3449"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lang w:val="en-US" w:eastAsia="zh-CN"/>
              </w:rPr>
              <w:t>38</w:t>
            </w:r>
            <w:r>
              <w:rPr>
                <w:rFonts w:hint="eastAsia" w:ascii="宋体" w:hAnsi="宋体" w:eastAsia="宋体" w:cs="宋体"/>
                <w:color w:val="000000"/>
                <w:kern w:val="0"/>
                <w:sz w:val="22"/>
              </w:rPr>
              <w:t>　</w:t>
            </w:r>
          </w:p>
        </w:tc>
      </w:tr>
      <w:tr>
        <w:tblPrEx>
          <w:tblCellMar>
            <w:top w:w="0" w:type="dxa"/>
            <w:left w:w="108" w:type="dxa"/>
            <w:bottom w:w="0" w:type="dxa"/>
            <w:right w:w="108" w:type="dxa"/>
          </w:tblCellMar>
        </w:tblPrEx>
        <w:trPr>
          <w:trHeight w:val="540" w:hRule="atLeast"/>
        </w:trPr>
        <w:tc>
          <w:tcPr>
            <w:tcW w:w="1575" w:type="dxa"/>
            <w:vMerge w:val="continue"/>
            <w:tcBorders>
              <w:top w:val="nil"/>
              <w:left w:val="single" w:color="auto" w:sz="4" w:space="0"/>
              <w:bottom w:val="nil"/>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3213"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xml:space="preserve">     其他资金：</w:t>
            </w:r>
          </w:p>
        </w:tc>
        <w:tc>
          <w:tcPr>
            <w:tcW w:w="3449"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lang w:val="en-US" w:eastAsia="zh-CN"/>
              </w:rPr>
              <w:t>0</w:t>
            </w:r>
            <w:r>
              <w:rPr>
                <w:rFonts w:hint="eastAsia" w:ascii="宋体" w:hAnsi="宋体" w:eastAsia="宋体" w:cs="宋体"/>
                <w:color w:val="000000"/>
                <w:kern w:val="0"/>
                <w:sz w:val="22"/>
              </w:rPr>
              <w:t>　</w:t>
            </w:r>
          </w:p>
        </w:tc>
      </w:tr>
      <w:tr>
        <w:tblPrEx>
          <w:tblCellMar>
            <w:top w:w="0" w:type="dxa"/>
            <w:left w:w="108" w:type="dxa"/>
            <w:bottom w:w="0" w:type="dxa"/>
            <w:right w:w="108" w:type="dxa"/>
          </w:tblCellMar>
        </w:tblPrEx>
        <w:trPr>
          <w:trHeight w:val="1065" w:hRule="atLeast"/>
        </w:trPr>
        <w:tc>
          <w:tcPr>
            <w:tcW w:w="157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总体目标</w:t>
            </w:r>
          </w:p>
        </w:tc>
        <w:tc>
          <w:tcPr>
            <w:tcW w:w="6662" w:type="dxa"/>
            <w:gridSpan w:val="4"/>
            <w:tcBorders>
              <w:top w:val="single" w:color="auto" w:sz="4" w:space="0"/>
              <w:left w:val="nil"/>
              <w:bottom w:val="single" w:color="auto" w:sz="4" w:space="0"/>
              <w:right w:val="single" w:color="000000" w:sz="4" w:space="0"/>
            </w:tcBorders>
            <w:shd w:val="clear" w:color="auto" w:fill="auto"/>
            <w:vAlign w:val="center"/>
          </w:tcPr>
          <w:p>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　1.漳平市救助站购买流浪乞讨人员救助服务项目合计34.8万元。</w:t>
            </w:r>
          </w:p>
          <w:p>
            <w:pPr>
              <w:widowControl/>
              <w:spacing w:line="240" w:lineRule="auto"/>
              <w:ind w:firstLine="220" w:firstLineChars="100"/>
              <w:jc w:val="left"/>
              <w:rPr>
                <w:rFonts w:hint="eastAsia" w:ascii="宋体" w:hAnsi="宋体" w:eastAsia="宋体" w:cs="宋体"/>
                <w:color w:val="000000"/>
                <w:kern w:val="0"/>
                <w:sz w:val="22"/>
                <w:lang w:val="en-US" w:eastAsia="zh-CN"/>
              </w:rPr>
            </w:pPr>
            <w:r>
              <w:rPr>
                <w:rFonts w:hint="eastAsia" w:ascii="宋体" w:hAnsi="宋体" w:eastAsia="宋体" w:cs="宋体"/>
                <w:color w:val="000000"/>
                <w:kern w:val="0"/>
                <w:sz w:val="22"/>
              </w:rPr>
              <w:t>2.用于生活无着的流浪乞讨人员主动救助、生活救助、医疗救治、教育矫治、返乡救助、临时安置等救助保护支出，为站内及街面流浪乞讨人员提供救助所需食宿、衣被、返乡交通费、急病救治、寻亲救助宣传等费用3.2万元。</w:t>
            </w:r>
          </w:p>
        </w:tc>
      </w:tr>
      <w:tr>
        <w:tblPrEx>
          <w:tblCellMar>
            <w:top w:w="0" w:type="dxa"/>
            <w:left w:w="108" w:type="dxa"/>
            <w:bottom w:w="0" w:type="dxa"/>
            <w:right w:w="108" w:type="dxa"/>
          </w:tblCellMar>
        </w:tblPrEx>
        <w:trPr>
          <w:trHeight w:val="503" w:hRule="atLeast"/>
        </w:trPr>
        <w:tc>
          <w:tcPr>
            <w:tcW w:w="157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绩效目标指标</w:t>
            </w:r>
          </w:p>
        </w:tc>
        <w:tc>
          <w:tcPr>
            <w:tcW w:w="1480" w:type="dxa"/>
            <w:tcBorders>
              <w:top w:val="nil"/>
              <w:left w:val="nil"/>
              <w:bottom w:val="single" w:color="auto" w:sz="4" w:space="0"/>
              <w:right w:val="single" w:color="auto"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一级指标</w:t>
            </w:r>
          </w:p>
        </w:tc>
        <w:tc>
          <w:tcPr>
            <w:tcW w:w="1733" w:type="dxa"/>
            <w:tcBorders>
              <w:top w:val="nil"/>
              <w:left w:val="nil"/>
              <w:bottom w:val="single" w:color="auto" w:sz="4" w:space="0"/>
              <w:right w:val="single" w:color="auto"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二级指标</w:t>
            </w:r>
          </w:p>
        </w:tc>
        <w:tc>
          <w:tcPr>
            <w:tcW w:w="1748" w:type="dxa"/>
            <w:tcBorders>
              <w:top w:val="nil"/>
              <w:left w:val="nil"/>
              <w:bottom w:val="single" w:color="auto" w:sz="4" w:space="0"/>
              <w:right w:val="nil"/>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三级指标</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目标值</w:t>
            </w:r>
          </w:p>
        </w:tc>
      </w:tr>
      <w:tr>
        <w:tblPrEx>
          <w:tblCellMar>
            <w:top w:w="0" w:type="dxa"/>
            <w:left w:w="108" w:type="dxa"/>
            <w:bottom w:w="0" w:type="dxa"/>
            <w:right w:w="108" w:type="dxa"/>
          </w:tblCellMar>
        </w:tblPrEx>
        <w:trPr>
          <w:trHeight w:val="503" w:hRule="atLeast"/>
        </w:trPr>
        <w:tc>
          <w:tcPr>
            <w:tcW w:w="1575"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480"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成本指标</w:t>
            </w:r>
          </w:p>
        </w:tc>
        <w:tc>
          <w:tcPr>
            <w:tcW w:w="1733" w:type="dxa"/>
            <w:tcBorders>
              <w:top w:val="nil"/>
              <w:left w:val="nil"/>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经济成本指标</w:t>
            </w:r>
          </w:p>
        </w:tc>
        <w:tc>
          <w:tcPr>
            <w:tcW w:w="1748" w:type="dxa"/>
            <w:tcBorders>
              <w:top w:val="nil"/>
              <w:left w:val="nil"/>
              <w:bottom w:val="single" w:color="auto" w:sz="4" w:space="0"/>
              <w:right w:val="nil"/>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流浪乞讨人员救助执行当地支出金额</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rPr>
              <w:t>　</w:t>
            </w:r>
            <w:r>
              <w:rPr>
                <w:rFonts w:hint="eastAsia" w:ascii="宋体" w:hAnsi="宋体" w:eastAsia="宋体" w:cs="宋体"/>
                <w:color w:val="000000"/>
                <w:kern w:val="0"/>
                <w:sz w:val="22"/>
                <w:lang w:val="en-US" w:eastAsia="zh-CN"/>
              </w:rPr>
              <w:t xml:space="preserve">   38</w:t>
            </w:r>
          </w:p>
        </w:tc>
      </w:tr>
      <w:tr>
        <w:tblPrEx>
          <w:tblCellMar>
            <w:top w:w="0" w:type="dxa"/>
            <w:left w:w="108" w:type="dxa"/>
            <w:bottom w:w="0" w:type="dxa"/>
            <w:right w:w="108" w:type="dxa"/>
          </w:tblCellMar>
        </w:tblPrEx>
        <w:trPr>
          <w:trHeight w:val="503" w:hRule="atLeast"/>
        </w:trPr>
        <w:tc>
          <w:tcPr>
            <w:tcW w:w="1575"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4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产出指标</w:t>
            </w:r>
          </w:p>
        </w:tc>
        <w:tc>
          <w:tcPr>
            <w:tcW w:w="1733" w:type="dxa"/>
            <w:tcBorders>
              <w:top w:val="nil"/>
              <w:left w:val="nil"/>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数量指标</w:t>
            </w:r>
          </w:p>
        </w:tc>
        <w:tc>
          <w:tcPr>
            <w:tcW w:w="1748" w:type="dxa"/>
            <w:tcBorders>
              <w:top w:val="nil"/>
              <w:left w:val="nil"/>
              <w:bottom w:val="single" w:color="auto" w:sz="4" w:space="0"/>
              <w:right w:val="nil"/>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流浪乞讨人员救助率</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rPr>
              <w:t>　</w:t>
            </w:r>
            <w:r>
              <w:rPr>
                <w:rFonts w:hint="eastAsia" w:ascii="宋体" w:hAnsi="宋体" w:eastAsia="宋体" w:cs="宋体"/>
                <w:color w:val="000000"/>
                <w:kern w:val="0"/>
                <w:sz w:val="22"/>
                <w:lang w:val="en-US" w:eastAsia="zh-CN"/>
              </w:rPr>
              <w:t xml:space="preserve">   90%</w:t>
            </w:r>
          </w:p>
        </w:tc>
      </w:tr>
      <w:tr>
        <w:tblPrEx>
          <w:tblCellMar>
            <w:top w:w="0" w:type="dxa"/>
            <w:left w:w="108" w:type="dxa"/>
            <w:bottom w:w="0" w:type="dxa"/>
            <w:right w:w="108" w:type="dxa"/>
          </w:tblCellMar>
        </w:tblPrEx>
        <w:trPr>
          <w:trHeight w:val="503" w:hRule="atLeast"/>
        </w:trPr>
        <w:tc>
          <w:tcPr>
            <w:tcW w:w="1575"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480"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733" w:type="dxa"/>
            <w:tcBorders>
              <w:top w:val="nil"/>
              <w:left w:val="nil"/>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质量指标</w:t>
            </w:r>
          </w:p>
        </w:tc>
        <w:tc>
          <w:tcPr>
            <w:tcW w:w="1748" w:type="dxa"/>
            <w:tcBorders>
              <w:top w:val="nil"/>
              <w:left w:val="nil"/>
              <w:bottom w:val="single" w:color="auto" w:sz="4" w:space="0"/>
              <w:right w:val="nil"/>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流浪乞讨人员救助资金使用合规性</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w:t>
            </w:r>
            <w:r>
              <w:rPr>
                <w:rFonts w:hint="eastAsia" w:ascii="宋体" w:hAnsi="宋体" w:eastAsia="宋体" w:cs="宋体"/>
                <w:color w:val="000000"/>
                <w:kern w:val="0"/>
                <w:sz w:val="22"/>
                <w:lang w:val="en-US" w:eastAsia="zh-CN"/>
              </w:rPr>
              <w:t xml:space="preserve">   95%</w:t>
            </w:r>
          </w:p>
        </w:tc>
      </w:tr>
      <w:tr>
        <w:tblPrEx>
          <w:tblCellMar>
            <w:top w:w="0" w:type="dxa"/>
            <w:left w:w="108" w:type="dxa"/>
            <w:bottom w:w="0" w:type="dxa"/>
            <w:right w:w="108" w:type="dxa"/>
          </w:tblCellMar>
        </w:tblPrEx>
        <w:trPr>
          <w:trHeight w:val="503" w:hRule="atLeast"/>
        </w:trPr>
        <w:tc>
          <w:tcPr>
            <w:tcW w:w="1575"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480"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733" w:type="dxa"/>
            <w:tcBorders>
              <w:top w:val="nil"/>
              <w:left w:val="nil"/>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时效指标</w:t>
            </w:r>
          </w:p>
        </w:tc>
        <w:tc>
          <w:tcPr>
            <w:tcW w:w="1748" w:type="dxa"/>
            <w:tcBorders>
              <w:top w:val="nil"/>
              <w:left w:val="nil"/>
              <w:bottom w:val="single" w:color="auto" w:sz="4" w:space="0"/>
              <w:right w:val="nil"/>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流浪乞讨人员救助行动及时率</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w:t>
            </w:r>
            <w:r>
              <w:rPr>
                <w:rFonts w:hint="eastAsia" w:ascii="宋体" w:hAnsi="宋体" w:eastAsia="宋体" w:cs="宋体"/>
                <w:color w:val="000000"/>
                <w:kern w:val="0"/>
                <w:sz w:val="22"/>
                <w:lang w:val="en-US" w:eastAsia="zh-CN"/>
              </w:rPr>
              <w:t xml:space="preserve">   95%</w:t>
            </w:r>
          </w:p>
        </w:tc>
      </w:tr>
      <w:tr>
        <w:tblPrEx>
          <w:tblCellMar>
            <w:top w:w="0" w:type="dxa"/>
            <w:left w:w="108" w:type="dxa"/>
            <w:bottom w:w="0" w:type="dxa"/>
            <w:right w:w="108" w:type="dxa"/>
          </w:tblCellMar>
        </w:tblPrEx>
        <w:trPr>
          <w:trHeight w:val="1080" w:hRule="atLeast"/>
        </w:trPr>
        <w:tc>
          <w:tcPr>
            <w:tcW w:w="1575"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480"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效益指标</w:t>
            </w:r>
          </w:p>
        </w:tc>
        <w:tc>
          <w:tcPr>
            <w:tcW w:w="17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社会效益指标</w:t>
            </w:r>
          </w:p>
        </w:tc>
        <w:tc>
          <w:tcPr>
            <w:tcW w:w="1748"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　</w:t>
            </w:r>
          </w:p>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帮助查明身份滞留流浪乞讨人员返乡率</w:t>
            </w:r>
          </w:p>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　</w:t>
            </w:r>
          </w:p>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w:t>
            </w:r>
            <w:r>
              <w:rPr>
                <w:rFonts w:hint="eastAsia" w:ascii="宋体" w:hAnsi="宋体" w:eastAsia="宋体" w:cs="宋体"/>
                <w:color w:val="000000"/>
                <w:kern w:val="0"/>
                <w:sz w:val="22"/>
                <w:lang w:val="en-US" w:eastAsia="zh-CN"/>
              </w:rPr>
              <w:t xml:space="preserve"> </w:t>
            </w:r>
            <w:r>
              <w:rPr>
                <w:rFonts w:hint="eastAsia" w:ascii="宋体" w:hAnsi="宋体" w:eastAsia="宋体" w:cs="宋体"/>
                <w:color w:val="000000"/>
                <w:kern w:val="0"/>
                <w:sz w:val="22"/>
              </w:rPr>
              <w:t>　</w:t>
            </w:r>
            <w:r>
              <w:rPr>
                <w:rFonts w:hint="eastAsia" w:ascii="宋体" w:hAnsi="宋体" w:eastAsia="宋体" w:cs="宋体"/>
                <w:color w:val="000000"/>
                <w:kern w:val="0"/>
                <w:sz w:val="22"/>
                <w:lang w:val="en-US" w:eastAsia="zh-CN"/>
              </w:rPr>
              <w:t>90%</w:t>
            </w:r>
          </w:p>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w:t>
            </w:r>
          </w:p>
        </w:tc>
      </w:tr>
      <w:tr>
        <w:tblPrEx>
          <w:tblCellMar>
            <w:top w:w="0" w:type="dxa"/>
            <w:left w:w="108" w:type="dxa"/>
            <w:bottom w:w="0" w:type="dxa"/>
            <w:right w:w="108" w:type="dxa"/>
          </w:tblCellMar>
        </w:tblPrEx>
        <w:trPr>
          <w:trHeight w:val="679" w:hRule="atLeast"/>
        </w:trPr>
        <w:tc>
          <w:tcPr>
            <w:tcW w:w="1575" w:type="dxa"/>
            <w:vMerge w:val="continue"/>
            <w:tcBorders>
              <w:top w:val="nil"/>
              <w:left w:val="single" w:color="auto" w:sz="4" w:space="0"/>
              <w:bottom w:val="single" w:color="auto" w:sz="4" w:space="0"/>
              <w:right w:val="single" w:color="auto" w:sz="4" w:space="0"/>
            </w:tcBorders>
            <w:vAlign w:val="center"/>
          </w:tcPr>
          <w:p>
            <w:pPr>
              <w:widowControl/>
              <w:spacing w:line="240" w:lineRule="auto"/>
              <w:jc w:val="left"/>
              <w:rPr>
                <w:rFonts w:ascii="宋体" w:hAnsi="宋体" w:eastAsia="宋体" w:cs="宋体"/>
                <w:color w:val="000000"/>
                <w:kern w:val="0"/>
                <w:sz w:val="22"/>
              </w:rPr>
            </w:pPr>
          </w:p>
        </w:tc>
        <w:tc>
          <w:tcPr>
            <w:tcW w:w="1480" w:type="dxa"/>
            <w:tcBorders>
              <w:top w:val="nil"/>
              <w:left w:val="nil"/>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满意度指标</w:t>
            </w:r>
          </w:p>
        </w:tc>
        <w:tc>
          <w:tcPr>
            <w:tcW w:w="1733"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服务对象满意度指标</w:t>
            </w:r>
          </w:p>
        </w:tc>
        <w:tc>
          <w:tcPr>
            <w:tcW w:w="1748" w:type="dxa"/>
            <w:tcBorders>
              <w:top w:val="single" w:color="auto" w:sz="4" w:space="0"/>
              <w:left w:val="nil"/>
              <w:bottom w:val="single" w:color="auto" w:sz="4" w:space="0"/>
              <w:right w:val="nil"/>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服务对象满意度</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auto"/>
              <w:jc w:val="left"/>
              <w:rPr>
                <w:rFonts w:ascii="宋体" w:hAnsi="宋体" w:eastAsia="宋体" w:cs="宋体"/>
                <w:color w:val="000000"/>
                <w:kern w:val="0"/>
                <w:sz w:val="22"/>
              </w:rPr>
            </w:pPr>
            <w:r>
              <w:rPr>
                <w:rFonts w:hint="eastAsia" w:ascii="宋体" w:hAnsi="宋体" w:eastAsia="宋体" w:cs="宋体"/>
                <w:color w:val="000000"/>
                <w:kern w:val="0"/>
                <w:sz w:val="22"/>
              </w:rPr>
              <w:t>　　</w:t>
            </w:r>
            <w:r>
              <w:rPr>
                <w:rFonts w:hint="eastAsia" w:ascii="宋体" w:hAnsi="宋体" w:eastAsia="宋体" w:cs="宋体"/>
                <w:color w:val="000000"/>
                <w:kern w:val="0"/>
                <w:sz w:val="22"/>
                <w:lang w:val="en-US" w:eastAsia="zh-CN"/>
              </w:rPr>
              <w:t xml:space="preserve"> 90%</w:t>
            </w:r>
          </w:p>
        </w:tc>
      </w:tr>
    </w:tbl>
    <w:p>
      <w:pPr>
        <w:spacing w:line="590" w:lineRule="exact"/>
        <w:ind w:firstLine="642" w:firstLineChars="200"/>
        <w:rPr>
          <w:rFonts w:ascii="仿宋" w:hAnsi="仿宋" w:eastAsia="仿宋"/>
          <w:b/>
          <w:sz w:val="32"/>
          <w:szCs w:val="32"/>
        </w:rPr>
      </w:pPr>
      <w:r>
        <w:rPr>
          <w:rFonts w:hint="eastAsia" w:ascii="仿宋" w:hAnsi="仿宋" w:eastAsia="仿宋"/>
          <w:b/>
          <w:sz w:val="32"/>
          <w:szCs w:val="32"/>
        </w:rPr>
        <w:t>3</w:t>
      </w:r>
      <w:r>
        <w:rPr>
          <w:rFonts w:ascii="仿宋" w:hAnsi="仿宋" w:eastAsia="仿宋"/>
          <w:b/>
          <w:sz w:val="32"/>
          <w:szCs w:val="32"/>
        </w:rPr>
        <w:t>.有关情况说明</w:t>
      </w:r>
    </w:p>
    <w:p>
      <w:pPr>
        <w:spacing w:line="590" w:lineRule="exact"/>
        <w:ind w:firstLine="640" w:firstLineChars="200"/>
        <w:rPr>
          <w:rFonts w:ascii="楷体" w:hAnsi="楷体" w:eastAsia="楷体" w:cs="楷体"/>
          <w:kern w:val="0"/>
          <w:sz w:val="32"/>
          <w:szCs w:val="32"/>
        </w:rPr>
      </w:pPr>
      <w:r>
        <w:rPr>
          <w:rFonts w:hint="eastAsia" w:ascii="楷体" w:hAnsi="楷体" w:eastAsia="楷体" w:cs="楷体"/>
          <w:kern w:val="0"/>
          <w:sz w:val="32"/>
          <w:szCs w:val="32"/>
        </w:rPr>
        <w:t>本</w:t>
      </w:r>
      <w:r>
        <w:rPr>
          <w:rFonts w:hint="eastAsia" w:ascii="楷体" w:hAnsi="楷体" w:eastAsia="楷体" w:cs="楷体"/>
          <w:kern w:val="0"/>
          <w:sz w:val="32"/>
          <w:szCs w:val="32"/>
          <w:lang w:eastAsia="zh-CN"/>
        </w:rPr>
        <w:t>单位</w:t>
      </w:r>
      <w:r>
        <w:rPr>
          <w:rFonts w:hint="eastAsia" w:ascii="楷体" w:hAnsi="楷体" w:eastAsia="楷体" w:cs="楷体"/>
          <w:kern w:val="0"/>
          <w:sz w:val="32"/>
          <w:szCs w:val="32"/>
        </w:rPr>
        <w:t>无其他需要说明的绩效目标情况。</w:t>
      </w:r>
    </w:p>
    <w:p>
      <w:pPr>
        <w:spacing w:line="600" w:lineRule="exact"/>
        <w:rPr>
          <w:rFonts w:ascii="黑体" w:hAnsi="黑体" w:eastAsia="黑体"/>
          <w:sz w:val="32"/>
          <w:szCs w:val="32"/>
        </w:rPr>
      </w:pPr>
      <w:r>
        <w:rPr>
          <w:rFonts w:hint="eastAsia" w:ascii="黑体" w:hAnsi="黑体" w:eastAsia="黑体"/>
          <w:sz w:val="32"/>
          <w:szCs w:val="32"/>
        </w:rPr>
        <w:t xml:space="preserve">    八、其他重要事项说明</w:t>
      </w:r>
    </w:p>
    <w:p>
      <w:pPr>
        <w:spacing w:line="600" w:lineRule="exact"/>
        <w:ind w:firstLine="642" w:firstLineChars="200"/>
        <w:rPr>
          <w:rFonts w:ascii="楷体" w:hAnsi="楷体" w:eastAsia="楷体"/>
          <w:b/>
          <w:sz w:val="32"/>
          <w:szCs w:val="32"/>
        </w:rPr>
      </w:pPr>
      <w:r>
        <w:rPr>
          <w:rFonts w:hint="eastAsia" w:ascii="楷体" w:hAnsi="楷体" w:eastAsia="楷体"/>
          <w:b/>
          <w:sz w:val="32"/>
          <w:szCs w:val="32"/>
        </w:rPr>
        <w:t>（一）机关运行经费</w:t>
      </w:r>
    </w:p>
    <w:p>
      <w:pPr>
        <w:spacing w:line="600" w:lineRule="exact"/>
        <w:ind w:firstLine="640" w:firstLineChars="200"/>
        <w:rPr>
          <w:rFonts w:hint="eastAsia" w:ascii="仿宋" w:hAnsi="仿宋" w:eastAsia="仿宋" w:cs="仿宋_GB2312"/>
          <w:kern w:val="0"/>
          <w:sz w:val="32"/>
          <w:szCs w:val="32"/>
          <w:lang w:val="en-US" w:eastAsia="zh-CN"/>
        </w:rPr>
      </w:pPr>
      <w:r>
        <w:rPr>
          <w:rFonts w:hint="eastAsia" w:ascii="仿宋" w:hAnsi="仿宋" w:eastAsia="仿宋" w:cs="仿宋_GB2312"/>
          <w:kern w:val="0"/>
          <w:sz w:val="32"/>
          <w:szCs w:val="32"/>
          <w:lang w:val="en-US" w:eastAsia="zh-CN"/>
        </w:rPr>
        <w:t>2025</w:t>
      </w:r>
      <w:r>
        <w:rPr>
          <w:rFonts w:hint="eastAsia" w:ascii="仿宋" w:hAnsi="仿宋" w:eastAsia="仿宋"/>
          <w:sz w:val="32"/>
          <w:szCs w:val="32"/>
        </w:rPr>
        <w:t>年，</w:t>
      </w:r>
      <w:r>
        <w:rPr>
          <w:rFonts w:hint="eastAsia" w:ascii="仿宋" w:hAnsi="仿宋" w:eastAsia="仿宋" w:cs="仿宋_GB2312"/>
          <w:kern w:val="0"/>
          <w:sz w:val="32"/>
          <w:szCs w:val="32"/>
          <w:lang w:eastAsia="zh-CN"/>
        </w:rPr>
        <w:t>漳平市救助站</w:t>
      </w:r>
      <w:r>
        <w:rPr>
          <w:rFonts w:hint="eastAsia" w:ascii="仿宋" w:hAnsi="仿宋" w:eastAsia="仿宋"/>
          <w:sz w:val="32"/>
          <w:szCs w:val="32"/>
        </w:rPr>
        <w:t>一般公共预算拨款安排的机关运行经费支出</w:t>
      </w:r>
      <w:r>
        <w:rPr>
          <w:rFonts w:hint="eastAsia" w:ascii="仿宋" w:hAnsi="仿宋" w:eastAsia="仿宋" w:cs="仿宋_GB2312"/>
          <w:kern w:val="0"/>
          <w:sz w:val="32"/>
          <w:szCs w:val="32"/>
          <w:lang w:val="en-US" w:eastAsia="zh-CN"/>
        </w:rPr>
        <w:t>4.88</w:t>
      </w:r>
      <w:r>
        <w:rPr>
          <w:rFonts w:hint="eastAsia" w:ascii="仿宋" w:hAnsi="仿宋" w:eastAsia="仿宋"/>
          <w:sz w:val="32"/>
          <w:szCs w:val="32"/>
        </w:rPr>
        <w:t>万元，</w:t>
      </w:r>
      <w:r>
        <w:rPr>
          <w:rFonts w:hint="eastAsia" w:ascii="仿宋" w:hAnsi="仿宋" w:eastAsia="仿宋" w:cs="仿宋_GB2312"/>
          <w:sz w:val="32"/>
          <w:szCs w:val="32"/>
        </w:rPr>
        <w:t>比上年减少（增加）</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万元，</w:t>
      </w:r>
      <w:r>
        <w:rPr>
          <w:rFonts w:hint="eastAsia" w:ascii="仿宋" w:hAnsi="仿宋" w:eastAsia="仿宋" w:cs="仿宋_GB2312"/>
          <w:sz w:val="32"/>
          <w:szCs w:val="32"/>
        </w:rPr>
        <w:t>降低（增长）</w:t>
      </w:r>
      <w:r>
        <w:rPr>
          <w:rFonts w:hint="eastAsia" w:ascii="仿宋" w:hAnsi="仿宋" w:eastAsia="仿宋" w:cs="仿宋_GB2312"/>
          <w:sz w:val="32"/>
          <w:szCs w:val="32"/>
          <w:lang w:val="en-US" w:eastAsia="zh-CN"/>
        </w:rPr>
        <w:t>0</w:t>
      </w:r>
      <w:r>
        <w:rPr>
          <w:rFonts w:ascii="仿宋" w:hAnsi="仿宋" w:eastAsia="仿宋" w:cs="仿宋_GB2312"/>
          <w:sz w:val="32"/>
          <w:szCs w:val="32"/>
        </w:rPr>
        <w:t>%</w:t>
      </w:r>
      <w:r>
        <w:rPr>
          <w:rFonts w:hint="eastAsia" w:ascii="仿宋" w:hAnsi="仿宋" w:eastAsia="仿宋"/>
          <w:sz w:val="32"/>
          <w:szCs w:val="32"/>
        </w:rPr>
        <w:t>。</w:t>
      </w:r>
      <w:r>
        <w:rPr>
          <w:rFonts w:hint="eastAsia" w:ascii="仿宋" w:hAnsi="仿宋" w:eastAsia="仿宋" w:cs="仿宋_GB2312"/>
          <w:kern w:val="0"/>
          <w:sz w:val="32"/>
          <w:szCs w:val="32"/>
          <w:lang w:val="en-US" w:eastAsia="zh-CN"/>
        </w:rPr>
        <w:t>主要是保障流浪乞讨人员救助运行需要。</w:t>
      </w:r>
    </w:p>
    <w:p>
      <w:pPr>
        <w:spacing w:line="600" w:lineRule="exact"/>
        <w:ind w:firstLine="642" w:firstLineChars="200"/>
        <w:rPr>
          <w:rFonts w:ascii="楷体" w:hAnsi="楷体" w:eastAsia="楷体"/>
          <w:b/>
          <w:sz w:val="32"/>
          <w:szCs w:val="32"/>
        </w:rPr>
      </w:pPr>
      <w:r>
        <w:rPr>
          <w:rFonts w:hint="eastAsia" w:ascii="楷体" w:hAnsi="楷体" w:eastAsia="楷体"/>
          <w:b/>
          <w:sz w:val="32"/>
          <w:szCs w:val="32"/>
        </w:rPr>
        <w:t>（二）政府采购情况</w:t>
      </w:r>
    </w:p>
    <w:p>
      <w:pPr>
        <w:spacing w:line="600" w:lineRule="exact"/>
        <w:ind w:firstLine="640" w:firstLineChars="200"/>
        <w:rPr>
          <w:rFonts w:ascii="仿宋" w:hAnsi="仿宋" w:eastAsia="仿宋"/>
          <w:kern w:val="0"/>
          <w:sz w:val="32"/>
          <w:szCs w:val="32"/>
        </w:rPr>
      </w:pPr>
      <w:r>
        <w:rPr>
          <w:rFonts w:hint="eastAsia" w:ascii="仿宋" w:hAnsi="仿宋" w:eastAsia="仿宋"/>
          <w:kern w:val="0"/>
          <w:sz w:val="32"/>
          <w:szCs w:val="32"/>
          <w:lang w:val="en-US" w:eastAsia="zh-CN"/>
        </w:rPr>
        <w:t>2025</w:t>
      </w:r>
      <w:r>
        <w:rPr>
          <w:rFonts w:hint="eastAsia" w:ascii="仿宋" w:hAnsi="仿宋" w:eastAsia="仿宋"/>
          <w:kern w:val="0"/>
          <w:sz w:val="32"/>
          <w:szCs w:val="32"/>
        </w:rPr>
        <w:t>年，</w:t>
      </w:r>
      <w:r>
        <w:rPr>
          <w:rFonts w:hint="eastAsia" w:ascii="仿宋" w:hAnsi="仿宋" w:eastAsia="仿宋"/>
          <w:kern w:val="0"/>
          <w:sz w:val="32"/>
          <w:szCs w:val="32"/>
          <w:lang w:eastAsia="zh-CN"/>
        </w:rPr>
        <w:t>漳平市救助站</w:t>
      </w:r>
      <w:r>
        <w:rPr>
          <w:rFonts w:hint="eastAsia" w:ascii="仿宋" w:hAnsi="仿宋" w:eastAsia="仿宋"/>
          <w:kern w:val="0"/>
          <w:sz w:val="32"/>
          <w:szCs w:val="32"/>
        </w:rPr>
        <w:t>采购预算总额</w:t>
      </w:r>
      <w:r>
        <w:rPr>
          <w:rFonts w:hint="eastAsia" w:ascii="仿宋" w:hAnsi="仿宋" w:eastAsia="仿宋"/>
          <w:kern w:val="0"/>
          <w:sz w:val="32"/>
          <w:szCs w:val="32"/>
          <w:lang w:val="en-US" w:eastAsia="zh-CN"/>
        </w:rPr>
        <w:t>34.8</w:t>
      </w:r>
      <w:r>
        <w:rPr>
          <w:rFonts w:hint="eastAsia" w:ascii="仿宋" w:hAnsi="仿宋" w:eastAsia="仿宋"/>
          <w:kern w:val="0"/>
          <w:sz w:val="32"/>
          <w:szCs w:val="32"/>
        </w:rPr>
        <w:t>万元，其中：政府采购货物预算</w:t>
      </w:r>
      <w:r>
        <w:rPr>
          <w:rFonts w:hint="eastAsia" w:ascii="仿宋" w:hAnsi="仿宋" w:eastAsia="仿宋"/>
          <w:kern w:val="0"/>
          <w:sz w:val="32"/>
          <w:szCs w:val="32"/>
          <w:lang w:val="en-US" w:eastAsia="zh-CN"/>
        </w:rPr>
        <w:t>0</w:t>
      </w:r>
      <w:r>
        <w:rPr>
          <w:rFonts w:hint="eastAsia" w:ascii="仿宋" w:hAnsi="仿宋" w:eastAsia="仿宋"/>
          <w:kern w:val="0"/>
          <w:sz w:val="32"/>
          <w:szCs w:val="32"/>
        </w:rPr>
        <w:t>万元、政府采购工程预算</w:t>
      </w:r>
      <w:r>
        <w:rPr>
          <w:rFonts w:hint="eastAsia" w:ascii="仿宋" w:hAnsi="仿宋" w:eastAsia="仿宋"/>
          <w:kern w:val="0"/>
          <w:sz w:val="32"/>
          <w:szCs w:val="32"/>
          <w:lang w:val="en-US" w:eastAsia="zh-CN"/>
        </w:rPr>
        <w:t>0</w:t>
      </w:r>
      <w:r>
        <w:rPr>
          <w:rFonts w:hint="eastAsia" w:ascii="仿宋" w:hAnsi="仿宋" w:eastAsia="仿宋"/>
          <w:kern w:val="0"/>
          <w:sz w:val="32"/>
          <w:szCs w:val="32"/>
        </w:rPr>
        <w:t>万元、政府采购服务预算</w:t>
      </w:r>
      <w:r>
        <w:rPr>
          <w:rFonts w:hint="eastAsia" w:ascii="仿宋" w:hAnsi="仿宋" w:eastAsia="仿宋"/>
          <w:kern w:val="0"/>
          <w:sz w:val="32"/>
          <w:szCs w:val="32"/>
          <w:lang w:val="en-US" w:eastAsia="zh-CN"/>
        </w:rPr>
        <w:t>34.8</w:t>
      </w:r>
      <w:r>
        <w:rPr>
          <w:rFonts w:hint="eastAsia" w:ascii="仿宋" w:hAnsi="仿宋" w:eastAsia="仿宋"/>
          <w:kern w:val="0"/>
          <w:sz w:val="32"/>
          <w:szCs w:val="32"/>
        </w:rPr>
        <w:t>万元。</w:t>
      </w:r>
    </w:p>
    <w:p>
      <w:pPr>
        <w:spacing w:line="600" w:lineRule="exact"/>
        <w:ind w:firstLine="642" w:firstLineChars="200"/>
        <w:rPr>
          <w:rFonts w:ascii="楷体" w:hAnsi="楷体" w:eastAsia="楷体"/>
          <w:b/>
          <w:sz w:val="32"/>
          <w:szCs w:val="32"/>
        </w:rPr>
      </w:pPr>
      <w:r>
        <w:rPr>
          <w:rFonts w:hint="eastAsia" w:ascii="楷体" w:hAnsi="楷体" w:eastAsia="楷体"/>
          <w:b/>
          <w:sz w:val="32"/>
          <w:szCs w:val="32"/>
        </w:rPr>
        <w:t>（三）国有资产占用使用情况</w:t>
      </w:r>
    </w:p>
    <w:p>
      <w:pPr>
        <w:spacing w:line="600" w:lineRule="exact"/>
        <w:ind w:firstLine="640" w:firstLineChars="200"/>
        <w:rPr>
          <w:rFonts w:ascii="仿宋" w:hAnsi="仿宋" w:eastAsia="仿宋" w:cs="仿宋_GB2312"/>
          <w:kern w:val="0"/>
          <w:sz w:val="32"/>
          <w:szCs w:val="32"/>
        </w:rPr>
      </w:pPr>
      <w:r>
        <w:rPr>
          <w:rFonts w:hint="eastAsia" w:ascii="仿宋" w:hAnsi="仿宋" w:eastAsia="仿宋"/>
          <w:sz w:val="32"/>
          <w:szCs w:val="32"/>
        </w:rPr>
        <w:t>截至</w:t>
      </w:r>
      <w:r>
        <w:rPr>
          <w:rFonts w:hint="eastAsia" w:ascii="仿宋" w:hAnsi="仿宋" w:eastAsia="仿宋" w:cs="仿宋_GB2312"/>
          <w:kern w:val="0"/>
          <w:sz w:val="32"/>
          <w:szCs w:val="32"/>
          <w:lang w:val="en-US" w:eastAsia="zh-CN"/>
        </w:rPr>
        <w:t>2024</w:t>
      </w:r>
      <w:r>
        <w:rPr>
          <w:rFonts w:hint="eastAsia" w:ascii="仿宋" w:hAnsi="仿宋" w:eastAsia="仿宋" w:cs="仿宋_GB2312"/>
          <w:kern w:val="0"/>
          <w:sz w:val="32"/>
          <w:szCs w:val="32"/>
        </w:rPr>
        <w:t>年12月31日，</w:t>
      </w:r>
      <w:r>
        <w:rPr>
          <w:rFonts w:hint="eastAsia" w:ascii="仿宋" w:hAnsi="仿宋" w:eastAsia="仿宋"/>
          <w:kern w:val="0"/>
          <w:sz w:val="32"/>
          <w:szCs w:val="32"/>
          <w:lang w:eastAsia="zh-CN"/>
        </w:rPr>
        <w:t>漳平市救助站</w:t>
      </w:r>
      <w:r>
        <w:rPr>
          <w:rFonts w:hint="eastAsia" w:ascii="仿宋" w:hAnsi="仿宋" w:eastAsia="仿宋"/>
          <w:sz w:val="32"/>
          <w:szCs w:val="32"/>
        </w:rPr>
        <w:t>共有车辆</w:t>
      </w:r>
      <w:r>
        <w:rPr>
          <w:rFonts w:hint="eastAsia" w:ascii="仿宋" w:hAnsi="仿宋" w:eastAsia="仿宋" w:cs="仿宋_GB2312"/>
          <w:kern w:val="0"/>
          <w:sz w:val="32"/>
          <w:szCs w:val="32"/>
          <w:lang w:val="en-US" w:eastAsia="zh-CN"/>
        </w:rPr>
        <w:t>1</w:t>
      </w:r>
      <w:r>
        <w:rPr>
          <w:rFonts w:hint="eastAsia" w:ascii="仿宋" w:hAnsi="仿宋" w:eastAsia="仿宋"/>
          <w:sz w:val="32"/>
          <w:szCs w:val="32"/>
        </w:rPr>
        <w:t>辆，其中：副部（省）级以上领导用车</w:t>
      </w:r>
      <w:r>
        <w:rPr>
          <w:rFonts w:hint="eastAsia" w:ascii="仿宋" w:hAnsi="仿宋" w:eastAsia="仿宋"/>
          <w:sz w:val="32"/>
          <w:szCs w:val="32"/>
          <w:lang w:val="en-US" w:eastAsia="zh-CN"/>
        </w:rPr>
        <w:t>0</w:t>
      </w:r>
      <w:r>
        <w:rPr>
          <w:rFonts w:hint="eastAsia" w:ascii="仿宋" w:hAnsi="仿宋" w:eastAsia="仿宋"/>
          <w:sz w:val="32"/>
          <w:szCs w:val="32"/>
        </w:rPr>
        <w:t>辆、主要领导干部用车</w:t>
      </w:r>
      <w:r>
        <w:rPr>
          <w:rFonts w:hint="eastAsia" w:ascii="仿宋" w:hAnsi="仿宋" w:eastAsia="仿宋"/>
          <w:sz w:val="32"/>
          <w:szCs w:val="32"/>
          <w:lang w:val="en-US" w:eastAsia="zh-CN"/>
        </w:rPr>
        <w:t>0</w:t>
      </w:r>
      <w:r>
        <w:rPr>
          <w:rFonts w:hint="eastAsia" w:ascii="仿宋" w:hAnsi="仿宋" w:eastAsia="仿宋"/>
          <w:sz w:val="32"/>
          <w:szCs w:val="32"/>
        </w:rPr>
        <w:t>辆、机要通信用车</w:t>
      </w:r>
      <w:r>
        <w:rPr>
          <w:rFonts w:hint="eastAsia" w:ascii="仿宋" w:hAnsi="仿宋" w:eastAsia="仿宋"/>
          <w:sz w:val="32"/>
          <w:szCs w:val="32"/>
          <w:lang w:val="en-US" w:eastAsia="zh-CN"/>
        </w:rPr>
        <w:t>0</w:t>
      </w:r>
      <w:r>
        <w:rPr>
          <w:rFonts w:hint="eastAsia" w:ascii="仿宋" w:hAnsi="仿宋" w:eastAsia="仿宋"/>
          <w:sz w:val="32"/>
          <w:szCs w:val="32"/>
        </w:rPr>
        <w:t>辆、应急保障用车</w:t>
      </w:r>
      <w:r>
        <w:rPr>
          <w:rFonts w:hint="eastAsia" w:ascii="仿宋" w:hAnsi="仿宋" w:eastAsia="仿宋"/>
          <w:sz w:val="32"/>
          <w:szCs w:val="32"/>
          <w:lang w:val="en-US" w:eastAsia="zh-CN"/>
        </w:rPr>
        <w:t>0</w:t>
      </w:r>
      <w:r>
        <w:rPr>
          <w:rFonts w:hint="eastAsia" w:ascii="仿宋" w:hAnsi="仿宋" w:eastAsia="仿宋"/>
          <w:sz w:val="32"/>
          <w:szCs w:val="32"/>
        </w:rPr>
        <w:t>辆、执法执勤用车</w:t>
      </w:r>
      <w:r>
        <w:rPr>
          <w:rFonts w:hint="eastAsia" w:ascii="仿宋" w:hAnsi="仿宋" w:eastAsia="仿宋"/>
          <w:sz w:val="32"/>
          <w:szCs w:val="32"/>
          <w:lang w:val="en-US" w:eastAsia="zh-CN"/>
        </w:rPr>
        <w:t>0</w:t>
      </w:r>
      <w:r>
        <w:rPr>
          <w:rFonts w:hint="eastAsia" w:ascii="仿宋" w:hAnsi="仿宋" w:eastAsia="仿宋"/>
          <w:sz w:val="32"/>
          <w:szCs w:val="32"/>
        </w:rPr>
        <w:t>辆、特种专业技术用车</w:t>
      </w:r>
      <w:r>
        <w:rPr>
          <w:rFonts w:hint="eastAsia" w:ascii="仿宋" w:hAnsi="仿宋" w:eastAsia="仿宋"/>
          <w:sz w:val="32"/>
          <w:szCs w:val="32"/>
          <w:lang w:val="en-US" w:eastAsia="zh-CN"/>
        </w:rPr>
        <w:t>0</w:t>
      </w:r>
      <w:r>
        <w:rPr>
          <w:rFonts w:hint="eastAsia" w:ascii="仿宋" w:hAnsi="仿宋" w:eastAsia="仿宋"/>
          <w:sz w:val="32"/>
          <w:szCs w:val="32"/>
        </w:rPr>
        <w:t>辆、离退休干部用车</w:t>
      </w:r>
      <w:r>
        <w:rPr>
          <w:rFonts w:hint="eastAsia" w:ascii="仿宋" w:hAnsi="仿宋" w:eastAsia="仿宋"/>
          <w:sz w:val="32"/>
          <w:szCs w:val="32"/>
          <w:lang w:val="en-US" w:eastAsia="zh-CN"/>
        </w:rPr>
        <w:t>0</w:t>
      </w:r>
      <w:r>
        <w:rPr>
          <w:rFonts w:hint="eastAsia" w:ascii="仿宋" w:hAnsi="仿宋" w:eastAsia="仿宋"/>
          <w:sz w:val="32"/>
          <w:szCs w:val="32"/>
        </w:rPr>
        <w:t>辆、其他用车</w:t>
      </w:r>
      <w:r>
        <w:rPr>
          <w:rFonts w:hint="eastAsia" w:ascii="仿宋" w:hAnsi="仿宋" w:eastAsia="仿宋"/>
          <w:sz w:val="32"/>
          <w:szCs w:val="32"/>
          <w:lang w:val="en-US" w:eastAsia="zh-CN"/>
        </w:rPr>
        <w:t>1</w:t>
      </w:r>
      <w:r>
        <w:rPr>
          <w:rFonts w:hint="eastAsia" w:ascii="仿宋" w:hAnsi="仿宋" w:eastAsia="仿宋"/>
          <w:sz w:val="32"/>
          <w:szCs w:val="32"/>
        </w:rPr>
        <w:t>辆。单位价值100万元（含）以上设备</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台（套）。</w:t>
      </w:r>
    </w:p>
    <w:p>
      <w:pPr>
        <w:ind w:firstLine="640" w:firstLineChars="200"/>
        <w:rPr>
          <w:rFonts w:ascii="仿宋" w:hAnsi="仿宋" w:eastAsia="仿宋" w:cs="楷体"/>
          <w:kern w:val="0"/>
          <w:sz w:val="32"/>
          <w:szCs w:val="32"/>
        </w:rPr>
      </w:pPr>
      <w:r>
        <w:rPr>
          <w:rFonts w:hint="eastAsia" w:ascii="仿宋" w:hAnsi="仿宋" w:eastAsia="仿宋" w:cs="楷体"/>
          <w:kern w:val="0"/>
          <w:sz w:val="32"/>
          <w:szCs w:val="32"/>
          <w:lang w:val="en-US" w:eastAsia="zh-CN"/>
        </w:rPr>
        <w:t>2025</w:t>
      </w:r>
      <w:r>
        <w:rPr>
          <w:rFonts w:hint="eastAsia" w:ascii="仿宋" w:hAnsi="仿宋" w:eastAsia="仿宋" w:cs="楷体"/>
          <w:kern w:val="0"/>
          <w:sz w:val="32"/>
          <w:szCs w:val="32"/>
        </w:rPr>
        <w:t>年</w:t>
      </w:r>
      <w:r>
        <w:rPr>
          <w:rFonts w:hint="eastAsia" w:ascii="仿宋" w:hAnsi="仿宋" w:eastAsia="仿宋" w:cs="楷体"/>
          <w:kern w:val="0"/>
          <w:sz w:val="32"/>
          <w:szCs w:val="32"/>
          <w:lang w:eastAsia="zh-CN"/>
        </w:rPr>
        <w:t>单位</w:t>
      </w:r>
      <w:r>
        <w:rPr>
          <w:rFonts w:hint="eastAsia" w:ascii="仿宋" w:hAnsi="仿宋" w:eastAsia="仿宋" w:cs="楷体"/>
          <w:kern w:val="0"/>
          <w:sz w:val="32"/>
          <w:szCs w:val="32"/>
        </w:rPr>
        <w:t>预算安排购置车辆</w:t>
      </w:r>
      <w:r>
        <w:rPr>
          <w:rFonts w:hint="eastAsia" w:ascii="仿宋" w:hAnsi="仿宋" w:eastAsia="仿宋" w:cs="仿宋_GB2312"/>
          <w:kern w:val="0"/>
          <w:sz w:val="32"/>
          <w:szCs w:val="32"/>
          <w:lang w:val="en-US" w:eastAsia="zh-CN"/>
        </w:rPr>
        <w:t>0</w:t>
      </w:r>
      <w:r>
        <w:rPr>
          <w:rFonts w:hint="eastAsia" w:ascii="仿宋" w:hAnsi="仿宋" w:eastAsia="仿宋"/>
          <w:sz w:val="32"/>
          <w:szCs w:val="32"/>
        </w:rPr>
        <w:t>辆，其中：</w:t>
      </w:r>
      <w:r>
        <w:rPr>
          <w:rFonts w:hint="eastAsia" w:ascii="仿宋" w:hAnsi="仿宋" w:eastAsia="仿宋" w:cs="仿宋_GB2312"/>
          <w:kern w:val="0"/>
          <w:sz w:val="32"/>
          <w:szCs w:val="32"/>
        </w:rPr>
        <w:t>副部（省）级以上领导用车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辆、主要领导干部用车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辆、机要通信用车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辆、应急保障用车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辆、执法执勤用车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辆、特种专业技术用车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辆、离退休干部用车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辆、其他用车</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辆。</w:t>
      </w:r>
      <w:r>
        <w:rPr>
          <w:rFonts w:hint="eastAsia" w:ascii="仿宋" w:hAnsi="仿宋" w:eastAsia="仿宋"/>
          <w:sz w:val="32"/>
          <w:szCs w:val="32"/>
        </w:rPr>
        <w:t>单位价值100万元（含）以上设备</w:t>
      </w:r>
      <w:r>
        <w:rPr>
          <w:rFonts w:hint="eastAsia" w:ascii="仿宋" w:hAnsi="仿宋" w:eastAsia="仿宋" w:cs="仿宋_GB2312"/>
          <w:kern w:val="0"/>
          <w:sz w:val="32"/>
          <w:szCs w:val="32"/>
          <w:lang w:val="en-US" w:eastAsia="zh-CN"/>
        </w:rPr>
        <w:t>0</w:t>
      </w:r>
      <w:r>
        <w:rPr>
          <w:rFonts w:hint="eastAsia" w:ascii="仿宋" w:hAnsi="仿宋" w:eastAsia="仿宋" w:cs="仿宋_GB2312"/>
          <w:kern w:val="0"/>
          <w:sz w:val="32"/>
          <w:szCs w:val="32"/>
        </w:rPr>
        <w:t>台（套）。</w:t>
      </w:r>
    </w:p>
    <w:p>
      <w:pPr>
        <w:ind w:firstLine="640" w:firstLineChars="200"/>
        <w:rPr>
          <w:rFonts w:ascii="仿宋" w:hAnsi="仿宋" w:eastAsia="仿宋" w:cs="仿宋_GB2312"/>
          <w:kern w:val="0"/>
          <w:sz w:val="32"/>
          <w:szCs w:val="32"/>
        </w:rPr>
      </w:pPr>
    </w:p>
    <w:p>
      <w:pPr>
        <w:jc w:val="center"/>
        <w:rPr>
          <w:rFonts w:asciiTheme="majorEastAsia" w:hAnsiTheme="majorEastAsia" w:eastAsiaTheme="majorEastAsia"/>
          <w:b/>
          <w:sz w:val="40"/>
        </w:rPr>
        <w:sectPr>
          <w:pgSz w:w="11906" w:h="16838"/>
          <w:pgMar w:top="1440" w:right="1800" w:bottom="1440" w:left="1800" w:header="851" w:footer="992" w:gutter="0"/>
          <w:cols w:space="425" w:num="1"/>
          <w:docGrid w:type="lines" w:linePitch="312" w:charSpace="0"/>
        </w:sectPr>
      </w:pPr>
    </w:p>
    <w:p>
      <w:pPr>
        <w:jc w:val="center"/>
        <w:rPr>
          <w:rFonts w:ascii="黑体" w:hAnsi="黑体" w:eastAsia="黑体"/>
          <w:sz w:val="56"/>
        </w:rPr>
      </w:pPr>
    </w:p>
    <w:p>
      <w:pPr>
        <w:jc w:val="center"/>
        <w:rPr>
          <w:rFonts w:ascii="黑体" w:hAnsi="黑体" w:eastAsia="黑体"/>
          <w:sz w:val="56"/>
        </w:rPr>
      </w:pPr>
    </w:p>
    <w:p>
      <w:pPr>
        <w:jc w:val="center"/>
        <w:rPr>
          <w:rFonts w:ascii="黑体" w:hAnsi="黑体" w:eastAsia="黑体"/>
          <w:sz w:val="56"/>
        </w:rPr>
      </w:pPr>
    </w:p>
    <w:p>
      <w:pPr>
        <w:jc w:val="center"/>
        <w:rPr>
          <w:rFonts w:ascii="黑体" w:hAnsi="黑体" w:eastAsia="黑体"/>
          <w:sz w:val="56"/>
        </w:rPr>
      </w:pPr>
    </w:p>
    <w:p>
      <w:pPr>
        <w:jc w:val="center"/>
        <w:rPr>
          <w:rFonts w:ascii="黑体" w:hAnsi="黑体" w:eastAsia="黑体"/>
          <w:sz w:val="56"/>
        </w:rPr>
      </w:pPr>
    </w:p>
    <w:p>
      <w:pPr>
        <w:jc w:val="left"/>
        <w:rPr>
          <w:rFonts w:ascii="黑体" w:hAnsi="黑体" w:eastAsia="黑体"/>
          <w:sz w:val="56"/>
        </w:rPr>
      </w:pPr>
      <w:r>
        <w:rPr>
          <w:rFonts w:hint="eastAsia" w:ascii="黑体" w:hAnsi="黑体" w:eastAsia="黑体"/>
          <w:sz w:val="56"/>
        </w:rPr>
        <w:t>第四部分</w:t>
      </w:r>
      <w:r>
        <w:rPr>
          <w:rFonts w:ascii="黑体" w:hAnsi="黑体" w:eastAsia="黑体"/>
          <w:sz w:val="56"/>
        </w:rPr>
        <w:t xml:space="preserve"> </w:t>
      </w:r>
    </w:p>
    <w:p>
      <w:pPr>
        <w:jc w:val="center"/>
        <w:rPr>
          <w:rFonts w:ascii="黑体" w:hAnsi="黑体" w:eastAsia="黑体"/>
          <w:sz w:val="56"/>
        </w:rPr>
      </w:pPr>
      <w:r>
        <w:rPr>
          <w:rFonts w:hint="eastAsia" w:ascii="黑体" w:hAnsi="黑体" w:eastAsia="黑体"/>
          <w:sz w:val="56"/>
        </w:rPr>
        <w:t>名词解释</w:t>
      </w:r>
    </w:p>
    <w:p>
      <w:pPr>
        <w:jc w:val="center"/>
        <w:rPr>
          <w:rFonts w:asciiTheme="majorEastAsia" w:hAnsiTheme="majorEastAsia" w:eastAsiaTheme="majorEastAsia"/>
          <w:b/>
          <w:sz w:val="40"/>
        </w:rPr>
      </w:pPr>
    </w:p>
    <w:p>
      <w:pPr>
        <w:spacing w:line="600" w:lineRule="exact"/>
        <w:ind w:firstLine="707" w:firstLineChars="221"/>
        <w:rPr>
          <w:rFonts w:ascii="仿宋" w:hAnsi="仿宋" w:eastAsia="仿宋" w:cs="仿宋"/>
          <w:color w:val="000000"/>
          <w:kern w:val="0"/>
          <w:sz w:val="32"/>
          <w:szCs w:val="32"/>
        </w:rPr>
        <w:sectPr>
          <w:pgSz w:w="11906" w:h="16838"/>
          <w:pgMar w:top="1440" w:right="1800" w:bottom="1440" w:left="1800" w:header="851" w:footer="992" w:gutter="0"/>
          <w:cols w:space="425" w:num="1"/>
          <w:docGrid w:type="lines" w:linePitch="312" w:charSpace="0"/>
        </w:sectPr>
      </w:pPr>
    </w:p>
    <w:p>
      <w:pPr>
        <w:spacing w:line="600" w:lineRule="exact"/>
        <w:ind w:firstLine="709"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一、财政拨款收入：</w:t>
      </w:r>
      <w:r>
        <w:rPr>
          <w:rFonts w:hint="eastAsia" w:ascii="仿宋" w:hAnsi="仿宋" w:eastAsia="仿宋" w:cs="仿宋"/>
          <w:color w:val="000000"/>
          <w:kern w:val="0"/>
          <w:sz w:val="32"/>
          <w:szCs w:val="32"/>
        </w:rPr>
        <w:t>指财政当年拨付的资金，包括一般公共预算拨款收入、政府性基金预算拨款收入、国有资本经营预算拨款收入。</w:t>
      </w:r>
      <w:r>
        <w:rPr>
          <w:rFonts w:ascii="仿宋" w:hAnsi="仿宋" w:eastAsia="仿宋" w:cs="仿宋"/>
          <w:color w:val="000000"/>
          <w:kern w:val="0"/>
          <w:sz w:val="32"/>
          <w:szCs w:val="32"/>
        </w:rPr>
        <w:t xml:space="preserve"> </w:t>
      </w:r>
    </w:p>
    <w:p>
      <w:pPr>
        <w:spacing w:line="600" w:lineRule="exact"/>
        <w:ind w:firstLine="709"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二、事业收入：</w:t>
      </w:r>
      <w:r>
        <w:rPr>
          <w:rFonts w:hint="eastAsia" w:ascii="仿宋" w:hAnsi="仿宋" w:eastAsia="仿宋" w:cs="仿宋"/>
          <w:color w:val="000000"/>
          <w:kern w:val="0"/>
          <w:sz w:val="32"/>
          <w:szCs w:val="32"/>
        </w:rPr>
        <w:t>指事业单位开展专业业务活动及辅助活动所取得的收入。</w:t>
      </w:r>
    </w:p>
    <w:p>
      <w:pPr>
        <w:spacing w:line="600" w:lineRule="exact"/>
        <w:ind w:firstLine="709"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三、事业单位经营收入：</w:t>
      </w:r>
      <w:r>
        <w:rPr>
          <w:rFonts w:hint="eastAsia" w:ascii="仿宋" w:hAnsi="仿宋" w:eastAsia="仿宋" w:cs="仿宋"/>
          <w:color w:val="000000"/>
          <w:kern w:val="0"/>
          <w:sz w:val="32"/>
          <w:szCs w:val="32"/>
        </w:rPr>
        <w:t>指事业单位在专业业务活动及其辅助活动之外开展非独立核算经营活动取得的收入。</w:t>
      </w:r>
      <w:r>
        <w:rPr>
          <w:rFonts w:ascii="仿宋" w:hAnsi="仿宋" w:eastAsia="仿宋" w:cs="仿宋"/>
          <w:color w:val="000000"/>
          <w:kern w:val="0"/>
          <w:sz w:val="32"/>
          <w:szCs w:val="32"/>
        </w:rPr>
        <w:t xml:space="preserve"> </w:t>
      </w:r>
    </w:p>
    <w:p>
      <w:pPr>
        <w:spacing w:line="600" w:lineRule="exact"/>
        <w:ind w:firstLine="709"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四、其他收入：</w:t>
      </w:r>
      <w:r>
        <w:rPr>
          <w:rFonts w:hint="eastAsia" w:ascii="仿宋" w:hAnsi="仿宋" w:eastAsia="仿宋" w:cs="仿宋"/>
          <w:color w:val="000000"/>
          <w:kern w:val="0"/>
          <w:sz w:val="32"/>
          <w:szCs w:val="32"/>
        </w:rPr>
        <w:t>指除上述</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财政拨款收入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事业收入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事业单位经营收入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等以外的收入。主要是事业单位固定资产出租收入、存款利息收入等。</w:t>
      </w:r>
      <w:r>
        <w:rPr>
          <w:rFonts w:ascii="仿宋" w:hAnsi="仿宋" w:eastAsia="仿宋" w:cs="仿宋"/>
          <w:color w:val="000000"/>
          <w:kern w:val="0"/>
          <w:sz w:val="32"/>
          <w:szCs w:val="32"/>
        </w:rPr>
        <w:t xml:space="preserve"> </w:t>
      </w:r>
    </w:p>
    <w:p>
      <w:pPr>
        <w:spacing w:line="600" w:lineRule="exact"/>
        <w:ind w:firstLine="642" w:firstLineChars="200"/>
        <w:rPr>
          <w:rFonts w:ascii="仿宋" w:hAnsi="仿宋" w:eastAsia="仿宋" w:cs="仿宋"/>
          <w:color w:val="000000"/>
          <w:kern w:val="0"/>
          <w:sz w:val="32"/>
          <w:szCs w:val="32"/>
        </w:rPr>
      </w:pPr>
      <w:r>
        <w:rPr>
          <w:rFonts w:hint="eastAsia" w:ascii="仿宋" w:hAnsi="仿宋" w:eastAsia="仿宋" w:cs="仿宋"/>
          <w:b/>
          <w:color w:val="000000"/>
          <w:kern w:val="0"/>
          <w:sz w:val="32"/>
          <w:szCs w:val="32"/>
        </w:rPr>
        <w:t>五、结转结余资金：</w:t>
      </w:r>
      <w:r>
        <w:rPr>
          <w:rFonts w:hint="eastAsia" w:ascii="仿宋" w:hAnsi="仿宋" w:eastAsia="仿宋" w:cs="仿宋"/>
          <w:color w:val="000000"/>
          <w:kern w:val="0"/>
          <w:sz w:val="32"/>
          <w:szCs w:val="32"/>
        </w:rPr>
        <w:t>指以前年度尚未完成、结转到本年仍按原规定用途继续使用的资金，或项目已完成等产生的结余资金。</w:t>
      </w:r>
    </w:p>
    <w:p>
      <w:pPr>
        <w:pStyle w:val="12"/>
        <w:spacing w:line="600" w:lineRule="exact"/>
        <w:ind w:firstLine="640"/>
        <w:rPr>
          <w:rFonts w:hAnsi="仿宋"/>
          <w:sz w:val="32"/>
          <w:szCs w:val="32"/>
        </w:rPr>
      </w:pPr>
      <w:r>
        <w:rPr>
          <w:rFonts w:hint="eastAsia" w:hAnsi="仿宋"/>
          <w:b/>
          <w:sz w:val="32"/>
          <w:szCs w:val="32"/>
        </w:rPr>
        <w:t>六、基本支出：</w:t>
      </w:r>
      <w:r>
        <w:rPr>
          <w:rFonts w:hint="eastAsia" w:hAnsi="仿宋"/>
          <w:sz w:val="32"/>
          <w:szCs w:val="32"/>
        </w:rPr>
        <w:t>指为保障机构正常运转、完成日常工作任务而发生的人员支出和公用支出。</w:t>
      </w:r>
      <w:r>
        <w:rPr>
          <w:rFonts w:hAnsi="仿宋"/>
          <w:sz w:val="32"/>
          <w:szCs w:val="32"/>
        </w:rPr>
        <w:t xml:space="preserve"> </w:t>
      </w:r>
    </w:p>
    <w:p>
      <w:pPr>
        <w:pStyle w:val="12"/>
        <w:spacing w:line="600" w:lineRule="exact"/>
        <w:ind w:firstLine="640"/>
        <w:rPr>
          <w:rFonts w:hAnsi="仿宋"/>
          <w:sz w:val="32"/>
          <w:szCs w:val="32"/>
        </w:rPr>
      </w:pPr>
      <w:r>
        <w:rPr>
          <w:rFonts w:hint="eastAsia" w:hAnsi="仿宋"/>
          <w:b/>
          <w:sz w:val="32"/>
          <w:szCs w:val="32"/>
        </w:rPr>
        <w:t>七、项目支出：</w:t>
      </w:r>
      <w:r>
        <w:rPr>
          <w:rFonts w:hint="eastAsia" w:hAnsi="仿宋"/>
          <w:sz w:val="32"/>
          <w:szCs w:val="32"/>
        </w:rPr>
        <w:t>指在基本支出之外为完成特定行政任务或事业发展目标所发生的支出。</w:t>
      </w:r>
      <w:r>
        <w:rPr>
          <w:rFonts w:hAnsi="仿宋"/>
          <w:sz w:val="32"/>
          <w:szCs w:val="32"/>
        </w:rPr>
        <w:t xml:space="preserve"> </w:t>
      </w:r>
    </w:p>
    <w:p>
      <w:pPr>
        <w:pStyle w:val="12"/>
        <w:spacing w:line="600" w:lineRule="exact"/>
        <w:ind w:firstLine="640"/>
        <w:rPr>
          <w:rFonts w:hAnsi="仿宋"/>
          <w:sz w:val="32"/>
          <w:szCs w:val="32"/>
        </w:rPr>
      </w:pPr>
      <w:r>
        <w:rPr>
          <w:rFonts w:hint="eastAsia" w:hAnsi="仿宋"/>
          <w:b/>
          <w:sz w:val="32"/>
          <w:szCs w:val="32"/>
        </w:rPr>
        <w:t>八、事业单位经营支出：</w:t>
      </w:r>
      <w:r>
        <w:rPr>
          <w:rFonts w:hint="eastAsia" w:hAnsi="仿宋"/>
          <w:sz w:val="32"/>
          <w:szCs w:val="32"/>
        </w:rPr>
        <w:t>指事业单位在专业业务活动及其辅助活动之外开展非独立核算经营活动发生的支出。</w:t>
      </w:r>
      <w:r>
        <w:rPr>
          <w:rFonts w:hAnsi="仿宋"/>
          <w:sz w:val="32"/>
          <w:szCs w:val="32"/>
        </w:rPr>
        <w:t xml:space="preserve"> </w:t>
      </w:r>
    </w:p>
    <w:p>
      <w:pPr>
        <w:pStyle w:val="12"/>
        <w:spacing w:line="600" w:lineRule="exact"/>
        <w:ind w:firstLine="640"/>
        <w:rPr>
          <w:rFonts w:hAnsi="仿宋"/>
          <w:sz w:val="32"/>
          <w:szCs w:val="32"/>
        </w:rPr>
      </w:pPr>
      <w:r>
        <w:rPr>
          <w:rFonts w:hint="eastAsia" w:hAnsi="仿宋"/>
          <w:b/>
          <w:sz w:val="32"/>
          <w:szCs w:val="32"/>
        </w:rPr>
        <w:t>九、上缴上级支出：</w:t>
      </w:r>
      <w:r>
        <w:rPr>
          <w:rFonts w:hint="eastAsia" w:hAnsi="仿宋"/>
          <w:sz w:val="32"/>
          <w:szCs w:val="32"/>
        </w:rPr>
        <w:t>指下级单位上缴上级的支出。</w:t>
      </w:r>
    </w:p>
    <w:p>
      <w:pPr>
        <w:pStyle w:val="12"/>
        <w:spacing w:line="600" w:lineRule="exact"/>
        <w:ind w:firstLine="640"/>
        <w:rPr>
          <w:rFonts w:hAnsi="仿宋"/>
          <w:sz w:val="32"/>
          <w:szCs w:val="32"/>
        </w:rPr>
      </w:pPr>
      <w:r>
        <w:rPr>
          <w:rFonts w:hint="eastAsia" w:hAnsi="仿宋"/>
          <w:b/>
          <w:sz w:val="32"/>
          <w:szCs w:val="32"/>
        </w:rPr>
        <w:t>十、对附属单位补助支出：</w:t>
      </w:r>
      <w:r>
        <w:rPr>
          <w:rFonts w:hint="eastAsia" w:hAnsi="仿宋"/>
          <w:sz w:val="32"/>
          <w:szCs w:val="32"/>
        </w:rPr>
        <w:t>指对下级单位补助发生的支出。</w:t>
      </w:r>
    </w:p>
    <w:p>
      <w:pPr>
        <w:pStyle w:val="12"/>
        <w:spacing w:line="600" w:lineRule="exact"/>
        <w:ind w:firstLine="640"/>
        <w:rPr>
          <w:rFonts w:hAnsi="仿宋"/>
          <w:sz w:val="32"/>
          <w:szCs w:val="32"/>
        </w:rPr>
      </w:pPr>
      <w:r>
        <w:rPr>
          <w:rFonts w:hint="eastAsia" w:hAnsi="仿宋"/>
          <w:b/>
          <w:sz w:val="32"/>
          <w:szCs w:val="32"/>
        </w:rPr>
        <w:t>十一、</w:t>
      </w:r>
      <w:r>
        <w:rPr>
          <w:rFonts w:hAnsi="仿宋"/>
          <w:b/>
          <w:sz w:val="32"/>
          <w:szCs w:val="32"/>
        </w:rPr>
        <w:t>“</w:t>
      </w:r>
      <w:r>
        <w:rPr>
          <w:rFonts w:hint="eastAsia" w:hAnsi="仿宋"/>
          <w:b/>
          <w:sz w:val="32"/>
          <w:szCs w:val="32"/>
        </w:rPr>
        <w:t>三公</w:t>
      </w:r>
      <w:r>
        <w:rPr>
          <w:rFonts w:hAnsi="仿宋"/>
          <w:b/>
          <w:sz w:val="32"/>
          <w:szCs w:val="32"/>
        </w:rPr>
        <w:t>”</w:t>
      </w:r>
      <w:r>
        <w:rPr>
          <w:rFonts w:hint="eastAsia" w:hAnsi="仿宋"/>
          <w:b/>
          <w:sz w:val="32"/>
          <w:szCs w:val="32"/>
        </w:rPr>
        <w:t>经费：</w:t>
      </w:r>
      <w:r>
        <w:rPr>
          <w:rFonts w:hint="eastAsia" w:hAnsi="仿宋"/>
          <w:sz w:val="32"/>
          <w:szCs w:val="32"/>
        </w:rPr>
        <w:t>纳入财政预决算管理的</w:t>
      </w:r>
      <w:r>
        <w:rPr>
          <w:rFonts w:hAnsi="仿宋"/>
          <w:sz w:val="32"/>
          <w:szCs w:val="32"/>
        </w:rPr>
        <w:t>“</w:t>
      </w:r>
      <w:r>
        <w:rPr>
          <w:rFonts w:hint="eastAsia" w:hAnsi="仿宋"/>
          <w:sz w:val="32"/>
          <w:szCs w:val="32"/>
        </w:rPr>
        <w:t>三公</w:t>
      </w:r>
      <w:r>
        <w:rPr>
          <w:rFonts w:hAnsi="仿宋"/>
          <w:sz w:val="32"/>
          <w:szCs w:val="32"/>
        </w:rPr>
        <w:t>”</w:t>
      </w:r>
      <w:r>
        <w:rPr>
          <w:rFonts w:hint="eastAsia" w:hAnsi="仿宋"/>
          <w:sz w:val="32"/>
          <w:szCs w:val="32"/>
        </w:rPr>
        <w:t>经费，是指使用财政拨款安排的因公出国（境）费、公务用车购置及运行费和公务接待费。其中，因公出国（境）费反映单位公务出国（境）的国际旅费、国外城市间交通费、住宿费、伙食费、培训费、公杂费等支出；公务用车购置及运行费，指单位公务用车购置支出</w:t>
      </w:r>
      <w:r>
        <w:rPr>
          <w:rFonts w:hAnsi="仿宋"/>
          <w:sz w:val="32"/>
          <w:szCs w:val="32"/>
        </w:rPr>
        <w:t>(</w:t>
      </w:r>
      <w:r>
        <w:rPr>
          <w:rFonts w:hint="eastAsia" w:hAnsi="仿宋"/>
          <w:sz w:val="32"/>
          <w:szCs w:val="32"/>
        </w:rPr>
        <w:t>含车辆购置税、牌照费</w:t>
      </w:r>
      <w:r>
        <w:rPr>
          <w:rFonts w:hAnsi="仿宋"/>
          <w:sz w:val="32"/>
          <w:szCs w:val="32"/>
        </w:rPr>
        <w:t>)</w:t>
      </w:r>
      <w:r>
        <w:rPr>
          <w:rFonts w:hint="eastAsia" w:hAnsi="仿宋"/>
          <w:sz w:val="32"/>
          <w:szCs w:val="32"/>
        </w:rPr>
        <w:t>及燃料费、维修费、过桥过路费、保险费、安全奖励费用等支出；公务接待费反映单位按规定开支的各类公务接待（含外宾接待）支出。</w:t>
      </w:r>
      <w:r>
        <w:rPr>
          <w:rFonts w:hAnsi="仿宋"/>
          <w:sz w:val="32"/>
          <w:szCs w:val="32"/>
        </w:rPr>
        <w:t xml:space="preserve"> </w:t>
      </w:r>
    </w:p>
    <w:p>
      <w:pPr>
        <w:ind w:firstLine="642" w:firstLineChars="200"/>
        <w:jc w:val="left"/>
        <w:rPr>
          <w:rFonts w:asciiTheme="majorEastAsia" w:hAnsiTheme="majorEastAsia" w:eastAsiaTheme="majorEastAsia"/>
          <w:b/>
          <w:sz w:val="40"/>
        </w:rPr>
      </w:pPr>
      <w:r>
        <w:rPr>
          <w:rFonts w:hint="eastAsia" w:ascii="仿宋" w:hAnsi="仿宋" w:eastAsia="仿宋"/>
          <w:b/>
          <w:sz w:val="32"/>
          <w:szCs w:val="32"/>
        </w:rPr>
        <w:t>十二、机关运行经费：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jc w:val="cente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GWZT-EN"/>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GWZT-EN"/>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GWZT-EN">
    <w:panose1 w:val="020204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00000001" w:usb1="08000000" w:usb2="00000000" w:usb3="00000000" w:csb0="00040000" w:csb1="00000000"/>
  </w:font>
  <w:font w:name="微软雅黑">
    <w:altName w:val="黑体"/>
    <w:panose1 w:val="00000000000000000000"/>
    <w:charset w:val="00"/>
    <w:family w:val="auto"/>
    <w:pitch w:val="default"/>
    <w:sig w:usb0="00000000" w:usb1="00000000" w:usb2="00000000" w:usb3="00000000" w:csb0="00000000" w:csb1="00000000"/>
  </w:font>
  <w:font w:name="Tahoma">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EndPr>
      <w:rPr>
        <w:rFonts w:ascii="宋体" w:hAnsi="宋体" w:eastAsia="宋体"/>
        <w:sz w:val="28"/>
        <w:szCs w:val="28"/>
      </w:rPr>
    </w:sdtEndPr>
    <w:sdtContent>
      <w:p>
        <w:pPr>
          <w:pStyle w:val="4"/>
          <w:jc w:val="center"/>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36</w:t>
        </w:r>
        <w:r>
          <w:rPr>
            <w:rFonts w:ascii="宋体" w:hAnsi="宋体" w:eastAsia="宋体"/>
            <w:sz w:val="28"/>
            <w:szCs w:val="2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jc w:val="both"/>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5A1229"/>
    <w:multiLevelType w:val="singleLevel"/>
    <w:tmpl w:val="8E5A1229"/>
    <w:lvl w:ilvl="0" w:tentative="0">
      <w:start w:val="1"/>
      <w:numFmt w:val="chineseCounting"/>
      <w:suff w:val="nothing"/>
      <w:lvlText w:val="（%1）"/>
      <w:lvlJc w:val="left"/>
      <w:rPr>
        <w:rFonts w:hint="eastAsia"/>
      </w:rPr>
    </w:lvl>
  </w:abstractNum>
  <w:abstractNum w:abstractNumId="1">
    <w:nsid w:val="6B472C3A"/>
    <w:multiLevelType w:val="singleLevel"/>
    <w:tmpl w:val="6B472C3A"/>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7140"/>
    <w:rsid w:val="000000B0"/>
    <w:rsid w:val="000137C6"/>
    <w:rsid w:val="00015F8A"/>
    <w:rsid w:val="00021833"/>
    <w:rsid w:val="00033F71"/>
    <w:rsid w:val="0003780F"/>
    <w:rsid w:val="000470A9"/>
    <w:rsid w:val="00050A65"/>
    <w:rsid w:val="00080CC1"/>
    <w:rsid w:val="0008592D"/>
    <w:rsid w:val="00085F2B"/>
    <w:rsid w:val="00096056"/>
    <w:rsid w:val="000B35CC"/>
    <w:rsid w:val="000C0D0F"/>
    <w:rsid w:val="00105219"/>
    <w:rsid w:val="001315FC"/>
    <w:rsid w:val="00134215"/>
    <w:rsid w:val="0014464B"/>
    <w:rsid w:val="00145976"/>
    <w:rsid w:val="001569B3"/>
    <w:rsid w:val="00162161"/>
    <w:rsid w:val="00167378"/>
    <w:rsid w:val="00172CC0"/>
    <w:rsid w:val="00176507"/>
    <w:rsid w:val="001767B3"/>
    <w:rsid w:val="001A47A7"/>
    <w:rsid w:val="001A5903"/>
    <w:rsid w:val="001B45ED"/>
    <w:rsid w:val="001D4196"/>
    <w:rsid w:val="001E0090"/>
    <w:rsid w:val="001E2339"/>
    <w:rsid w:val="001F391B"/>
    <w:rsid w:val="002020AE"/>
    <w:rsid w:val="00221F98"/>
    <w:rsid w:val="002243EF"/>
    <w:rsid w:val="002311C9"/>
    <w:rsid w:val="00240977"/>
    <w:rsid w:val="00244E2B"/>
    <w:rsid w:val="00245FED"/>
    <w:rsid w:val="002562C1"/>
    <w:rsid w:val="00264B96"/>
    <w:rsid w:val="00290C77"/>
    <w:rsid w:val="002B1982"/>
    <w:rsid w:val="002B699A"/>
    <w:rsid w:val="002D3F89"/>
    <w:rsid w:val="002E123F"/>
    <w:rsid w:val="002F0ECE"/>
    <w:rsid w:val="002F1995"/>
    <w:rsid w:val="002F1B6F"/>
    <w:rsid w:val="00305616"/>
    <w:rsid w:val="00311E91"/>
    <w:rsid w:val="00312014"/>
    <w:rsid w:val="00317140"/>
    <w:rsid w:val="003322AE"/>
    <w:rsid w:val="00334F93"/>
    <w:rsid w:val="00353125"/>
    <w:rsid w:val="00355BAB"/>
    <w:rsid w:val="00360D9A"/>
    <w:rsid w:val="00381D4F"/>
    <w:rsid w:val="003B2C9B"/>
    <w:rsid w:val="003B798E"/>
    <w:rsid w:val="003C2183"/>
    <w:rsid w:val="00405EA3"/>
    <w:rsid w:val="00414790"/>
    <w:rsid w:val="0042125F"/>
    <w:rsid w:val="00421FB1"/>
    <w:rsid w:val="00434CBE"/>
    <w:rsid w:val="00442172"/>
    <w:rsid w:val="00445C9B"/>
    <w:rsid w:val="0044633A"/>
    <w:rsid w:val="004D696A"/>
    <w:rsid w:val="004F0B75"/>
    <w:rsid w:val="00504A24"/>
    <w:rsid w:val="005354CD"/>
    <w:rsid w:val="00535E87"/>
    <w:rsid w:val="00560B0B"/>
    <w:rsid w:val="00577AEF"/>
    <w:rsid w:val="00584849"/>
    <w:rsid w:val="005A69E4"/>
    <w:rsid w:val="005B00AC"/>
    <w:rsid w:val="005B1EBF"/>
    <w:rsid w:val="005D7140"/>
    <w:rsid w:val="00606548"/>
    <w:rsid w:val="00606A72"/>
    <w:rsid w:val="006354A5"/>
    <w:rsid w:val="00645111"/>
    <w:rsid w:val="006A5A31"/>
    <w:rsid w:val="006B70C6"/>
    <w:rsid w:val="006C4713"/>
    <w:rsid w:val="006F1EE5"/>
    <w:rsid w:val="007015F0"/>
    <w:rsid w:val="007030FB"/>
    <w:rsid w:val="00723EF2"/>
    <w:rsid w:val="00743C81"/>
    <w:rsid w:val="00753E47"/>
    <w:rsid w:val="00760DCF"/>
    <w:rsid w:val="00763A54"/>
    <w:rsid w:val="00773637"/>
    <w:rsid w:val="00775567"/>
    <w:rsid w:val="007A30B9"/>
    <w:rsid w:val="007B32F9"/>
    <w:rsid w:val="007C60CF"/>
    <w:rsid w:val="00800C7B"/>
    <w:rsid w:val="00804D1C"/>
    <w:rsid w:val="0080527E"/>
    <w:rsid w:val="008071E4"/>
    <w:rsid w:val="008519DD"/>
    <w:rsid w:val="00855527"/>
    <w:rsid w:val="0086239A"/>
    <w:rsid w:val="008763D2"/>
    <w:rsid w:val="00880C2D"/>
    <w:rsid w:val="008870DD"/>
    <w:rsid w:val="008906D2"/>
    <w:rsid w:val="008A73C5"/>
    <w:rsid w:val="008A7421"/>
    <w:rsid w:val="008D5DFA"/>
    <w:rsid w:val="008D6F87"/>
    <w:rsid w:val="008E3CBD"/>
    <w:rsid w:val="00937A03"/>
    <w:rsid w:val="0094672F"/>
    <w:rsid w:val="009739A9"/>
    <w:rsid w:val="009756CF"/>
    <w:rsid w:val="0098386D"/>
    <w:rsid w:val="009C7FB5"/>
    <w:rsid w:val="009D76A4"/>
    <w:rsid w:val="00A0449D"/>
    <w:rsid w:val="00A10948"/>
    <w:rsid w:val="00A122A0"/>
    <w:rsid w:val="00A22731"/>
    <w:rsid w:val="00A23912"/>
    <w:rsid w:val="00A304F7"/>
    <w:rsid w:val="00A36EAA"/>
    <w:rsid w:val="00A403DC"/>
    <w:rsid w:val="00A4118D"/>
    <w:rsid w:val="00A6048C"/>
    <w:rsid w:val="00A818C9"/>
    <w:rsid w:val="00A855BE"/>
    <w:rsid w:val="00AA455B"/>
    <w:rsid w:val="00AB1283"/>
    <w:rsid w:val="00AB1C5D"/>
    <w:rsid w:val="00AB691F"/>
    <w:rsid w:val="00AD7433"/>
    <w:rsid w:val="00B07727"/>
    <w:rsid w:val="00B43BCC"/>
    <w:rsid w:val="00B47684"/>
    <w:rsid w:val="00B67551"/>
    <w:rsid w:val="00B713B9"/>
    <w:rsid w:val="00B80A6F"/>
    <w:rsid w:val="00B83C27"/>
    <w:rsid w:val="00BF6327"/>
    <w:rsid w:val="00BF7317"/>
    <w:rsid w:val="00C02DE3"/>
    <w:rsid w:val="00C16FD3"/>
    <w:rsid w:val="00C33A0A"/>
    <w:rsid w:val="00C40AE7"/>
    <w:rsid w:val="00C43C36"/>
    <w:rsid w:val="00C7095D"/>
    <w:rsid w:val="00C82173"/>
    <w:rsid w:val="00C9493F"/>
    <w:rsid w:val="00CA39A1"/>
    <w:rsid w:val="00CC6B40"/>
    <w:rsid w:val="00D15C3B"/>
    <w:rsid w:val="00D208E9"/>
    <w:rsid w:val="00D4799A"/>
    <w:rsid w:val="00D90E4B"/>
    <w:rsid w:val="00D95257"/>
    <w:rsid w:val="00DD0E76"/>
    <w:rsid w:val="00DD596A"/>
    <w:rsid w:val="00DF317E"/>
    <w:rsid w:val="00E005FB"/>
    <w:rsid w:val="00E05319"/>
    <w:rsid w:val="00E117A7"/>
    <w:rsid w:val="00E236B8"/>
    <w:rsid w:val="00E24E96"/>
    <w:rsid w:val="00E332A8"/>
    <w:rsid w:val="00E67E4C"/>
    <w:rsid w:val="00E71AA9"/>
    <w:rsid w:val="00E90672"/>
    <w:rsid w:val="00E93BA5"/>
    <w:rsid w:val="00E9659E"/>
    <w:rsid w:val="00EA0606"/>
    <w:rsid w:val="00EA2CC5"/>
    <w:rsid w:val="00EA6416"/>
    <w:rsid w:val="00ED1D1C"/>
    <w:rsid w:val="00EF3EDC"/>
    <w:rsid w:val="00F233C0"/>
    <w:rsid w:val="00F32365"/>
    <w:rsid w:val="00F3255D"/>
    <w:rsid w:val="00F32D3C"/>
    <w:rsid w:val="00F62AD2"/>
    <w:rsid w:val="00F937DA"/>
    <w:rsid w:val="00FB3D59"/>
    <w:rsid w:val="00FC4095"/>
    <w:rsid w:val="00FE616A"/>
    <w:rsid w:val="00FE6949"/>
    <w:rsid w:val="00FF6212"/>
    <w:rsid w:val="00FF7B38"/>
    <w:rsid w:val="00FF7EA0"/>
    <w:rsid w:val="3AE7A896"/>
    <w:rsid w:val="46D40D0A"/>
    <w:rsid w:val="4791583C"/>
    <w:rsid w:val="4D424BF3"/>
    <w:rsid w:val="543FA7D3"/>
    <w:rsid w:val="5981517E"/>
    <w:rsid w:val="5BCD1176"/>
    <w:rsid w:val="5FFB0F7B"/>
    <w:rsid w:val="76675BA3"/>
    <w:rsid w:val="772FB305"/>
    <w:rsid w:val="7AFFA038"/>
    <w:rsid w:val="7BBF802E"/>
    <w:rsid w:val="7FF772F2"/>
    <w:rsid w:val="7FFDDA40"/>
    <w:rsid w:val="7FFFA770"/>
    <w:rsid w:val="AEFFBC97"/>
    <w:rsid w:val="BFEBA419"/>
    <w:rsid w:val="C545C895"/>
    <w:rsid w:val="DB1B3BFA"/>
    <w:rsid w:val="DF2E7660"/>
    <w:rsid w:val="DF6E9A9B"/>
    <w:rsid w:val="DFE37877"/>
    <w:rsid w:val="EEFF7B77"/>
    <w:rsid w:val="F3FF3158"/>
    <w:rsid w:val="FABECD51"/>
    <w:rsid w:val="FDDFF698"/>
    <w:rsid w:val="FF3E66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76" w:lineRule="auto"/>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0"/>
    <w:qFormat/>
    <w:uiPriority w:val="1"/>
    <w:pPr>
      <w:autoSpaceDE w:val="0"/>
      <w:autoSpaceDN w:val="0"/>
      <w:spacing w:line="240" w:lineRule="auto"/>
      <w:jc w:val="left"/>
    </w:pPr>
    <w:rPr>
      <w:rFonts w:ascii="Times New Roman" w:hAnsi="Times New Roman" w:eastAsia="Times New Roman" w:cs="Times New Roman"/>
      <w:kern w:val="0"/>
      <w:sz w:val="20"/>
      <w:szCs w:val="20"/>
      <w:lang w:eastAsia="en-US"/>
    </w:rPr>
  </w:style>
  <w:style w:type="paragraph" w:styleId="3">
    <w:name w:val="Balloon Text"/>
    <w:basedOn w:val="1"/>
    <w:link w:val="11"/>
    <w:unhideWhenUsed/>
    <w:qFormat/>
    <w:uiPriority w:val="99"/>
    <w:pPr>
      <w:spacing w:line="240" w:lineRule="auto"/>
    </w:pPr>
    <w:rPr>
      <w:sz w:val="18"/>
      <w:szCs w:val="18"/>
    </w:rPr>
  </w:style>
  <w:style w:type="paragraph" w:styleId="4">
    <w:name w:val="footer"/>
    <w:basedOn w:val="1"/>
    <w:link w:val="9"/>
    <w:unhideWhenUsed/>
    <w:qFormat/>
    <w:uiPriority w:val="99"/>
    <w:pPr>
      <w:tabs>
        <w:tab w:val="center" w:pos="4153"/>
        <w:tab w:val="right" w:pos="8306"/>
      </w:tabs>
      <w:snapToGrid w:val="0"/>
      <w:spacing w:line="240" w:lineRule="auto"/>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character" w:customStyle="1" w:styleId="8">
    <w:name w:val="页眉 Char"/>
    <w:basedOn w:val="7"/>
    <w:link w:val="5"/>
    <w:qFormat/>
    <w:uiPriority w:val="99"/>
    <w:rPr>
      <w:sz w:val="18"/>
      <w:szCs w:val="18"/>
    </w:rPr>
  </w:style>
  <w:style w:type="character" w:customStyle="1" w:styleId="9">
    <w:name w:val="页脚 Char"/>
    <w:basedOn w:val="7"/>
    <w:link w:val="4"/>
    <w:qFormat/>
    <w:uiPriority w:val="99"/>
    <w:rPr>
      <w:sz w:val="18"/>
      <w:szCs w:val="18"/>
    </w:rPr>
  </w:style>
  <w:style w:type="character" w:customStyle="1" w:styleId="10">
    <w:name w:val="正文文本 Char"/>
    <w:basedOn w:val="7"/>
    <w:link w:val="2"/>
    <w:qFormat/>
    <w:uiPriority w:val="1"/>
    <w:rPr>
      <w:rFonts w:ascii="Times New Roman" w:hAnsi="Times New Roman" w:eastAsia="Times New Roman" w:cs="Times New Roman"/>
      <w:kern w:val="0"/>
      <w:sz w:val="20"/>
      <w:szCs w:val="20"/>
      <w:lang w:eastAsia="en-US"/>
    </w:rPr>
  </w:style>
  <w:style w:type="character" w:customStyle="1" w:styleId="11">
    <w:name w:val="批注框文本 Char"/>
    <w:basedOn w:val="7"/>
    <w:link w:val="3"/>
    <w:semiHidden/>
    <w:qFormat/>
    <w:uiPriority w:val="99"/>
    <w:rPr>
      <w:sz w:val="18"/>
      <w:szCs w:val="18"/>
    </w:rPr>
  </w:style>
  <w:style w:type="paragraph" w:customStyle="1" w:styleId="12">
    <w:name w:val="Default"/>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13">
    <w:name w:val="列出段落1"/>
    <w:basedOn w:val="1"/>
    <w:qFormat/>
    <w:uiPriority w:val="34"/>
    <w:pPr>
      <w:ind w:firstLine="420" w:firstLineChars="200"/>
    </w:pPr>
  </w:style>
  <w:style w:type="paragraph"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36</Pages>
  <Words>1903</Words>
  <Characters>10852</Characters>
  <Lines>90</Lines>
  <Paragraphs>25</Paragraphs>
  <TotalTime>1</TotalTime>
  <ScaleCrop>false</ScaleCrop>
  <LinksUpToDate>false</LinksUpToDate>
  <CharactersWithSpaces>12730</CharactersWithSpaces>
  <Application>WPS Office_11.8.2.12128_F1E327BC-269C-435d-A152-05C5408002CA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2019-03-11T16:45:00Z</dcterms:created>
  <dc:creator>null</dc:creator>
  <cp:lastModifiedBy>lyadmin</cp:lastModifiedBy>
  <cp:lastPrinted>2024-04-03T10:55:00Z</cp:lastPrinted>
  <dcterms:modified xsi:type="dcterms:W3CDTF">2025-02-08T16:55:24Z</dcterms:modified>
  <cp:revision>149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2052-11.8.2.12128</vt:lpwstr>
  </property>
  <property fmtid="{D5CDD505-2E9C-101B-9397-08002B2CF9AE}" pid="3" name="ICV">
    <vt:lpwstr>2FD668CFF98BFC39870FA467D14FD13B</vt:lpwstr>
  </property>
</Properties>
</file>