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2" w:leftChars="20"/>
        <w:rPr>
          <w:rFonts w:hint="eastAsia" w:ascii="黑体" w:hAnsi="黑体" w:eastAsia="黑体"/>
          <w:sz w:val="32"/>
          <w:szCs w:val="32"/>
        </w:rPr>
      </w:pPr>
      <w:r>
        <w:rPr>
          <w:rFonts w:ascii="黑体" w:hAnsi="黑体" w:eastAsia="黑体"/>
          <w:sz w:val="32"/>
          <w:szCs w:val="32"/>
        </w:rPr>
        <w:t>附件</w:t>
      </w:r>
    </w:p>
    <w:p>
      <w:pPr>
        <w:widowControl/>
        <w:spacing w:before="156" w:beforeLines="50" w:after="156" w:afterLines="50"/>
        <w:jc w:val="center"/>
        <w:rPr>
          <w:rFonts w:ascii="方正小标宋简体" w:hAnsi="仿宋_GB2312" w:eastAsia="方正小标宋简体"/>
          <w:sz w:val="40"/>
          <w:szCs w:val="40"/>
        </w:rPr>
      </w:pPr>
      <w:bookmarkStart w:id="0" w:name="_GoBack"/>
      <w:r>
        <w:rPr>
          <w:rFonts w:hint="eastAsia" w:ascii="方正小标宋简体" w:hAnsi="仿宋_GB2312" w:eastAsia="方正小标宋简体"/>
          <w:sz w:val="40"/>
          <w:szCs w:val="40"/>
        </w:rPr>
        <w:t>漳平市退役军人事务局权责事项清单</w:t>
      </w:r>
      <w:bookmarkEnd w:id="0"/>
    </w:p>
    <w:p>
      <w:pPr>
        <w:widowControl/>
        <w:jc w:val="left"/>
        <w:rPr>
          <w:rFonts w:ascii="黑体" w:hAnsi="黑体" w:eastAsia="黑体" w:cs="宋体"/>
          <w:kern w:val="0"/>
          <w:sz w:val="24"/>
        </w:rPr>
      </w:pPr>
      <w:r>
        <w:rPr>
          <w:rFonts w:hint="eastAsia" w:ascii="黑体" w:hAnsi="黑体" w:eastAsia="黑体" w:cs="宋体"/>
          <w:kern w:val="0"/>
          <w:sz w:val="24"/>
        </w:rPr>
        <w:t>表一：行政给付（共2项）</w:t>
      </w:r>
    </w:p>
    <w:tbl>
      <w:tblPr>
        <w:tblStyle w:val="6"/>
        <w:tblW w:w="14477" w:type="dxa"/>
        <w:tblInd w:w="89" w:type="dxa"/>
        <w:tblLayout w:type="fixed"/>
        <w:tblCellMar>
          <w:top w:w="0" w:type="dxa"/>
          <w:left w:w="108" w:type="dxa"/>
          <w:bottom w:w="0" w:type="dxa"/>
          <w:right w:w="108" w:type="dxa"/>
        </w:tblCellMar>
      </w:tblPr>
      <w:tblGrid>
        <w:gridCol w:w="680"/>
        <w:gridCol w:w="1000"/>
        <w:gridCol w:w="1000"/>
        <w:gridCol w:w="6676"/>
        <w:gridCol w:w="1360"/>
        <w:gridCol w:w="1341"/>
        <w:gridCol w:w="1020"/>
        <w:gridCol w:w="1400"/>
      </w:tblGrid>
      <w:tr>
        <w:tblPrEx>
          <w:tblLayout w:type="fixed"/>
          <w:tblCellMar>
            <w:top w:w="0" w:type="dxa"/>
            <w:left w:w="108" w:type="dxa"/>
            <w:bottom w:w="0" w:type="dxa"/>
            <w:right w:w="108" w:type="dxa"/>
          </w:tblCellMar>
        </w:tblPrEx>
        <w:trPr>
          <w:trHeight w:val="95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kern w:val="0"/>
                <w:sz w:val="20"/>
                <w:szCs w:val="20"/>
              </w:rPr>
            </w:pPr>
            <w:r>
              <w:rPr>
                <w:rFonts w:hint="eastAsia" w:ascii="宋体" w:hAnsi="宋体" w:cs="宋体"/>
                <w:b/>
                <w:bCs/>
                <w:kern w:val="0"/>
                <w:sz w:val="20"/>
                <w:szCs w:val="20"/>
              </w:rPr>
              <w:t>序号</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
                <w:bCs/>
                <w:kern w:val="0"/>
                <w:sz w:val="20"/>
                <w:szCs w:val="20"/>
              </w:rPr>
            </w:pPr>
            <w:r>
              <w:rPr>
                <w:rFonts w:hint="eastAsia" w:ascii="宋体" w:hAnsi="宋体" w:cs="宋体"/>
                <w:b/>
                <w:bCs/>
                <w:kern w:val="0"/>
                <w:sz w:val="20"/>
                <w:szCs w:val="20"/>
              </w:rPr>
              <w:t>权责</w:t>
            </w:r>
          </w:p>
          <w:p>
            <w:pPr>
              <w:widowControl/>
              <w:spacing w:line="400" w:lineRule="exact"/>
              <w:jc w:val="center"/>
              <w:rPr>
                <w:rFonts w:ascii="宋体" w:hAnsi="宋体" w:cs="宋体"/>
                <w:b/>
                <w:bCs/>
                <w:kern w:val="0"/>
                <w:sz w:val="20"/>
                <w:szCs w:val="20"/>
              </w:rPr>
            </w:pPr>
            <w:r>
              <w:rPr>
                <w:rFonts w:hint="eastAsia" w:ascii="宋体" w:hAnsi="宋体" w:cs="宋体"/>
                <w:b/>
                <w:bCs/>
                <w:kern w:val="0"/>
                <w:sz w:val="20"/>
                <w:szCs w:val="20"/>
              </w:rPr>
              <w:t>事项</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
                <w:bCs/>
                <w:kern w:val="0"/>
                <w:sz w:val="20"/>
                <w:szCs w:val="20"/>
              </w:rPr>
            </w:pPr>
            <w:r>
              <w:rPr>
                <w:rFonts w:hint="eastAsia" w:ascii="宋体" w:hAnsi="宋体" w:cs="宋体"/>
                <w:b/>
                <w:bCs/>
                <w:kern w:val="0"/>
                <w:sz w:val="20"/>
                <w:szCs w:val="20"/>
              </w:rPr>
              <w:t>子项</w:t>
            </w:r>
          </w:p>
          <w:p>
            <w:pPr>
              <w:widowControl/>
              <w:spacing w:line="400" w:lineRule="exact"/>
              <w:jc w:val="center"/>
              <w:rPr>
                <w:rFonts w:ascii="宋体" w:hAnsi="宋体" w:cs="宋体"/>
                <w:b/>
                <w:bCs/>
                <w:kern w:val="0"/>
                <w:sz w:val="20"/>
                <w:szCs w:val="20"/>
              </w:rPr>
            </w:pPr>
            <w:r>
              <w:rPr>
                <w:rFonts w:hint="eastAsia" w:ascii="宋体" w:hAnsi="宋体" w:cs="宋体"/>
                <w:b/>
                <w:bCs/>
                <w:kern w:val="0"/>
                <w:sz w:val="20"/>
                <w:szCs w:val="20"/>
              </w:rPr>
              <w:t>名称</w:t>
            </w:r>
          </w:p>
        </w:tc>
        <w:tc>
          <w:tcPr>
            <w:tcW w:w="667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kern w:val="0"/>
                <w:sz w:val="20"/>
                <w:szCs w:val="20"/>
              </w:rPr>
            </w:pPr>
            <w:r>
              <w:rPr>
                <w:rFonts w:hint="eastAsia" w:ascii="宋体" w:hAnsi="宋体" w:cs="宋体"/>
                <w:b/>
                <w:bCs/>
                <w:kern w:val="0"/>
                <w:sz w:val="20"/>
                <w:szCs w:val="20"/>
              </w:rPr>
              <w:t>设    定    依    据</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kern w:val="0"/>
                <w:sz w:val="20"/>
                <w:szCs w:val="20"/>
              </w:rPr>
            </w:pPr>
            <w:r>
              <w:rPr>
                <w:rFonts w:hint="eastAsia" w:ascii="宋体" w:hAnsi="宋体" w:cs="宋体"/>
                <w:b/>
                <w:bCs/>
                <w:kern w:val="0"/>
                <w:sz w:val="20"/>
                <w:szCs w:val="20"/>
              </w:rPr>
              <w:t>事项类别</w:t>
            </w:r>
          </w:p>
        </w:tc>
        <w:tc>
          <w:tcPr>
            <w:tcW w:w="13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
                <w:bCs/>
                <w:kern w:val="0"/>
                <w:sz w:val="20"/>
                <w:szCs w:val="20"/>
              </w:rPr>
            </w:pPr>
            <w:r>
              <w:rPr>
                <w:rFonts w:hint="eastAsia" w:ascii="宋体" w:hAnsi="宋体" w:cs="宋体"/>
                <w:b/>
                <w:bCs/>
                <w:kern w:val="0"/>
                <w:sz w:val="20"/>
                <w:szCs w:val="20"/>
              </w:rPr>
              <w:t>内设机构</w:t>
            </w:r>
          </w:p>
          <w:p>
            <w:pPr>
              <w:widowControl/>
              <w:spacing w:line="400" w:lineRule="exact"/>
              <w:jc w:val="center"/>
              <w:rPr>
                <w:rFonts w:ascii="宋体" w:hAnsi="宋体" w:cs="宋体"/>
                <w:b/>
                <w:bCs/>
                <w:kern w:val="0"/>
                <w:sz w:val="20"/>
                <w:szCs w:val="20"/>
              </w:rPr>
            </w:pPr>
            <w:r>
              <w:rPr>
                <w:rFonts w:hint="eastAsia" w:ascii="宋体" w:hAnsi="宋体" w:cs="宋体"/>
                <w:b/>
                <w:bCs/>
                <w:kern w:val="0"/>
                <w:sz w:val="20"/>
                <w:szCs w:val="20"/>
              </w:rPr>
              <w:t>或责任单位</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kern w:val="0"/>
                <w:sz w:val="20"/>
                <w:szCs w:val="20"/>
              </w:rPr>
            </w:pPr>
            <w:r>
              <w:rPr>
                <w:rFonts w:hint="eastAsia" w:ascii="宋体" w:hAnsi="宋体" w:cs="宋体"/>
                <w:b/>
                <w:bCs/>
                <w:kern w:val="0"/>
                <w:sz w:val="20"/>
                <w:szCs w:val="20"/>
              </w:rPr>
              <w:t>行使层级</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kern w:val="0"/>
                <w:sz w:val="20"/>
                <w:szCs w:val="20"/>
              </w:rPr>
            </w:pPr>
            <w:r>
              <w:rPr>
                <w:rFonts w:hint="eastAsia" w:ascii="宋体" w:hAnsi="宋体" w:cs="宋体"/>
                <w:b/>
                <w:bCs/>
                <w:kern w:val="0"/>
                <w:sz w:val="20"/>
                <w:szCs w:val="20"/>
              </w:rPr>
              <w:t>备注</w:t>
            </w:r>
          </w:p>
        </w:tc>
      </w:tr>
      <w:tr>
        <w:tblPrEx>
          <w:tblLayout w:type="fixed"/>
          <w:tblCellMar>
            <w:top w:w="0" w:type="dxa"/>
            <w:left w:w="108" w:type="dxa"/>
            <w:bottom w:w="0" w:type="dxa"/>
            <w:right w:w="108" w:type="dxa"/>
          </w:tblCellMar>
        </w:tblPrEx>
        <w:trPr>
          <w:trHeight w:val="2124"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000" w:type="dxa"/>
            <w:tcBorders>
              <w:top w:val="nil"/>
              <w:left w:val="nil"/>
              <w:bottom w:val="single" w:color="auto" w:sz="4" w:space="0"/>
              <w:right w:val="single" w:color="auto" w:sz="4" w:space="0"/>
            </w:tcBorders>
            <w:shd w:val="clear" w:color="auto" w:fill="auto"/>
            <w:vAlign w:val="center"/>
          </w:tcPr>
          <w:p>
            <w:pPr>
              <w:widowControl/>
              <w:spacing w:line="400" w:lineRule="exact"/>
              <w:ind w:right="-126" w:rightChars="-60"/>
              <w:jc w:val="left"/>
              <w:rPr>
                <w:rFonts w:ascii="宋体" w:hAnsi="宋体" w:cs="宋体"/>
                <w:kern w:val="0"/>
                <w:sz w:val="20"/>
                <w:szCs w:val="20"/>
              </w:rPr>
            </w:pPr>
            <w:r>
              <w:rPr>
                <w:rFonts w:hint="eastAsia" w:ascii="宋体" w:hAnsi="宋体" w:cs="宋体"/>
                <w:kern w:val="0"/>
                <w:sz w:val="20"/>
                <w:szCs w:val="20"/>
              </w:rPr>
              <w:t>维护退役军人合法权益</w:t>
            </w:r>
          </w:p>
        </w:tc>
        <w:tc>
          <w:tcPr>
            <w:tcW w:w="10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 w:val="20"/>
                <w:szCs w:val="20"/>
              </w:rPr>
            </w:pPr>
            <w:r>
              <w:rPr>
                <w:rFonts w:hint="eastAsia" w:ascii="宋体" w:hAnsi="宋体" w:cs="宋体"/>
                <w:kern w:val="0"/>
                <w:sz w:val="20"/>
                <w:szCs w:val="20"/>
              </w:rPr>
              <w:t>　</w:t>
            </w:r>
          </w:p>
        </w:tc>
        <w:tc>
          <w:tcPr>
            <w:tcW w:w="6676"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20"/>
                <w:szCs w:val="20"/>
              </w:rPr>
            </w:pPr>
            <w:r>
              <w:rPr>
                <w:rFonts w:hint="eastAsia" w:ascii="宋体" w:hAnsi="宋体" w:cs="宋体"/>
                <w:kern w:val="0"/>
                <w:sz w:val="20"/>
                <w:szCs w:val="20"/>
              </w:rPr>
              <w:t xml:space="preserve">    漳平市退役军人局“三定”规定（2019年3月31日印发）。</w:t>
            </w:r>
          </w:p>
        </w:tc>
        <w:tc>
          <w:tcPr>
            <w:tcW w:w="13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行政给付</w:t>
            </w:r>
          </w:p>
        </w:tc>
        <w:tc>
          <w:tcPr>
            <w:tcW w:w="134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拥军优抚股</w:t>
            </w:r>
          </w:p>
        </w:tc>
        <w:tc>
          <w:tcPr>
            <w:tcW w:w="102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市级</w:t>
            </w:r>
          </w:p>
        </w:tc>
        <w:tc>
          <w:tcPr>
            <w:tcW w:w="14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 w:val="20"/>
                <w:szCs w:val="20"/>
              </w:rPr>
            </w:pPr>
            <w:r>
              <w:rPr>
                <w:rFonts w:hint="eastAsia" w:ascii="宋体" w:hAnsi="宋体" w:cs="宋体"/>
                <w:kern w:val="0"/>
                <w:sz w:val="20"/>
                <w:szCs w:val="20"/>
              </w:rPr>
              <w:t>相关事项由乡镇（街道）退役军人服务中心受理</w:t>
            </w:r>
          </w:p>
        </w:tc>
      </w:tr>
      <w:tr>
        <w:tblPrEx>
          <w:tblLayout w:type="fixed"/>
          <w:tblCellMar>
            <w:top w:w="0" w:type="dxa"/>
            <w:left w:w="108" w:type="dxa"/>
            <w:bottom w:w="0" w:type="dxa"/>
            <w:right w:w="108" w:type="dxa"/>
          </w:tblCellMar>
        </w:tblPrEx>
        <w:trPr>
          <w:trHeight w:val="2767"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000" w:type="dxa"/>
            <w:tcBorders>
              <w:top w:val="nil"/>
              <w:left w:val="nil"/>
              <w:bottom w:val="single" w:color="auto" w:sz="4" w:space="0"/>
              <w:right w:val="single" w:color="auto" w:sz="4" w:space="0"/>
            </w:tcBorders>
            <w:shd w:val="clear" w:color="auto" w:fill="auto"/>
            <w:vAlign w:val="center"/>
          </w:tcPr>
          <w:p>
            <w:pPr>
              <w:widowControl/>
              <w:spacing w:line="400" w:lineRule="exact"/>
              <w:ind w:right="-126" w:rightChars="-60"/>
              <w:jc w:val="left"/>
              <w:rPr>
                <w:rFonts w:ascii="宋体" w:hAnsi="宋体" w:cs="宋体"/>
                <w:kern w:val="0"/>
                <w:sz w:val="20"/>
                <w:szCs w:val="20"/>
              </w:rPr>
            </w:pPr>
            <w:r>
              <w:rPr>
                <w:rFonts w:hint="eastAsia" w:ascii="宋体" w:hAnsi="宋体" w:cs="宋体"/>
                <w:kern w:val="0"/>
                <w:sz w:val="20"/>
                <w:szCs w:val="20"/>
              </w:rPr>
              <w:t>退役军人帮扶援助</w:t>
            </w:r>
          </w:p>
        </w:tc>
        <w:tc>
          <w:tcPr>
            <w:tcW w:w="10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 w:val="20"/>
                <w:szCs w:val="20"/>
              </w:rPr>
            </w:pPr>
            <w:r>
              <w:rPr>
                <w:rFonts w:hint="eastAsia" w:ascii="宋体" w:hAnsi="宋体" w:cs="宋体"/>
                <w:kern w:val="0"/>
                <w:sz w:val="20"/>
                <w:szCs w:val="20"/>
              </w:rPr>
              <w:t>　</w:t>
            </w:r>
          </w:p>
        </w:tc>
        <w:tc>
          <w:tcPr>
            <w:tcW w:w="6676"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20"/>
                <w:szCs w:val="20"/>
              </w:rPr>
            </w:pPr>
            <w:r>
              <w:rPr>
                <w:rFonts w:hint="eastAsia" w:ascii="宋体" w:hAnsi="宋体" w:cs="宋体"/>
                <w:kern w:val="0"/>
                <w:sz w:val="20"/>
                <w:szCs w:val="20"/>
              </w:rPr>
              <w:t xml:space="preserve">    1.《军人抚恤优待条例》（国务院、中央军委令第413号公布，国务院令第709号修正）</w:t>
            </w:r>
            <w:r>
              <w:rPr>
                <w:rFonts w:hint="eastAsia" w:ascii="宋体" w:hAnsi="宋体" w:cs="宋体"/>
                <w:kern w:val="0"/>
                <w:sz w:val="20"/>
                <w:szCs w:val="20"/>
              </w:rPr>
              <w:br w:type="textWrapping"/>
            </w:r>
            <w:r>
              <w:rPr>
                <w:rFonts w:hint="eastAsia" w:ascii="宋体" w:hAnsi="宋体" w:cs="宋体"/>
                <w:kern w:val="0"/>
                <w:sz w:val="20"/>
                <w:szCs w:val="20"/>
              </w:rPr>
              <w:t xml:space="preserve">    第四十四条 复员军人生活困难的，按照规定的条件，由当地人民政府退役军人事务部门给予定量补助，逐步改善其生活条件。</w:t>
            </w:r>
            <w:r>
              <w:rPr>
                <w:rFonts w:hint="eastAsia" w:ascii="宋体" w:hAnsi="宋体" w:cs="宋体"/>
                <w:kern w:val="0"/>
                <w:sz w:val="20"/>
                <w:szCs w:val="20"/>
              </w:rPr>
              <w:br w:type="textWrapping"/>
            </w:r>
            <w:r>
              <w:rPr>
                <w:rFonts w:hint="eastAsia" w:ascii="宋体" w:hAnsi="宋体" w:cs="宋体"/>
                <w:kern w:val="0"/>
                <w:sz w:val="20"/>
                <w:szCs w:val="20"/>
              </w:rPr>
              <w:t xml:space="preserve">    2.市退役军人局“三定”规定（2019年3月31日印发）。</w:t>
            </w:r>
          </w:p>
        </w:tc>
        <w:tc>
          <w:tcPr>
            <w:tcW w:w="13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行政给付</w:t>
            </w:r>
          </w:p>
        </w:tc>
        <w:tc>
          <w:tcPr>
            <w:tcW w:w="134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拥军优抚股</w:t>
            </w:r>
          </w:p>
        </w:tc>
        <w:tc>
          <w:tcPr>
            <w:tcW w:w="102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市级</w:t>
            </w:r>
          </w:p>
        </w:tc>
        <w:tc>
          <w:tcPr>
            <w:tcW w:w="140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 w:val="20"/>
                <w:szCs w:val="20"/>
              </w:rPr>
            </w:pPr>
            <w:r>
              <w:rPr>
                <w:rFonts w:hint="eastAsia" w:ascii="宋体" w:hAnsi="宋体" w:cs="宋体"/>
                <w:kern w:val="0"/>
                <w:sz w:val="20"/>
                <w:szCs w:val="20"/>
              </w:rPr>
              <w:t>相关事项由乡镇（街道）退役军人服务中心受理</w:t>
            </w:r>
          </w:p>
        </w:tc>
      </w:tr>
    </w:tbl>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widowControl/>
        <w:spacing w:line="500" w:lineRule="exact"/>
        <w:jc w:val="left"/>
        <w:rPr>
          <w:rFonts w:ascii="黑体" w:hAnsi="黑体" w:eastAsia="黑体" w:cs="宋体"/>
          <w:kern w:val="0"/>
          <w:sz w:val="24"/>
        </w:rPr>
      </w:pPr>
      <w:r>
        <w:rPr>
          <w:rFonts w:hint="eastAsia" w:ascii="黑体" w:hAnsi="黑体" w:eastAsia="黑体" w:cs="宋体"/>
          <w:kern w:val="0"/>
          <w:sz w:val="24"/>
        </w:rPr>
        <w:t>表二：其他行政权力（共2项）</w:t>
      </w:r>
    </w:p>
    <w:tbl>
      <w:tblPr>
        <w:tblStyle w:val="6"/>
        <w:tblW w:w="14577" w:type="dxa"/>
        <w:tblInd w:w="89" w:type="dxa"/>
        <w:tblLayout w:type="fixed"/>
        <w:tblCellMar>
          <w:top w:w="0" w:type="dxa"/>
          <w:left w:w="108" w:type="dxa"/>
          <w:bottom w:w="0" w:type="dxa"/>
          <w:right w:w="108" w:type="dxa"/>
        </w:tblCellMar>
      </w:tblPr>
      <w:tblGrid>
        <w:gridCol w:w="680"/>
        <w:gridCol w:w="1509"/>
        <w:gridCol w:w="1540"/>
        <w:gridCol w:w="6467"/>
        <w:gridCol w:w="1050"/>
        <w:gridCol w:w="1259"/>
        <w:gridCol w:w="1020"/>
        <w:gridCol w:w="1052"/>
      </w:tblGrid>
      <w:tr>
        <w:tblPrEx>
          <w:tblLayout w:type="fixed"/>
          <w:tblCellMar>
            <w:top w:w="0" w:type="dxa"/>
            <w:left w:w="108" w:type="dxa"/>
            <w:bottom w:w="0" w:type="dxa"/>
            <w:right w:w="108" w:type="dxa"/>
          </w:tblCellMar>
        </w:tblPrEx>
        <w:trPr>
          <w:trHeight w:val="48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5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权责事项</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子项名称</w:t>
            </w:r>
          </w:p>
        </w:tc>
        <w:tc>
          <w:tcPr>
            <w:tcW w:w="64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设    定    依    据</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事项类别</w:t>
            </w:r>
          </w:p>
        </w:tc>
        <w:tc>
          <w:tcPr>
            <w:tcW w:w="12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内设机构</w:t>
            </w:r>
          </w:p>
          <w:p>
            <w:pPr>
              <w:widowControl/>
              <w:jc w:val="center"/>
              <w:rPr>
                <w:rFonts w:ascii="宋体" w:hAnsi="宋体" w:cs="宋体"/>
                <w:b/>
                <w:bCs/>
                <w:kern w:val="0"/>
                <w:sz w:val="20"/>
                <w:szCs w:val="20"/>
              </w:rPr>
            </w:pPr>
            <w:r>
              <w:rPr>
                <w:rFonts w:hint="eastAsia" w:ascii="宋体" w:hAnsi="宋体" w:cs="宋体"/>
                <w:b/>
                <w:bCs/>
                <w:kern w:val="0"/>
                <w:sz w:val="20"/>
                <w:szCs w:val="20"/>
              </w:rPr>
              <w:t>或责任单位</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行使层级</w:t>
            </w:r>
          </w:p>
        </w:tc>
        <w:tc>
          <w:tcPr>
            <w:tcW w:w="1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Layout w:type="fixed"/>
          <w:tblCellMar>
            <w:top w:w="0" w:type="dxa"/>
            <w:left w:w="108" w:type="dxa"/>
            <w:bottom w:w="0" w:type="dxa"/>
            <w:right w:w="108" w:type="dxa"/>
          </w:tblCellMar>
        </w:tblPrEx>
        <w:trPr>
          <w:trHeight w:val="2069"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5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中止和恢复被判处有期徒刑、剥夺政治权利或者被通缉期间抚恤优待对象的抚恤优待</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6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xml:space="preserve">    1.《军人抚恤优待条例》（国务院、中央军委令第413号公布，国务院令第709号修正）</w:t>
            </w:r>
            <w:r>
              <w:rPr>
                <w:rFonts w:hint="eastAsia" w:ascii="宋体" w:hAnsi="宋体" w:cs="宋体"/>
                <w:kern w:val="0"/>
                <w:sz w:val="20"/>
                <w:szCs w:val="20"/>
              </w:rPr>
              <w:br w:type="textWrapping"/>
            </w:r>
            <w:r>
              <w:rPr>
                <w:rFonts w:hint="eastAsia" w:ascii="宋体" w:hAnsi="宋体" w:cs="宋体"/>
                <w:kern w:val="0"/>
                <w:sz w:val="20"/>
                <w:szCs w:val="20"/>
              </w:rPr>
              <w:t xml:space="preserve">    第五十条 抚恤优待对象被判处有期徒刑、剥夺政治权利或者被通缉期间，中止其抚恤优待；被判处死刑、无期徒刑，取消其抚恤优待资格。</w:t>
            </w:r>
            <w:r>
              <w:rPr>
                <w:rFonts w:hint="eastAsia" w:ascii="宋体" w:hAnsi="宋体" w:cs="宋体"/>
                <w:kern w:val="0"/>
                <w:sz w:val="20"/>
                <w:szCs w:val="20"/>
              </w:rPr>
              <w:br w:type="textWrapping"/>
            </w:r>
            <w:r>
              <w:rPr>
                <w:rFonts w:hint="eastAsia" w:ascii="宋体" w:hAnsi="宋体" w:cs="宋体"/>
                <w:kern w:val="0"/>
                <w:sz w:val="20"/>
                <w:szCs w:val="20"/>
              </w:rPr>
              <w:t xml:space="preserve">    2.漳平市退役军人局“三定”规定（2019年3月31日印发）。</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其他行政权力</w:t>
            </w:r>
          </w:p>
        </w:tc>
        <w:tc>
          <w:tcPr>
            <w:tcW w:w="12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拥军优抚股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270" w:hRule="atLeast"/>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5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烈士的褒扬工作（含2个子项）</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1.对在英雄烈士纪念设施保护范围内从事有损纪念英雄烈士环境和氛围的活动，不听劝阻的，予以责令改正</w:t>
            </w:r>
          </w:p>
        </w:tc>
        <w:tc>
          <w:tcPr>
            <w:tcW w:w="646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xml:space="preserve">    1.《英雄烈士保护法》</w:t>
            </w:r>
            <w:r>
              <w:rPr>
                <w:rFonts w:hint="eastAsia" w:ascii="宋体" w:hAnsi="宋体" w:cs="宋体"/>
                <w:kern w:val="0"/>
                <w:sz w:val="20"/>
                <w:szCs w:val="20"/>
              </w:rPr>
              <w:br w:type="textWrapping"/>
            </w:r>
            <w:r>
              <w:rPr>
                <w:rFonts w:hint="eastAsia" w:ascii="宋体" w:hAnsi="宋体" w:cs="宋体"/>
                <w:kern w:val="0"/>
                <w:sz w:val="20"/>
                <w:szCs w:val="20"/>
              </w:rPr>
              <w:t xml:space="preserve">    第二十七条 在英雄烈士纪念设施保护范围的从事有损纪念英雄烈士环境和氛围的活动，纪念设施保护单位应当及时劝阻；不听劝阻的，由县级以上地方人民政府负责英雄烈士保护工作的部门、文物主管部门按照职责规定给予批评教育，责令改正。</w:t>
            </w:r>
            <w:r>
              <w:rPr>
                <w:rFonts w:hint="eastAsia" w:ascii="宋体" w:hAnsi="宋体" w:cs="宋体"/>
                <w:kern w:val="0"/>
                <w:sz w:val="20"/>
                <w:szCs w:val="20"/>
              </w:rPr>
              <w:br w:type="textWrapping"/>
            </w:r>
            <w:r>
              <w:rPr>
                <w:rFonts w:hint="eastAsia" w:ascii="宋体" w:hAnsi="宋体" w:cs="宋体"/>
                <w:kern w:val="0"/>
                <w:sz w:val="20"/>
                <w:szCs w:val="20"/>
              </w:rPr>
              <w:t xml:space="preserve">    2.《烈士褒扬条例》（国务院令第601号公布，国务院令第718号修订）</w:t>
            </w:r>
            <w:r>
              <w:rPr>
                <w:rFonts w:hint="eastAsia" w:ascii="宋体" w:hAnsi="宋体" w:cs="宋体"/>
                <w:kern w:val="0"/>
                <w:sz w:val="20"/>
                <w:szCs w:val="20"/>
              </w:rPr>
              <w:br w:type="textWrapping"/>
            </w:r>
            <w:r>
              <w:rPr>
                <w:rFonts w:hint="eastAsia" w:ascii="宋体" w:hAnsi="宋体" w:cs="宋体"/>
                <w:kern w:val="0"/>
                <w:sz w:val="20"/>
                <w:szCs w:val="20"/>
              </w:rPr>
              <w:t xml:space="preserve">    第六条 国务院退役军人事务部门负责全市烈士褒扬工作。县级以上地方人民政府退役军人事务部门负责本行政区域的烈士褒扬工作。</w:t>
            </w:r>
            <w:r>
              <w:rPr>
                <w:rFonts w:hint="eastAsia" w:ascii="宋体" w:hAnsi="宋体" w:cs="宋体"/>
                <w:kern w:val="0"/>
                <w:sz w:val="20"/>
                <w:szCs w:val="20"/>
              </w:rPr>
              <w:br w:type="textWrapping"/>
            </w:r>
            <w:r>
              <w:rPr>
                <w:rFonts w:hint="eastAsia" w:ascii="宋体" w:hAnsi="宋体" w:cs="宋体"/>
                <w:kern w:val="0"/>
                <w:sz w:val="20"/>
                <w:szCs w:val="20"/>
              </w:rPr>
              <w:t xml:space="preserve">    3.漳平市退役军人局“三定”规定（2019年3月31日印发）。</w:t>
            </w:r>
          </w:p>
        </w:tc>
        <w:tc>
          <w:tcPr>
            <w:tcW w:w="10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其他行政权力</w:t>
            </w:r>
          </w:p>
        </w:tc>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拥军优抚股</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669" w:hRule="atLeast"/>
        </w:trPr>
        <w:tc>
          <w:tcPr>
            <w:tcW w:w="6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50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2.对侵占、破坏、污损英雄烈士纪念设施的予以责令改正</w:t>
            </w:r>
          </w:p>
        </w:tc>
        <w:tc>
          <w:tcPr>
            <w:tcW w:w="646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xml:space="preserve">    1.《英雄烈士保护法》</w:t>
            </w:r>
            <w:r>
              <w:rPr>
                <w:rFonts w:hint="eastAsia" w:ascii="宋体" w:hAnsi="宋体" w:cs="宋体"/>
                <w:kern w:val="0"/>
                <w:sz w:val="20"/>
                <w:szCs w:val="20"/>
              </w:rPr>
              <w:br w:type="textWrapping"/>
            </w:r>
            <w:r>
              <w:rPr>
                <w:rFonts w:hint="eastAsia" w:ascii="宋体" w:hAnsi="宋体" w:cs="宋体"/>
                <w:kern w:val="0"/>
                <w:sz w:val="20"/>
                <w:szCs w:val="20"/>
              </w:rPr>
              <w:t xml:space="preserve">    第二十八条 侵占、破坏、污损英雄烈士纪念设施的，由县级以上人民政府负责英雄烈士保护工作的部门责令改正。</w:t>
            </w:r>
            <w:r>
              <w:rPr>
                <w:rFonts w:hint="eastAsia" w:ascii="宋体" w:hAnsi="宋体" w:cs="宋体"/>
                <w:kern w:val="0"/>
                <w:sz w:val="20"/>
                <w:szCs w:val="20"/>
              </w:rPr>
              <w:br w:type="textWrapping"/>
            </w:r>
            <w:r>
              <w:rPr>
                <w:rFonts w:hint="eastAsia" w:ascii="宋体" w:hAnsi="宋体" w:cs="宋体"/>
                <w:kern w:val="0"/>
                <w:sz w:val="20"/>
                <w:szCs w:val="20"/>
              </w:rPr>
              <w:t xml:space="preserve">    2.《烈士褒扬条例》（国务院令第601号公布，国务院令第718号修订）</w:t>
            </w:r>
            <w:r>
              <w:rPr>
                <w:rFonts w:hint="eastAsia" w:ascii="宋体" w:hAnsi="宋体" w:cs="宋体"/>
                <w:kern w:val="0"/>
                <w:sz w:val="20"/>
                <w:szCs w:val="20"/>
              </w:rPr>
              <w:br w:type="textWrapping"/>
            </w:r>
            <w:r>
              <w:rPr>
                <w:rFonts w:hint="eastAsia" w:ascii="宋体" w:hAnsi="宋体" w:cs="宋体"/>
                <w:kern w:val="0"/>
                <w:sz w:val="20"/>
                <w:szCs w:val="20"/>
              </w:rPr>
              <w:t xml:space="preserve">    第六条 国务院退役军人事务部门负责全市烈士褒扬工作。县级以上地方人民政府退役军人事务部门负责本行政区域的烈士褒扬工作。</w:t>
            </w:r>
            <w:r>
              <w:rPr>
                <w:rFonts w:hint="eastAsia" w:ascii="宋体" w:hAnsi="宋体" w:cs="宋体"/>
                <w:kern w:val="0"/>
                <w:sz w:val="20"/>
                <w:szCs w:val="20"/>
              </w:rPr>
              <w:br w:type="textWrapping"/>
            </w:r>
            <w:r>
              <w:rPr>
                <w:rFonts w:hint="eastAsia" w:ascii="宋体" w:hAnsi="宋体" w:cs="宋体"/>
                <w:kern w:val="0"/>
                <w:sz w:val="20"/>
                <w:szCs w:val="20"/>
              </w:rPr>
              <w:t xml:space="preserve">    3.漳平市退役军人局“三定”规定（2019年3月31日印发）。</w:t>
            </w: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bl>
    <w:p>
      <w:pPr>
        <w:widowControl/>
        <w:spacing w:line="440" w:lineRule="exact"/>
        <w:jc w:val="left"/>
        <w:rPr>
          <w:rFonts w:ascii="黑体" w:hAnsi="黑体" w:eastAsia="黑体" w:cs="宋体"/>
          <w:kern w:val="0"/>
          <w:sz w:val="24"/>
        </w:rPr>
      </w:pPr>
      <w:r>
        <w:rPr>
          <w:rFonts w:hint="eastAsia" w:ascii="黑体" w:hAnsi="黑体" w:eastAsia="黑体" w:cs="宋体"/>
          <w:kern w:val="0"/>
          <w:sz w:val="24"/>
        </w:rPr>
        <w:t>表三：公共服务（共1项）</w:t>
      </w:r>
    </w:p>
    <w:tbl>
      <w:tblPr>
        <w:tblStyle w:val="6"/>
        <w:tblW w:w="14412" w:type="dxa"/>
        <w:tblInd w:w="89" w:type="dxa"/>
        <w:tblLayout w:type="fixed"/>
        <w:tblCellMar>
          <w:top w:w="0" w:type="dxa"/>
          <w:left w:w="108" w:type="dxa"/>
          <w:bottom w:w="0" w:type="dxa"/>
          <w:right w:w="108" w:type="dxa"/>
        </w:tblCellMar>
      </w:tblPr>
      <w:tblGrid>
        <w:gridCol w:w="680"/>
        <w:gridCol w:w="1341"/>
        <w:gridCol w:w="1302"/>
        <w:gridCol w:w="6397"/>
        <w:gridCol w:w="1360"/>
        <w:gridCol w:w="1459"/>
        <w:gridCol w:w="1020"/>
        <w:gridCol w:w="853"/>
      </w:tblGrid>
      <w:tr>
        <w:tblPrEx>
          <w:tblLayout w:type="fixed"/>
          <w:tblCellMar>
            <w:top w:w="0" w:type="dxa"/>
            <w:left w:w="108" w:type="dxa"/>
            <w:bottom w:w="0" w:type="dxa"/>
            <w:right w:w="108" w:type="dxa"/>
          </w:tblCellMar>
        </w:tblPrEx>
        <w:trPr>
          <w:trHeight w:val="769"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3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权责事项</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子项名称</w:t>
            </w:r>
          </w:p>
        </w:tc>
        <w:tc>
          <w:tcPr>
            <w:tcW w:w="63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设    定    依    据</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事项类别</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内设机构</w:t>
            </w:r>
          </w:p>
          <w:p>
            <w:pPr>
              <w:widowControl/>
              <w:jc w:val="center"/>
              <w:rPr>
                <w:rFonts w:ascii="宋体" w:hAnsi="宋体" w:cs="宋体"/>
                <w:b/>
                <w:bCs/>
                <w:kern w:val="0"/>
                <w:sz w:val="20"/>
                <w:szCs w:val="20"/>
              </w:rPr>
            </w:pPr>
            <w:r>
              <w:rPr>
                <w:rFonts w:hint="eastAsia" w:ascii="宋体" w:hAnsi="宋体" w:cs="宋体"/>
                <w:b/>
                <w:bCs/>
                <w:kern w:val="0"/>
                <w:sz w:val="20"/>
                <w:szCs w:val="20"/>
              </w:rPr>
              <w:t>或责任单位</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行使层级</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Layout w:type="fixed"/>
          <w:tblCellMar>
            <w:top w:w="0" w:type="dxa"/>
            <w:left w:w="108" w:type="dxa"/>
            <w:bottom w:w="0" w:type="dxa"/>
            <w:right w:w="108" w:type="dxa"/>
          </w:tblCellMar>
        </w:tblPrEx>
        <w:trPr>
          <w:trHeight w:val="5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r>
              <w:rPr>
                <w:rFonts w:hint="eastAsia" w:ascii="宋体" w:hAnsi="宋体" w:cs="宋体"/>
                <w:kern w:val="0"/>
                <w:sz w:val="24"/>
              </w:rPr>
              <w:t>1</w:t>
            </w:r>
          </w:p>
        </w:tc>
        <w:tc>
          <w:tcPr>
            <w:tcW w:w="1341" w:type="dxa"/>
            <w:tcBorders>
              <w:top w:val="nil"/>
              <w:left w:val="nil"/>
              <w:bottom w:val="single" w:color="auto" w:sz="4" w:space="0"/>
              <w:right w:val="single" w:color="auto" w:sz="4" w:space="0"/>
            </w:tcBorders>
            <w:shd w:val="clear" w:color="auto" w:fill="auto"/>
            <w:vAlign w:val="center"/>
          </w:tcPr>
          <w:p>
            <w:pPr>
              <w:widowControl/>
              <w:spacing w:line="440" w:lineRule="exact"/>
              <w:rPr>
                <w:rFonts w:ascii="宋体" w:hAnsi="宋体" w:cs="宋体"/>
                <w:kern w:val="0"/>
                <w:sz w:val="20"/>
                <w:szCs w:val="20"/>
              </w:rPr>
            </w:pPr>
            <w:r>
              <w:rPr>
                <w:rFonts w:hint="eastAsia" w:ascii="宋体" w:hAnsi="宋体" w:cs="宋体"/>
                <w:kern w:val="0"/>
                <w:sz w:val="20"/>
                <w:szCs w:val="20"/>
              </w:rPr>
              <w:t>负责退役军人就业创业、教育培训的组织协调、宣传发动、监督考评等工作</w:t>
            </w:r>
          </w:p>
        </w:tc>
        <w:tc>
          <w:tcPr>
            <w:tcW w:w="1302"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0"/>
                <w:szCs w:val="20"/>
              </w:rPr>
            </w:pPr>
            <w:r>
              <w:rPr>
                <w:rFonts w:hint="eastAsia" w:ascii="宋体" w:hAnsi="宋体" w:cs="宋体"/>
                <w:kern w:val="0"/>
                <w:sz w:val="20"/>
                <w:szCs w:val="20"/>
              </w:rPr>
              <w:t>　</w:t>
            </w:r>
          </w:p>
        </w:tc>
        <w:tc>
          <w:tcPr>
            <w:tcW w:w="6397" w:type="dxa"/>
            <w:tcBorders>
              <w:top w:val="nil"/>
              <w:left w:val="nil"/>
              <w:bottom w:val="single" w:color="auto" w:sz="4" w:space="0"/>
              <w:right w:val="single" w:color="auto" w:sz="4" w:space="0"/>
            </w:tcBorders>
            <w:shd w:val="clear" w:color="auto" w:fill="auto"/>
            <w:vAlign w:val="center"/>
          </w:tcPr>
          <w:p>
            <w:pPr>
              <w:widowControl/>
              <w:spacing w:line="440" w:lineRule="exact"/>
              <w:rPr>
                <w:rFonts w:ascii="宋体" w:hAnsi="宋体" w:cs="宋体"/>
                <w:kern w:val="0"/>
                <w:sz w:val="20"/>
                <w:szCs w:val="20"/>
              </w:rPr>
            </w:pPr>
            <w:r>
              <w:rPr>
                <w:rFonts w:hint="eastAsia" w:ascii="宋体" w:hAnsi="宋体" w:cs="宋体"/>
                <w:kern w:val="0"/>
                <w:sz w:val="20"/>
                <w:szCs w:val="20"/>
              </w:rPr>
              <w:t xml:space="preserve">    1.《退役士兵安置条例》（国务院、中央军委令608号）</w:t>
            </w:r>
            <w:r>
              <w:rPr>
                <w:rFonts w:hint="eastAsia" w:ascii="宋体" w:hAnsi="宋体" w:cs="宋体"/>
                <w:kern w:val="0"/>
                <w:sz w:val="20"/>
                <w:szCs w:val="20"/>
              </w:rPr>
              <w:br w:type="textWrapping"/>
            </w:r>
            <w:r>
              <w:rPr>
                <w:rFonts w:hint="eastAsia" w:ascii="宋体" w:hAnsi="宋体" w:cs="宋体"/>
                <w:kern w:val="0"/>
                <w:sz w:val="20"/>
                <w:szCs w:val="20"/>
              </w:rPr>
              <w:t xml:space="preserve">    第二十一条 县级以上地方人民政府退役士兵安置工作主管部门应当组织自主就业的退役士兵参加职业教育和技能培训，经考试考核合格的，发给相应的学历证书、职业资格证书并推荐就业。退役士兵退役1年内参加职业教育和技能培训的，费用由县级以上人民政府承担；退役士兵退役1年以上参加职业教育和技能培训的，按照国家相关政策执行。</w:t>
            </w:r>
            <w:r>
              <w:rPr>
                <w:rFonts w:hint="eastAsia" w:ascii="宋体" w:hAnsi="宋体" w:cs="宋体"/>
                <w:kern w:val="0"/>
                <w:sz w:val="20"/>
                <w:szCs w:val="20"/>
              </w:rPr>
              <w:br w:type="textWrapping"/>
            </w:r>
            <w:r>
              <w:rPr>
                <w:rFonts w:hint="eastAsia" w:ascii="宋体" w:hAnsi="宋体" w:cs="宋体"/>
                <w:kern w:val="0"/>
                <w:sz w:val="20"/>
                <w:szCs w:val="20"/>
              </w:rPr>
              <w:t xml:space="preserve">    2.漳平市退役军人局“三定”规定（2019年3月31日印发）。</w:t>
            </w:r>
          </w:p>
        </w:tc>
        <w:tc>
          <w:tcPr>
            <w:tcW w:w="13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公共服务</w:t>
            </w:r>
          </w:p>
        </w:tc>
        <w:tc>
          <w:tcPr>
            <w:tcW w:w="1459"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安置就业股</w:t>
            </w:r>
          </w:p>
        </w:tc>
        <w:tc>
          <w:tcPr>
            <w:tcW w:w="102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市级</w:t>
            </w:r>
          </w:p>
        </w:tc>
        <w:tc>
          <w:tcPr>
            <w:tcW w:w="853"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0"/>
                <w:szCs w:val="20"/>
              </w:rPr>
            </w:pPr>
            <w:r>
              <w:rPr>
                <w:rFonts w:hint="eastAsia" w:ascii="宋体" w:hAnsi="宋体" w:cs="宋体"/>
                <w:kern w:val="0"/>
                <w:sz w:val="20"/>
                <w:szCs w:val="20"/>
              </w:rPr>
              <w:t>　</w:t>
            </w:r>
          </w:p>
        </w:tc>
      </w:tr>
    </w:tbl>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spacing w:line="280" w:lineRule="exact"/>
        <w:ind w:left="42" w:leftChars="20"/>
        <w:jc w:val="left"/>
        <w:rPr>
          <w:rFonts w:hint="eastAsia" w:eastAsia="仿宋_GB2312"/>
          <w:b/>
          <w:color w:val="FFFFFF"/>
          <w:spacing w:val="-2"/>
          <w:sz w:val="22"/>
          <w:szCs w:val="22"/>
        </w:rPr>
      </w:pPr>
    </w:p>
    <w:p>
      <w:pPr>
        <w:widowControl/>
        <w:spacing w:line="440" w:lineRule="exact"/>
        <w:jc w:val="left"/>
        <w:rPr>
          <w:rFonts w:ascii="黑体" w:hAnsi="黑体" w:eastAsia="黑体" w:cs="宋体"/>
          <w:kern w:val="0"/>
          <w:sz w:val="24"/>
        </w:rPr>
      </w:pPr>
      <w:r>
        <w:rPr>
          <w:rFonts w:hint="eastAsia" w:ascii="黑体" w:hAnsi="黑体" w:eastAsia="黑体" w:cs="宋体"/>
          <w:kern w:val="0"/>
          <w:sz w:val="24"/>
        </w:rPr>
        <w:t>表四：其他权责事项（共12项）</w:t>
      </w:r>
    </w:p>
    <w:tbl>
      <w:tblPr>
        <w:tblStyle w:val="6"/>
        <w:tblW w:w="14500" w:type="dxa"/>
        <w:jc w:val="center"/>
        <w:tblInd w:w="89" w:type="dxa"/>
        <w:tblLayout w:type="fixed"/>
        <w:tblCellMar>
          <w:top w:w="0" w:type="dxa"/>
          <w:left w:w="108" w:type="dxa"/>
          <w:bottom w:w="0" w:type="dxa"/>
          <w:right w:w="108" w:type="dxa"/>
        </w:tblCellMar>
      </w:tblPr>
      <w:tblGrid>
        <w:gridCol w:w="680"/>
        <w:gridCol w:w="1929"/>
        <w:gridCol w:w="854"/>
        <w:gridCol w:w="7013"/>
        <w:gridCol w:w="1098"/>
        <w:gridCol w:w="1306"/>
        <w:gridCol w:w="1020"/>
        <w:gridCol w:w="600"/>
      </w:tblGrid>
      <w:tr>
        <w:tblPrEx>
          <w:tblLayout w:type="fixed"/>
          <w:tblCellMar>
            <w:top w:w="0" w:type="dxa"/>
            <w:left w:w="108" w:type="dxa"/>
            <w:bottom w:w="0" w:type="dxa"/>
            <w:right w:w="108" w:type="dxa"/>
          </w:tblCellMar>
        </w:tblPrEx>
        <w:trPr>
          <w:trHeight w:val="480" w:hRule="atLeast"/>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9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权责事项</w:t>
            </w:r>
          </w:p>
        </w:tc>
        <w:tc>
          <w:tcPr>
            <w:tcW w:w="8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子项</w:t>
            </w:r>
          </w:p>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70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设    定    依    据</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事项类别</w:t>
            </w:r>
          </w:p>
        </w:tc>
        <w:tc>
          <w:tcPr>
            <w:tcW w:w="13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内设机构</w:t>
            </w:r>
          </w:p>
          <w:p>
            <w:pPr>
              <w:widowControl/>
              <w:jc w:val="center"/>
              <w:rPr>
                <w:rFonts w:ascii="宋体" w:hAnsi="宋体" w:cs="宋体"/>
                <w:b/>
                <w:bCs/>
                <w:kern w:val="0"/>
                <w:sz w:val="20"/>
                <w:szCs w:val="20"/>
              </w:rPr>
            </w:pPr>
            <w:r>
              <w:rPr>
                <w:rFonts w:hint="eastAsia" w:ascii="宋体" w:hAnsi="宋体" w:cs="宋体"/>
                <w:b/>
                <w:bCs/>
                <w:kern w:val="0"/>
                <w:sz w:val="20"/>
                <w:szCs w:val="20"/>
              </w:rPr>
              <w:t>或责任单位</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行使层级</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ind w:left="-103" w:leftChars="-49" w:right="-128" w:rightChars="-61"/>
              <w:jc w:val="center"/>
              <w:rPr>
                <w:rFonts w:ascii="宋体" w:hAnsi="宋体" w:cs="宋体"/>
                <w:b/>
                <w:bCs/>
                <w:kern w:val="0"/>
                <w:sz w:val="20"/>
                <w:szCs w:val="20"/>
              </w:rPr>
            </w:pPr>
            <w:r>
              <w:rPr>
                <w:rFonts w:hint="eastAsia" w:ascii="宋体" w:hAnsi="宋体" w:cs="宋体"/>
                <w:b/>
                <w:bCs/>
                <w:kern w:val="0"/>
                <w:sz w:val="20"/>
                <w:szCs w:val="20"/>
              </w:rPr>
              <w:t>备注</w:t>
            </w:r>
          </w:p>
        </w:tc>
      </w:tr>
      <w:tr>
        <w:tblPrEx>
          <w:tblLayout w:type="fixed"/>
          <w:tblCellMar>
            <w:top w:w="0" w:type="dxa"/>
            <w:left w:w="108" w:type="dxa"/>
            <w:bottom w:w="0" w:type="dxa"/>
            <w:right w:w="108" w:type="dxa"/>
          </w:tblCellMar>
        </w:tblPrEx>
        <w:trPr>
          <w:trHeight w:val="2460"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9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负责信息公开工作</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xml:space="preserve">    1.《政府信息公开条例》（国务院令第711号）</w:t>
            </w:r>
            <w:r>
              <w:rPr>
                <w:rFonts w:hint="eastAsia" w:ascii="宋体" w:hAnsi="宋体" w:cs="宋体"/>
                <w:kern w:val="0"/>
                <w:sz w:val="20"/>
                <w:szCs w:val="20"/>
              </w:rPr>
              <w:br w:type="textWrapping"/>
            </w:r>
            <w:r>
              <w:rPr>
                <w:rFonts w:hint="eastAsia" w:ascii="宋体" w:hAnsi="宋体" w:cs="宋体"/>
                <w:kern w:val="0"/>
                <w:sz w:val="20"/>
                <w:szCs w:val="20"/>
              </w:rPr>
              <w:t xml:space="preserve">    第四条第一款  各级人民政府及县级以上人民政府部门应当建立健全本行政机关的政府信息公开工作制度，并指定机构（以下统称政府信息公开工作机构）负责本行政机关政府信息公开的日常工作。    </w:t>
            </w:r>
            <w:r>
              <w:rPr>
                <w:rFonts w:hint="eastAsia" w:ascii="宋体" w:hAnsi="宋体" w:cs="宋体"/>
                <w:kern w:val="0"/>
                <w:sz w:val="20"/>
                <w:szCs w:val="20"/>
              </w:rPr>
              <w:br w:type="textWrapping"/>
            </w:r>
            <w:r>
              <w:rPr>
                <w:rFonts w:hint="eastAsia" w:ascii="宋体" w:hAnsi="宋体" w:cs="宋体"/>
                <w:kern w:val="0"/>
                <w:sz w:val="20"/>
                <w:szCs w:val="20"/>
              </w:rPr>
              <w:t xml:space="preserve">    2.漳平市退役军人局“三定”规定（2019年3月31日印发）。</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其他权责</w:t>
            </w:r>
          </w:p>
          <w:p>
            <w:pPr>
              <w:widowControl/>
              <w:jc w:val="center"/>
              <w:rPr>
                <w:rFonts w:ascii="宋体" w:hAnsi="宋体" w:cs="宋体"/>
                <w:kern w:val="0"/>
                <w:sz w:val="20"/>
                <w:szCs w:val="20"/>
              </w:rPr>
            </w:pPr>
            <w:r>
              <w:rPr>
                <w:rFonts w:hint="eastAsia" w:ascii="宋体" w:hAnsi="宋体" w:cs="宋体"/>
                <w:kern w:val="0"/>
                <w:sz w:val="20"/>
                <w:szCs w:val="20"/>
              </w:rPr>
              <w:t>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277"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9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做好信访工作</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xml:space="preserve">    1.《信访条例》（国务院令第431号）</w:t>
            </w:r>
            <w:r>
              <w:rPr>
                <w:rFonts w:hint="eastAsia" w:ascii="宋体" w:hAnsi="宋体" w:cs="宋体"/>
                <w:kern w:val="0"/>
                <w:sz w:val="20"/>
                <w:szCs w:val="20"/>
              </w:rPr>
              <w:br w:type="textWrapping"/>
            </w:r>
            <w:r>
              <w:rPr>
                <w:rFonts w:hint="eastAsia" w:ascii="宋体" w:hAnsi="宋体" w:cs="宋体"/>
                <w:kern w:val="0"/>
                <w:sz w:val="20"/>
                <w:szCs w:val="20"/>
              </w:rPr>
              <w:t xml:space="preserve">    第三条第一款 各级人民政府、县级以上人民政府工作部门应当做好信访工作，认真处理来信、接待来访，倾听人民群众的意见、建议和要求，接受人民群众的监督，努力为人民群众服务。</w:t>
            </w:r>
            <w:r>
              <w:rPr>
                <w:rFonts w:hint="eastAsia" w:ascii="宋体" w:hAnsi="宋体" w:cs="宋体"/>
                <w:kern w:val="0"/>
                <w:sz w:val="20"/>
                <w:szCs w:val="20"/>
              </w:rPr>
              <w:br w:type="textWrapping"/>
            </w:r>
            <w:r>
              <w:rPr>
                <w:rFonts w:hint="eastAsia" w:ascii="宋体" w:hAnsi="宋体" w:cs="宋体"/>
                <w:kern w:val="0"/>
                <w:sz w:val="20"/>
                <w:szCs w:val="20"/>
              </w:rPr>
              <w:t xml:space="preserve">    2.漳平市退役军人局“三定”规定（2019年3月31日印发）。</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其他权责</w:t>
            </w:r>
          </w:p>
          <w:p>
            <w:pPr>
              <w:widowControl/>
              <w:jc w:val="center"/>
              <w:rPr>
                <w:rFonts w:ascii="宋体" w:hAnsi="宋体" w:cs="宋体"/>
                <w:kern w:val="0"/>
                <w:sz w:val="20"/>
                <w:szCs w:val="20"/>
              </w:rPr>
            </w:pPr>
            <w:r>
              <w:rPr>
                <w:rFonts w:hint="eastAsia" w:ascii="宋体" w:hAnsi="宋体" w:cs="宋体"/>
                <w:kern w:val="0"/>
                <w:sz w:val="20"/>
                <w:szCs w:val="20"/>
              </w:rPr>
              <w:t>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58"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9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烈士纪念设施的保护管理</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xml:space="preserve">    1.《烈士褒扬条例》（国务院令第601号公布，国务院令第718号修订）</w:t>
            </w:r>
            <w:r>
              <w:rPr>
                <w:rFonts w:hint="eastAsia" w:ascii="宋体" w:hAnsi="宋体" w:cs="宋体"/>
                <w:kern w:val="0"/>
                <w:sz w:val="20"/>
                <w:szCs w:val="20"/>
              </w:rPr>
              <w:br w:type="textWrapping"/>
            </w:r>
            <w:r>
              <w:rPr>
                <w:rFonts w:hint="eastAsia" w:ascii="宋体" w:hAnsi="宋体" w:cs="宋体"/>
                <w:kern w:val="0"/>
                <w:sz w:val="20"/>
                <w:szCs w:val="20"/>
              </w:rPr>
              <w:t xml:space="preserve">    第五条 县级以上人民政府应当加强对烈士纪念设施的保护和管理，为纪念烈士提供良好的场所。</w:t>
            </w:r>
            <w:r>
              <w:rPr>
                <w:rFonts w:hint="eastAsia" w:ascii="宋体" w:hAnsi="宋体" w:cs="宋体"/>
                <w:kern w:val="0"/>
                <w:sz w:val="20"/>
                <w:szCs w:val="20"/>
              </w:rPr>
              <w:br w:type="textWrapping"/>
            </w:r>
            <w:r>
              <w:rPr>
                <w:rFonts w:hint="eastAsia" w:ascii="宋体" w:hAnsi="宋体" w:cs="宋体"/>
                <w:kern w:val="0"/>
                <w:sz w:val="20"/>
                <w:szCs w:val="20"/>
              </w:rPr>
              <w:t xml:space="preserve">    第二十四条 国家对烈士纪念设施实行分级保护。分级的具体标准由国务院退役军人事务部门规定。</w:t>
            </w:r>
            <w:r>
              <w:rPr>
                <w:rFonts w:hint="eastAsia" w:ascii="宋体" w:hAnsi="宋体" w:cs="宋体"/>
                <w:kern w:val="0"/>
                <w:sz w:val="20"/>
                <w:szCs w:val="20"/>
              </w:rPr>
              <w:br w:type="textWrapping"/>
            </w:r>
            <w:r>
              <w:rPr>
                <w:rFonts w:hint="eastAsia" w:ascii="宋体" w:hAnsi="宋体" w:cs="宋体"/>
                <w:kern w:val="0"/>
                <w:sz w:val="20"/>
                <w:szCs w:val="20"/>
              </w:rPr>
              <w:t xml:space="preserve">    国家级烈士纪念设施，由国务院退役军人事务部门报国务院批准后公布。地方各级烈士纪念设施，由县级以上地方人民政府退役军人事务部门报本级人民政府批准后公布，并报上一级人民政府退役军人事务部门备案。</w:t>
            </w:r>
            <w:r>
              <w:rPr>
                <w:rFonts w:hint="eastAsia" w:ascii="宋体" w:hAnsi="宋体" w:cs="宋体"/>
                <w:kern w:val="0"/>
                <w:sz w:val="20"/>
                <w:szCs w:val="20"/>
              </w:rPr>
              <w:br w:type="textWrapping"/>
            </w:r>
            <w:r>
              <w:rPr>
                <w:rFonts w:hint="eastAsia" w:ascii="宋体" w:hAnsi="宋体" w:cs="宋体"/>
                <w:kern w:val="0"/>
                <w:sz w:val="20"/>
                <w:szCs w:val="20"/>
              </w:rPr>
              <w:t xml:space="preserve">    2.漳平市退役军人局“三定”规定（2019年3月31日印发）。</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其他权责</w:t>
            </w:r>
          </w:p>
          <w:p>
            <w:pPr>
              <w:widowControl/>
              <w:jc w:val="center"/>
              <w:rPr>
                <w:rFonts w:ascii="宋体" w:hAnsi="宋体" w:cs="宋体"/>
                <w:kern w:val="0"/>
                <w:sz w:val="20"/>
                <w:szCs w:val="20"/>
              </w:rPr>
            </w:pPr>
            <w:r>
              <w:rPr>
                <w:rFonts w:hint="eastAsia" w:ascii="宋体" w:hAnsi="宋体" w:cs="宋体"/>
                <w:kern w:val="0"/>
                <w:sz w:val="20"/>
                <w:szCs w:val="20"/>
              </w:rPr>
              <w:t>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拥军优抚股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254"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9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烈士审核报批</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xml:space="preserve">    1.《烈士褒扬条例》（国务院令第601号公布，国务院令第718号修订）</w:t>
            </w:r>
            <w:r>
              <w:rPr>
                <w:rFonts w:hint="eastAsia" w:ascii="宋体" w:hAnsi="宋体" w:cs="宋体"/>
                <w:kern w:val="0"/>
                <w:sz w:val="20"/>
                <w:szCs w:val="20"/>
              </w:rPr>
              <w:br w:type="textWrapping"/>
            </w:r>
            <w:r>
              <w:rPr>
                <w:rFonts w:hint="eastAsia" w:ascii="宋体" w:hAnsi="宋体" w:cs="宋体"/>
                <w:kern w:val="0"/>
                <w:sz w:val="20"/>
                <w:szCs w:val="20"/>
              </w:rPr>
              <w:t xml:space="preserve">    第九条 申报烈士的，由死者生前所在工作单位、死者遗属或者事件发生地的组织、公民向死者生前工作单位所在地、死者遗属户口所在地或者事件发生地的县级人民政府退役军人事务部门提供有关死者牺牲情节的材料，由收到材料的县级人民政府退役军人事务部门调查核实后提出评定烈士的报告，报本级人民政府审核。</w:t>
            </w:r>
            <w:r>
              <w:rPr>
                <w:rFonts w:hint="eastAsia" w:ascii="宋体" w:hAnsi="宋体" w:cs="宋体"/>
                <w:kern w:val="0"/>
                <w:sz w:val="20"/>
                <w:szCs w:val="20"/>
              </w:rPr>
              <w:br w:type="textWrapping"/>
            </w:r>
            <w:r>
              <w:rPr>
                <w:rFonts w:hint="eastAsia" w:ascii="宋体" w:hAnsi="宋体" w:cs="宋体"/>
                <w:kern w:val="0"/>
                <w:sz w:val="20"/>
                <w:szCs w:val="20"/>
              </w:rPr>
              <w:t xml:space="preserve">    属于本条例第八条第一款第一项、第二项规定情形的，由县级人民政府提出评定烈士的报告并逐经上报至省、自治区、直辖市人民政府审查评定。评定为烈士的，由省、自治区、直辖市人民政府送国务院退役军人事务部门备案。</w:t>
            </w:r>
            <w:r>
              <w:rPr>
                <w:rFonts w:hint="eastAsia" w:ascii="宋体" w:hAnsi="宋体" w:cs="宋体"/>
                <w:kern w:val="0"/>
                <w:sz w:val="20"/>
                <w:szCs w:val="20"/>
              </w:rPr>
              <w:br w:type="textWrapping"/>
            </w:r>
            <w:r>
              <w:rPr>
                <w:rFonts w:hint="eastAsia" w:ascii="宋体" w:hAnsi="宋体" w:cs="宋体"/>
                <w:kern w:val="0"/>
                <w:sz w:val="20"/>
                <w:szCs w:val="20"/>
              </w:rPr>
              <w:t xml:space="preserve">    2.漳平市退役军人局“三定”规定（2019年3月31日印发）。</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其他权责事项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拥军优抚股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132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9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负责因战因公致残的退役军人、人民警察、国家机关工作人员等伤残人员的残疾等级评定</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市退役军人局“三定”规定（2019年3月31日印发）。</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其他权责事项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拥军优抚股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8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9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会同有关部门做好军队转业干部家属的随调随迁安置工作</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漳平市退役军人局“三定”规定（2019年3月31日印发）。</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其他权责事项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安置就业股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921"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9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协调随军随调家属就业创业</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1.《军人抚恤优待条例》（国务院 中央军委令第413号公布，根据2019年3月2日《国务院关于修改部分行政法规的决定》修正）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第四十一条  经军队师（旅）级以上单位政治机关批准随军的现役军官家属、文职干部家属、士官家属，由驻军所在地的公安机关办理落户手续。随军前是国家机关、社会团体、企业事业单位职工的，驻军所在地人民政府人力资源社会保障部门应当接收和妥善安置；随军前没有工作单位的，驻军所在地人民政府应当根据本人的实际情况作出相应安置；对自谋职业的，按照国家有关规定减免有关费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2.市退役军人局“三定”规定（2019年3月31日印发）。</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其他权责事项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安置就业股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761"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9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贯彻落实拥军优属、拥政爱民政策</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1.《福建省拥军优属条例》 (2011年福建省第十一届人民代表大会常务委员会第二十一次会议通过，2018年福建省第十三届人民代表大会常务委员会第七次会议修正)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第三条第二款 县级以上拥军优属拥政爱民工作领导小组统筹协调、指导、推动本行政区域内拥军优属工作，日常工作由相关职能部门承担。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2.漳平市退役军人局“三定”规定（2019年3月31日印发）。</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其他权责事项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142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9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组织协调全市性双拥工作，指导开展创建全国、全省“双拥模范城（县）”活动</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其他权责事项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84"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9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协调开展双拥共建活动</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其他权责事项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1005"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9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承担市双拥共建工作领导小组办公室的日常工作</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其他权责事项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25"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9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开展双拥宣传和理论研究，总结推广双拥工作经验</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1.《福建省拥军优属条例》(2011年福建省第十一届人民代表大会常务委员会第二十一次会议通过，2018年福建省第十三届人民代表大会常务委员会第七次会议修正)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第六条  地方各级人民政府应当将拥军优属的宣传教育纳入爱国主义教育、全民国防教育和法制宣传教育规划。县级以上地方人民政府退役军人事务、司法行政、教育和新闻出版等行政部门，应当根据宣传教育规划制定年度实施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2.漳平市退役军人局“三定”规定（2019年3月31日印发）。</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其他权责事项</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市级</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sectPr>
      <w:pgSz w:w="16838" w:h="11906" w:orient="landscape"/>
      <w:pgMar w:top="1304" w:right="1134" w:bottom="1304" w:left="1134" w:header="851" w:footer="992" w:gutter="0"/>
      <w:paperSrc/>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C33F3"/>
    <w:rsid w:val="707C33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2020-06-05T09:10:00Z</dcterms:created>
  <dc:creator>admin</dc:creator>
  <cp:lastModifiedBy>admin</cp:lastModifiedBy>
  <dcterms:modified xsi:type="dcterms:W3CDTF">2020-06-05T09:11:58Z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