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漳平市制定管道天然气价格方案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为建立</w:t>
      </w:r>
      <w:r>
        <w:rPr>
          <w:rFonts w:hint="eastAsia" w:ascii="仿宋" w:hAnsi="仿宋" w:eastAsia="仿宋" w:cs="仿宋"/>
          <w:sz w:val="32"/>
          <w:szCs w:val="32"/>
          <w:lang w:eastAsia="zh-CN"/>
        </w:rPr>
        <w:t>健全</w:t>
      </w:r>
      <w:r>
        <w:rPr>
          <w:rFonts w:hint="eastAsia" w:ascii="仿宋" w:hAnsi="仿宋" w:eastAsia="仿宋" w:cs="仿宋"/>
          <w:sz w:val="32"/>
          <w:szCs w:val="32"/>
        </w:rPr>
        <w:t>天然气</w:t>
      </w:r>
      <w:r>
        <w:rPr>
          <w:rFonts w:hint="eastAsia" w:ascii="仿宋" w:hAnsi="仿宋" w:eastAsia="仿宋" w:cs="仿宋"/>
          <w:sz w:val="32"/>
          <w:szCs w:val="32"/>
          <w:lang w:eastAsia="zh-CN"/>
        </w:rPr>
        <w:t>价格定价</w:t>
      </w:r>
      <w:r>
        <w:rPr>
          <w:rFonts w:hint="eastAsia" w:ascii="仿宋" w:hAnsi="仿宋" w:eastAsia="仿宋" w:cs="仿宋"/>
          <w:sz w:val="32"/>
          <w:szCs w:val="32"/>
        </w:rPr>
        <w:t>机制，促进</w:t>
      </w:r>
      <w:r>
        <w:rPr>
          <w:rFonts w:hint="eastAsia" w:ascii="仿宋" w:hAnsi="仿宋" w:eastAsia="仿宋" w:cs="仿宋"/>
          <w:sz w:val="32"/>
          <w:szCs w:val="32"/>
          <w:lang w:eastAsia="zh-CN"/>
        </w:rPr>
        <w:t>我市</w:t>
      </w:r>
      <w:r>
        <w:rPr>
          <w:rFonts w:hint="eastAsia" w:ascii="仿宋" w:hAnsi="仿宋" w:eastAsia="仿宋" w:cs="仿宋"/>
          <w:sz w:val="32"/>
          <w:szCs w:val="32"/>
        </w:rPr>
        <w:t>天然气行业的健康</w:t>
      </w:r>
      <w:r>
        <w:rPr>
          <w:rFonts w:hint="eastAsia" w:ascii="仿宋" w:hAnsi="仿宋" w:eastAsia="仿宋" w:cs="仿宋"/>
          <w:sz w:val="32"/>
          <w:szCs w:val="32"/>
          <w:lang w:eastAsia="zh-CN"/>
        </w:rPr>
        <w:t>可持续</w:t>
      </w:r>
      <w:r>
        <w:rPr>
          <w:rFonts w:hint="eastAsia" w:ascii="仿宋" w:hAnsi="仿宋" w:eastAsia="仿宋" w:cs="仿宋"/>
          <w:sz w:val="32"/>
          <w:szCs w:val="32"/>
        </w:rPr>
        <w:t>发展，</w:t>
      </w:r>
      <w:r>
        <w:rPr>
          <w:rFonts w:hint="eastAsia" w:ascii="仿宋" w:hAnsi="仿宋" w:eastAsia="仿宋" w:cs="仿宋"/>
          <w:sz w:val="32"/>
          <w:szCs w:val="32"/>
          <w:lang w:eastAsia="zh-CN"/>
        </w:rPr>
        <w:t>根据国家和省发改委的要求，对城镇管道天然气经营企业要制定独立的城镇配气价格、建立居民生活用气阶梯价格制度和终端用户销售价格联动机制，我局启动了管道天然气价格定价程序，对漳平昆润天然气有限公司进行了配气定价成本监审，并按有关规定对配气价格和销售价格进行测算，在综合考虑我市经济发展水平、企业运营情况和用户承受能力等因素，拟定了《漳平市制定管道天然气价格方案》，提交本次听证会征求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仿宋" w:hAnsi="仿宋" w:eastAsia="仿宋" w:cs="仿宋"/>
          <w:sz w:val="32"/>
          <w:szCs w:val="32"/>
        </w:rPr>
        <w:t> </w:t>
      </w:r>
      <w:r>
        <w:rPr>
          <w:rFonts w:hint="eastAsia" w:ascii="黑体" w:hAnsi="黑体" w:eastAsia="黑体" w:cs="黑体"/>
          <w:b w:val="0"/>
          <w:bCs w:val="0"/>
          <w:sz w:val="32"/>
          <w:szCs w:val="32"/>
        </w:rPr>
        <w:t>一、</w:t>
      </w:r>
      <w:r>
        <w:rPr>
          <w:rFonts w:hint="eastAsia" w:ascii="黑体" w:hAnsi="黑体" w:eastAsia="黑体" w:cs="黑体"/>
          <w:b w:val="0"/>
          <w:bCs w:val="0"/>
          <w:sz w:val="32"/>
          <w:szCs w:val="32"/>
          <w:lang w:eastAsia="zh-CN"/>
        </w:rPr>
        <w:t>城镇管道天然气</w:t>
      </w:r>
      <w:r>
        <w:rPr>
          <w:rFonts w:hint="eastAsia" w:ascii="黑体" w:hAnsi="黑体" w:eastAsia="黑体" w:cs="黑体"/>
          <w:b w:val="0"/>
          <w:bCs w:val="0"/>
          <w:sz w:val="32"/>
          <w:szCs w:val="32"/>
        </w:rPr>
        <w:t>配气价格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华文楷体" w:hAnsi="华文楷体" w:eastAsia="华文楷体" w:cs="华文楷体"/>
          <w:sz w:val="32"/>
          <w:szCs w:val="32"/>
          <w:lang w:eastAsia="zh-CN"/>
        </w:rPr>
        <w:t>（一）</w:t>
      </w:r>
      <w:r>
        <w:rPr>
          <w:rFonts w:hint="eastAsia" w:ascii="华文楷体" w:hAnsi="华文楷体" w:eastAsia="华文楷体" w:cs="华文楷体"/>
          <w:sz w:val="32"/>
          <w:szCs w:val="32"/>
        </w:rPr>
        <w:t>定价依据和理由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《国家发改委关于加强配气价格监管的指导意见》（发改价格〔2017〕1171号）、《福建省天然气价格管理办法》（闽价商〔2017〕242号）规定：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城镇配气价格=</w:t>
      </w:r>
      <w:r>
        <w:rPr>
          <w:rFonts w:hint="eastAsia" w:ascii="仿宋" w:hAnsi="仿宋" w:eastAsia="仿宋" w:cs="仿宋"/>
          <w:sz w:val="32"/>
          <w:szCs w:val="32"/>
          <w:lang w:eastAsia="zh-CN"/>
        </w:rPr>
        <w:t>年度</w:t>
      </w:r>
      <w:r>
        <w:rPr>
          <w:rFonts w:hint="eastAsia" w:ascii="仿宋" w:hAnsi="仿宋" w:eastAsia="仿宋" w:cs="仿宋"/>
          <w:sz w:val="32"/>
          <w:szCs w:val="32"/>
        </w:rPr>
        <w:t>准许总收入/年度配送气量；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FF0000"/>
          <w:sz w:val="32"/>
          <w:szCs w:val="32"/>
        </w:rPr>
      </w:pPr>
      <w:r>
        <w:rPr>
          <w:rFonts w:hint="eastAsia" w:ascii="仿宋" w:hAnsi="仿宋" w:eastAsia="仿宋" w:cs="仿宋"/>
          <w:sz w:val="32"/>
          <w:szCs w:val="32"/>
          <w:lang w:eastAsia="zh-CN"/>
        </w:rPr>
        <w:t>年度</w:t>
      </w:r>
      <w:r>
        <w:rPr>
          <w:rFonts w:hint="eastAsia" w:ascii="仿宋" w:hAnsi="仿宋" w:eastAsia="仿宋" w:cs="仿宋"/>
          <w:sz w:val="32"/>
          <w:szCs w:val="32"/>
        </w:rPr>
        <w:t>准许总收入=准许成本+准许收益+税费支出-其他业务收支净额。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color w:val="auto"/>
          <w:sz w:val="32"/>
          <w:szCs w:val="32"/>
          <w:lang w:val="en-US" w:eastAsia="zh-CN"/>
        </w:rPr>
        <w:t>2、城镇</w:t>
      </w:r>
      <w:r>
        <w:rPr>
          <w:rFonts w:hint="eastAsia" w:ascii="仿宋" w:hAnsi="仿宋" w:eastAsia="仿宋" w:cs="仿宋"/>
          <w:sz w:val="32"/>
          <w:szCs w:val="32"/>
        </w:rPr>
        <w:t>配气价格按照“准许成本加合理收益”的原则制定</w:t>
      </w:r>
      <w:r>
        <w:rPr>
          <w:rFonts w:hint="eastAsia" w:ascii="仿宋" w:hAnsi="仿宋" w:eastAsia="仿宋" w:cs="仿宋"/>
          <w:sz w:val="32"/>
          <w:szCs w:val="32"/>
          <w:lang w:eastAsia="zh-CN"/>
        </w:rPr>
        <w:t>。根据福建鑫八闽价格鉴定评估有限公司对漳平昆润管道天然气配气定价成本审核意见结论，</w:t>
      </w:r>
      <w:r>
        <w:rPr>
          <w:rFonts w:hint="eastAsia" w:ascii="仿宋" w:hAnsi="仿宋" w:eastAsia="仿宋" w:cs="仿宋"/>
          <w:sz w:val="32"/>
          <w:szCs w:val="32"/>
          <w:lang w:val="en-US" w:eastAsia="zh-CN"/>
        </w:rPr>
        <w:t>2020-2022年度（下同）</w:t>
      </w:r>
      <w:r>
        <w:rPr>
          <w:rFonts w:hint="eastAsia" w:ascii="仿宋" w:hAnsi="仿宋" w:eastAsia="仿宋" w:cs="仿宋"/>
          <w:sz w:val="32"/>
          <w:szCs w:val="32"/>
          <w:lang w:eastAsia="zh-CN"/>
        </w:rPr>
        <w:t>城镇配气总成本（准许成本）</w:t>
      </w:r>
      <w:r>
        <w:rPr>
          <w:rFonts w:hint="eastAsia" w:ascii="仿宋" w:hAnsi="仿宋" w:eastAsia="仿宋" w:cs="仿宋"/>
          <w:sz w:val="32"/>
          <w:szCs w:val="32"/>
          <w:lang w:val="en-US" w:eastAsia="zh-CN"/>
        </w:rPr>
        <w:t>217.12万元，核定年度配送气量672.78万立方米，单位配气定价成本为0.56元/立方米，准许收益按有效资产的7%核定，综合税率9.9%。经测算，准许年度总收入为652.59万元，配气价格为0.97元/立方米。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sz w:val="32"/>
          <w:szCs w:val="32"/>
          <w:lang w:eastAsia="zh-CN"/>
        </w:rPr>
      </w:pPr>
      <w:r>
        <w:rPr>
          <w:rFonts w:hint="eastAsia" w:ascii="华文楷体" w:hAnsi="华文楷体" w:eastAsia="华文楷体" w:cs="华文楷体"/>
          <w:sz w:val="32"/>
          <w:szCs w:val="32"/>
        </w:rPr>
        <w:t>（</w:t>
      </w:r>
      <w:r>
        <w:rPr>
          <w:rFonts w:hint="eastAsia" w:ascii="华文楷体" w:hAnsi="华文楷体" w:eastAsia="华文楷体" w:cs="华文楷体"/>
          <w:sz w:val="32"/>
          <w:szCs w:val="32"/>
          <w:lang w:eastAsia="zh-CN"/>
        </w:rPr>
        <w:t>二</w:t>
      </w:r>
      <w:r>
        <w:rPr>
          <w:rFonts w:hint="eastAsia" w:ascii="华文楷体" w:hAnsi="华文楷体" w:eastAsia="华文楷体" w:cs="华文楷体"/>
          <w:sz w:val="32"/>
          <w:szCs w:val="32"/>
        </w:rPr>
        <w:t>）</w:t>
      </w:r>
      <w:r>
        <w:rPr>
          <w:rFonts w:hint="eastAsia" w:ascii="华文楷体" w:hAnsi="华文楷体" w:eastAsia="华文楷体" w:cs="华文楷体"/>
          <w:sz w:val="32"/>
          <w:szCs w:val="32"/>
          <w:lang w:eastAsia="zh-CN"/>
        </w:rPr>
        <w:t>定价方案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FF0000"/>
          <w:sz w:val="32"/>
          <w:szCs w:val="32"/>
          <w:lang w:eastAsia="zh-CN"/>
        </w:rPr>
      </w:pPr>
      <w:r>
        <w:rPr>
          <w:rFonts w:hint="eastAsia" w:ascii="仿宋" w:hAnsi="仿宋" w:eastAsia="仿宋" w:cs="仿宋"/>
          <w:sz w:val="32"/>
          <w:szCs w:val="32"/>
          <w:lang w:eastAsia="zh-CN"/>
        </w:rPr>
        <w:t>城镇</w:t>
      </w:r>
      <w:r>
        <w:rPr>
          <w:rFonts w:hint="eastAsia" w:ascii="仿宋" w:hAnsi="仿宋" w:eastAsia="仿宋" w:cs="仿宋"/>
          <w:sz w:val="32"/>
          <w:szCs w:val="32"/>
        </w:rPr>
        <w:t>管道</w:t>
      </w:r>
      <w:r>
        <w:rPr>
          <w:rFonts w:hint="eastAsia" w:ascii="仿宋" w:hAnsi="仿宋" w:eastAsia="仿宋" w:cs="仿宋"/>
          <w:sz w:val="32"/>
          <w:szCs w:val="32"/>
          <w:lang w:eastAsia="zh-CN"/>
        </w:rPr>
        <w:t>天然气</w:t>
      </w:r>
      <w:r>
        <w:rPr>
          <w:rFonts w:hint="eastAsia" w:ascii="仿宋" w:hAnsi="仿宋" w:eastAsia="仿宋" w:cs="仿宋"/>
          <w:sz w:val="32"/>
          <w:szCs w:val="32"/>
        </w:rPr>
        <w:t>配气价格</w:t>
      </w:r>
      <w:r>
        <w:rPr>
          <w:rFonts w:hint="eastAsia" w:ascii="仿宋" w:hAnsi="仿宋" w:eastAsia="仿宋" w:cs="仿宋"/>
          <w:sz w:val="32"/>
          <w:szCs w:val="32"/>
          <w:lang w:eastAsia="zh-CN"/>
        </w:rPr>
        <w:t>拟</w:t>
      </w:r>
      <w:r>
        <w:rPr>
          <w:rFonts w:hint="eastAsia" w:ascii="仿宋" w:hAnsi="仿宋" w:eastAsia="仿宋" w:cs="仿宋"/>
          <w:sz w:val="32"/>
          <w:szCs w:val="32"/>
        </w:rPr>
        <w:t>制定为</w:t>
      </w:r>
      <w:r>
        <w:rPr>
          <w:rFonts w:hint="eastAsia" w:ascii="仿宋" w:hAnsi="仿宋" w:eastAsia="仿宋" w:cs="仿宋"/>
          <w:sz w:val="32"/>
          <w:szCs w:val="32"/>
          <w:lang w:val="en-US" w:eastAsia="zh-CN"/>
        </w:rPr>
        <w:t>0.97</w:t>
      </w:r>
      <w:r>
        <w:rPr>
          <w:rFonts w:hint="eastAsia" w:ascii="仿宋" w:hAnsi="仿宋" w:eastAsia="仿宋" w:cs="仿宋"/>
          <w:sz w:val="32"/>
          <w:szCs w:val="32"/>
        </w:rPr>
        <w:t>元/立方米。配气价格原则上每三年校核调整一次，如投资、运输气量、配送气量、成本等发生重大变化，可根据实际情况提前</w:t>
      </w:r>
      <w:r>
        <w:rPr>
          <w:rFonts w:hint="eastAsia" w:ascii="仿宋" w:hAnsi="仿宋" w:eastAsia="仿宋" w:cs="仿宋"/>
          <w:sz w:val="32"/>
          <w:szCs w:val="32"/>
          <w:lang w:eastAsia="zh-CN"/>
        </w:rPr>
        <w:t>作出</w:t>
      </w:r>
      <w:r>
        <w:rPr>
          <w:rFonts w:hint="eastAsia" w:ascii="仿宋" w:hAnsi="仿宋" w:eastAsia="仿宋" w:cs="仿宋"/>
          <w:sz w:val="32"/>
          <w:szCs w:val="32"/>
        </w:rPr>
        <w:t>校核调整</w:t>
      </w:r>
      <w:r>
        <w:rPr>
          <w:rFonts w:hint="eastAsia" w:ascii="仿宋" w:hAnsi="仿宋" w:eastAsia="仿宋" w:cs="仿宋"/>
          <w:sz w:val="32"/>
          <w:szCs w:val="32"/>
          <w:lang w:eastAsia="zh-CN"/>
        </w:rPr>
        <w:t>申请，并按听证程序制定</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b/>
          <w:bCs/>
          <w:sz w:val="32"/>
          <w:szCs w:val="32"/>
          <w:lang w:eastAsia="zh-CN"/>
        </w:rPr>
      </w:pPr>
      <w:r>
        <w:rPr>
          <w:rFonts w:hint="eastAsia" w:ascii="仿宋" w:hAnsi="仿宋" w:eastAsia="仿宋" w:cs="仿宋"/>
          <w:sz w:val="32"/>
          <w:szCs w:val="32"/>
          <w:lang w:val="en-US" w:eastAsia="zh-CN"/>
        </w:rPr>
        <w:t xml:space="preserve"> </w:t>
      </w:r>
      <w:r>
        <w:rPr>
          <w:rFonts w:hint="eastAsia" w:ascii="宋体" w:hAnsi="宋体" w:eastAsia="宋体" w:cs="宋体"/>
          <w:b/>
          <w:bCs/>
          <w:sz w:val="32"/>
          <w:szCs w:val="32"/>
          <w:lang w:eastAsia="zh-CN"/>
        </w:rPr>
        <w:t>二</w:t>
      </w:r>
      <w:r>
        <w:rPr>
          <w:rFonts w:hint="eastAsia" w:ascii="宋体" w:hAnsi="宋体" w:eastAsia="宋体" w:cs="宋体"/>
          <w:b/>
          <w:bCs/>
          <w:sz w:val="32"/>
          <w:szCs w:val="32"/>
        </w:rPr>
        <w:t>、居民生活用气阶梯价格</w:t>
      </w:r>
      <w:r>
        <w:rPr>
          <w:rFonts w:hint="eastAsia" w:ascii="宋体" w:hAnsi="宋体" w:eastAsia="宋体" w:cs="宋体"/>
          <w:b/>
          <w:bCs/>
          <w:sz w:val="32"/>
          <w:szCs w:val="32"/>
          <w:lang w:eastAsia="zh-CN"/>
        </w:rPr>
        <w:t>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b w:val="0"/>
          <w:bCs w:val="0"/>
          <w:kern w:val="0"/>
          <w:sz w:val="32"/>
          <w:szCs w:val="16"/>
          <w:lang w:eastAsia="zh-CN"/>
        </w:rPr>
      </w:pPr>
      <w:r>
        <w:rPr>
          <w:rFonts w:hint="eastAsia" w:ascii="华文楷体" w:hAnsi="华文楷体" w:eastAsia="华文楷体" w:cs="华文楷体"/>
          <w:b w:val="0"/>
          <w:bCs w:val="0"/>
          <w:kern w:val="0"/>
          <w:sz w:val="32"/>
          <w:szCs w:val="16"/>
          <w:lang w:eastAsia="zh-CN"/>
        </w:rPr>
        <w:t>（一）依据和理由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Times New Roman"/>
          <w:b w:val="0"/>
          <w:bCs w:val="0"/>
          <w:kern w:val="0"/>
          <w:sz w:val="32"/>
          <w:szCs w:val="16"/>
          <w:lang w:eastAsia="zh-CN"/>
        </w:rPr>
      </w:pPr>
      <w:r>
        <w:rPr>
          <w:rFonts w:hint="eastAsia" w:ascii="仿宋" w:hAnsi="仿宋" w:eastAsia="仿宋" w:cs="Times New Roman"/>
          <w:b w:val="0"/>
          <w:bCs w:val="0"/>
          <w:kern w:val="0"/>
          <w:sz w:val="32"/>
          <w:szCs w:val="16"/>
          <w:lang w:val="en-US" w:eastAsia="zh-CN"/>
        </w:rPr>
        <w:t>1、</w:t>
      </w:r>
      <w:r>
        <w:rPr>
          <w:rFonts w:hint="eastAsia" w:ascii="仿宋" w:hAnsi="仿宋" w:eastAsia="仿宋" w:cs="Times New Roman"/>
          <w:b w:val="0"/>
          <w:bCs w:val="0"/>
          <w:kern w:val="0"/>
          <w:sz w:val="32"/>
          <w:szCs w:val="16"/>
          <w:lang w:eastAsia="zh-CN"/>
        </w:rPr>
        <w:t>国家发改委《关于建立健全居民生活用气阶梯价格制度的指导意见》（发改价格〔2014〕467号）精神，按照满足不同用气需求，将居民生活用气量及价格分为三档，价格实行超额累进加价的规定，我市分档气量参照现行龙岩中心城市及县市区的各档气量，以每户</w:t>
      </w:r>
      <w:r>
        <w:rPr>
          <w:rFonts w:hint="eastAsia" w:ascii="仿宋" w:hAnsi="仿宋" w:eastAsia="仿宋" w:cs="Times New Roman"/>
          <w:b w:val="0"/>
          <w:bCs w:val="0"/>
          <w:kern w:val="0"/>
          <w:sz w:val="32"/>
          <w:szCs w:val="16"/>
          <w:lang w:val="en-US" w:eastAsia="zh-CN"/>
        </w:rPr>
        <w:t>4人、每人每月5立方米用气量计算，</w:t>
      </w:r>
      <w:r>
        <w:rPr>
          <w:rFonts w:hint="eastAsia" w:ascii="仿宋" w:hAnsi="仿宋" w:eastAsia="仿宋" w:cs="Times New Roman"/>
          <w:b w:val="0"/>
          <w:bCs w:val="0"/>
          <w:kern w:val="0"/>
          <w:sz w:val="32"/>
          <w:szCs w:val="16"/>
          <w:lang w:eastAsia="zh-CN"/>
        </w:rPr>
        <w:t>各档气价按1:1.2:1.5比价关系制定。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Times New Roman"/>
          <w:b w:val="0"/>
          <w:bCs w:val="0"/>
          <w:kern w:val="0"/>
          <w:sz w:val="32"/>
          <w:szCs w:val="16"/>
          <w:lang w:val="en-US" w:eastAsia="zh-CN"/>
        </w:rPr>
      </w:pPr>
      <w:r>
        <w:rPr>
          <w:rFonts w:hint="eastAsia" w:ascii="仿宋" w:hAnsi="仿宋" w:eastAsia="仿宋" w:cs="Times New Roman"/>
          <w:b w:val="0"/>
          <w:bCs w:val="0"/>
          <w:kern w:val="0"/>
          <w:sz w:val="32"/>
          <w:szCs w:val="16"/>
          <w:lang w:val="en-US" w:eastAsia="zh-CN"/>
        </w:rPr>
        <w:t>2、根据《福建省天然气价格管理办法》（闽价商〔2017〕242号）规定，终端用户销售价格由购气价格和配气价格组成。经采集漳平昆润天然气有限公司2020年1月至2022年12月的购气价格，其加权平均购气价格（含税）为3.26元/立方米，加上拟定的配气价格0.97元/立方米，终端用户销售价格应为4.23元/立方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华文楷体" w:hAnsi="华文楷体" w:eastAsia="华文楷体" w:cs="华文楷体"/>
          <w:b w:val="0"/>
          <w:bCs w:val="0"/>
          <w:kern w:val="0"/>
          <w:sz w:val="32"/>
          <w:szCs w:val="16"/>
          <w:lang w:eastAsia="zh-CN"/>
        </w:rPr>
      </w:pPr>
      <w:r>
        <w:rPr>
          <w:rFonts w:hint="eastAsia" w:ascii="华文楷体" w:hAnsi="华文楷体" w:eastAsia="华文楷体" w:cs="华文楷体"/>
          <w:b w:val="0"/>
          <w:bCs w:val="0"/>
          <w:kern w:val="0"/>
          <w:sz w:val="32"/>
          <w:szCs w:val="16"/>
          <w:lang w:eastAsia="zh-CN"/>
        </w:rPr>
        <w:t>（二）居民生活用气阶梯价格方案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Times New Roman"/>
          <w:b w:val="0"/>
          <w:bCs w:val="0"/>
          <w:kern w:val="0"/>
          <w:sz w:val="32"/>
          <w:szCs w:val="16"/>
          <w:lang w:eastAsia="zh-CN"/>
        </w:rPr>
      </w:pPr>
      <w:r>
        <w:rPr>
          <w:rFonts w:hint="eastAsia" w:ascii="仿宋" w:hAnsi="仿宋" w:eastAsia="仿宋" w:cs="Times New Roman"/>
          <w:b w:val="0"/>
          <w:bCs w:val="0"/>
          <w:kern w:val="0"/>
          <w:sz w:val="32"/>
          <w:szCs w:val="16"/>
          <w:lang w:eastAsia="zh-CN"/>
        </w:rPr>
        <w:t>方案一：</w:t>
      </w:r>
    </w:p>
    <w:tbl>
      <w:tblPr>
        <w:tblStyle w:val="5"/>
        <w:tblW w:w="8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0"/>
        <w:gridCol w:w="2113"/>
        <w:gridCol w:w="2128"/>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32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560" w:firstLineChars="200"/>
              <w:jc w:val="both"/>
              <w:textAlignment w:val="auto"/>
              <w:rPr>
                <w:rFonts w:hint="eastAsia" w:asciiTheme="minorEastAsia" w:hAnsiTheme="minorEastAsia" w:eastAsiaTheme="minorEastAsia" w:cstheme="minorEastAsia"/>
                <w:b w:val="0"/>
                <w:bCs w:val="0"/>
                <w:sz w:val="28"/>
                <w:szCs w:val="28"/>
                <w:vertAlign w:val="baseline"/>
                <w:lang w:val="en-US" w:eastAsia="zh-CN"/>
              </w:rPr>
            </w:pPr>
          </w:p>
        </w:tc>
        <w:tc>
          <w:tcPr>
            <w:tcW w:w="2113" w:type="dxa"/>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第一档</w:t>
            </w:r>
          </w:p>
        </w:tc>
        <w:tc>
          <w:tcPr>
            <w:tcW w:w="2128" w:type="dxa"/>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第二档</w:t>
            </w:r>
          </w:p>
        </w:tc>
        <w:tc>
          <w:tcPr>
            <w:tcW w:w="1642" w:type="dxa"/>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第三档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320" w:type="dxa"/>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年用气量（立方米）</w:t>
            </w:r>
          </w:p>
        </w:tc>
        <w:tc>
          <w:tcPr>
            <w:tcW w:w="2113" w:type="dxa"/>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240</w:t>
            </w:r>
            <w:r>
              <w:rPr>
                <w:rFonts w:hint="eastAsia" w:asciiTheme="minorEastAsia" w:hAnsiTheme="minorEastAsia" w:eastAsiaTheme="minorEastAsia" w:cstheme="minorEastAsia"/>
                <w:b w:val="0"/>
                <w:bCs w:val="0"/>
                <w:sz w:val="24"/>
                <w:szCs w:val="24"/>
                <w:vertAlign w:val="baseline"/>
                <w:lang w:val="en-US" w:eastAsia="zh-CN"/>
              </w:rPr>
              <w:t>（含）以内</w:t>
            </w:r>
          </w:p>
        </w:tc>
        <w:tc>
          <w:tcPr>
            <w:tcW w:w="2128" w:type="dxa"/>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240</w:t>
            </w:r>
            <w:r>
              <w:rPr>
                <w:rFonts w:hint="eastAsia" w:asciiTheme="minorEastAsia" w:hAnsiTheme="minorEastAsia" w:eastAsiaTheme="minorEastAsia" w:cstheme="minorEastAsia"/>
                <w:b w:val="0"/>
                <w:bCs w:val="0"/>
                <w:sz w:val="24"/>
                <w:szCs w:val="24"/>
                <w:vertAlign w:val="baseline"/>
                <w:lang w:val="en-US" w:eastAsia="zh-CN"/>
              </w:rPr>
              <w:t>-</w:t>
            </w:r>
            <w:r>
              <w:rPr>
                <w:rFonts w:hint="eastAsia" w:asciiTheme="minorEastAsia" w:hAnsiTheme="minorEastAsia" w:cstheme="minorEastAsia"/>
                <w:b w:val="0"/>
                <w:bCs w:val="0"/>
                <w:sz w:val="24"/>
                <w:szCs w:val="24"/>
                <w:vertAlign w:val="baseline"/>
                <w:lang w:val="en-US" w:eastAsia="zh-CN"/>
              </w:rPr>
              <w:t>360</w:t>
            </w:r>
            <w:r>
              <w:rPr>
                <w:rFonts w:hint="eastAsia" w:asciiTheme="minorEastAsia" w:hAnsiTheme="minorEastAsia" w:eastAsiaTheme="minorEastAsia" w:cstheme="minorEastAsia"/>
                <w:b w:val="0"/>
                <w:bCs w:val="0"/>
                <w:sz w:val="24"/>
                <w:szCs w:val="24"/>
                <w:vertAlign w:val="baseline"/>
                <w:lang w:val="en-US" w:eastAsia="zh-CN"/>
              </w:rPr>
              <w:t>（含）</w:t>
            </w:r>
          </w:p>
        </w:tc>
        <w:tc>
          <w:tcPr>
            <w:tcW w:w="1642" w:type="dxa"/>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3</w:t>
            </w:r>
            <w:r>
              <w:rPr>
                <w:rFonts w:hint="eastAsia" w:asciiTheme="minorEastAsia" w:hAnsiTheme="minorEastAsia" w:cstheme="minorEastAsia"/>
                <w:b w:val="0"/>
                <w:bCs w:val="0"/>
                <w:sz w:val="24"/>
                <w:szCs w:val="24"/>
                <w:vertAlign w:val="baseline"/>
                <w:lang w:val="en-US" w:eastAsia="zh-CN"/>
              </w:rPr>
              <w:t>6</w:t>
            </w:r>
            <w:r>
              <w:rPr>
                <w:rFonts w:hint="eastAsia" w:asciiTheme="minorEastAsia" w:hAnsiTheme="minorEastAsia" w:eastAsiaTheme="minorEastAsia" w:cstheme="minorEastAsia"/>
                <w:b w:val="0"/>
                <w:bCs w:val="0"/>
                <w:sz w:val="24"/>
                <w:szCs w:val="24"/>
                <w:vertAlign w:val="baseline"/>
                <w:lang w:val="en-US" w:eastAsia="zh-CN"/>
              </w:rPr>
              <w:t>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320" w:type="dxa"/>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价格（元/立方米）</w:t>
            </w:r>
          </w:p>
        </w:tc>
        <w:tc>
          <w:tcPr>
            <w:tcW w:w="2113" w:type="dxa"/>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jc w:val="center"/>
              <w:textAlignment w:val="auto"/>
              <w:rPr>
                <w:rFonts w:hint="default"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4.23</w:t>
            </w:r>
          </w:p>
        </w:tc>
        <w:tc>
          <w:tcPr>
            <w:tcW w:w="2128" w:type="dxa"/>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jc w:val="center"/>
              <w:textAlignment w:val="auto"/>
              <w:rPr>
                <w:rFonts w:hint="default"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5.08</w:t>
            </w:r>
          </w:p>
        </w:tc>
        <w:tc>
          <w:tcPr>
            <w:tcW w:w="1642" w:type="dxa"/>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jc w:val="center"/>
              <w:textAlignment w:val="auto"/>
              <w:rPr>
                <w:rFonts w:hint="default"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6.35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Times New Roman"/>
          <w:b w:val="0"/>
          <w:bCs w:val="0"/>
          <w:kern w:val="0"/>
          <w:sz w:val="32"/>
          <w:szCs w:val="16"/>
          <w:lang w:eastAsia="zh-CN"/>
        </w:rPr>
      </w:pPr>
      <w:r>
        <w:rPr>
          <w:rFonts w:hint="eastAsia" w:ascii="仿宋" w:hAnsi="仿宋" w:eastAsia="仿宋" w:cs="Times New Roman"/>
          <w:b w:val="0"/>
          <w:bCs w:val="0"/>
          <w:kern w:val="0"/>
          <w:sz w:val="32"/>
          <w:szCs w:val="16"/>
          <w:lang w:eastAsia="zh-CN"/>
        </w:rPr>
        <w:t>方案二：</w:t>
      </w:r>
    </w:p>
    <w:tbl>
      <w:tblPr>
        <w:tblStyle w:val="5"/>
        <w:tblW w:w="8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0"/>
        <w:gridCol w:w="2113"/>
        <w:gridCol w:w="2128"/>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32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560" w:firstLineChars="200"/>
              <w:jc w:val="both"/>
              <w:textAlignment w:val="auto"/>
              <w:rPr>
                <w:rFonts w:hint="eastAsia" w:asciiTheme="minorEastAsia" w:hAnsiTheme="minorEastAsia" w:eastAsiaTheme="minorEastAsia" w:cstheme="minorEastAsia"/>
                <w:b w:val="0"/>
                <w:bCs w:val="0"/>
                <w:sz w:val="28"/>
                <w:szCs w:val="28"/>
                <w:vertAlign w:val="baseline"/>
                <w:lang w:val="en-US" w:eastAsia="zh-CN"/>
              </w:rPr>
            </w:pPr>
          </w:p>
        </w:tc>
        <w:tc>
          <w:tcPr>
            <w:tcW w:w="2113" w:type="dxa"/>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第一档</w:t>
            </w:r>
          </w:p>
        </w:tc>
        <w:tc>
          <w:tcPr>
            <w:tcW w:w="2128" w:type="dxa"/>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第二档</w:t>
            </w:r>
          </w:p>
        </w:tc>
        <w:tc>
          <w:tcPr>
            <w:tcW w:w="1642" w:type="dxa"/>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第三档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320" w:type="dxa"/>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年用气量（立方米）</w:t>
            </w:r>
          </w:p>
        </w:tc>
        <w:tc>
          <w:tcPr>
            <w:tcW w:w="2113" w:type="dxa"/>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240</w:t>
            </w:r>
            <w:r>
              <w:rPr>
                <w:rFonts w:hint="eastAsia" w:asciiTheme="minorEastAsia" w:hAnsiTheme="minorEastAsia" w:eastAsiaTheme="minorEastAsia" w:cstheme="minorEastAsia"/>
                <w:b w:val="0"/>
                <w:bCs w:val="0"/>
                <w:sz w:val="24"/>
                <w:szCs w:val="24"/>
                <w:vertAlign w:val="baseline"/>
                <w:lang w:val="en-US" w:eastAsia="zh-CN"/>
              </w:rPr>
              <w:t>（含）以内</w:t>
            </w:r>
          </w:p>
        </w:tc>
        <w:tc>
          <w:tcPr>
            <w:tcW w:w="2128" w:type="dxa"/>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2</w:t>
            </w:r>
            <w:r>
              <w:rPr>
                <w:rFonts w:hint="eastAsia" w:asciiTheme="minorEastAsia" w:hAnsiTheme="minorEastAsia" w:cstheme="minorEastAsia"/>
                <w:b w:val="0"/>
                <w:bCs w:val="0"/>
                <w:sz w:val="24"/>
                <w:szCs w:val="24"/>
                <w:vertAlign w:val="baseline"/>
                <w:lang w:val="en-US" w:eastAsia="zh-CN"/>
              </w:rPr>
              <w:t>40</w:t>
            </w:r>
            <w:r>
              <w:rPr>
                <w:rFonts w:hint="eastAsia" w:asciiTheme="minorEastAsia" w:hAnsiTheme="minorEastAsia" w:eastAsiaTheme="minorEastAsia" w:cstheme="minorEastAsia"/>
                <w:b w:val="0"/>
                <w:bCs w:val="0"/>
                <w:sz w:val="24"/>
                <w:szCs w:val="24"/>
                <w:vertAlign w:val="baseline"/>
                <w:lang w:val="en-US" w:eastAsia="zh-CN"/>
              </w:rPr>
              <w:t>-3</w:t>
            </w:r>
            <w:r>
              <w:rPr>
                <w:rFonts w:hint="eastAsia" w:asciiTheme="minorEastAsia" w:hAnsiTheme="minorEastAsia" w:cstheme="minorEastAsia"/>
                <w:b w:val="0"/>
                <w:bCs w:val="0"/>
                <w:sz w:val="24"/>
                <w:szCs w:val="24"/>
                <w:vertAlign w:val="baseline"/>
                <w:lang w:val="en-US" w:eastAsia="zh-CN"/>
              </w:rPr>
              <w:t>6</w:t>
            </w:r>
            <w:r>
              <w:rPr>
                <w:rFonts w:hint="eastAsia" w:asciiTheme="minorEastAsia" w:hAnsiTheme="minorEastAsia" w:eastAsiaTheme="minorEastAsia" w:cstheme="minorEastAsia"/>
                <w:b w:val="0"/>
                <w:bCs w:val="0"/>
                <w:sz w:val="24"/>
                <w:szCs w:val="24"/>
                <w:vertAlign w:val="baseline"/>
                <w:lang w:val="en-US" w:eastAsia="zh-CN"/>
              </w:rPr>
              <w:t>0（含）</w:t>
            </w:r>
          </w:p>
        </w:tc>
        <w:tc>
          <w:tcPr>
            <w:tcW w:w="1642" w:type="dxa"/>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3</w:t>
            </w:r>
            <w:r>
              <w:rPr>
                <w:rFonts w:hint="eastAsia" w:asciiTheme="minorEastAsia" w:hAnsiTheme="minorEastAsia" w:cstheme="minorEastAsia"/>
                <w:b w:val="0"/>
                <w:bCs w:val="0"/>
                <w:sz w:val="24"/>
                <w:szCs w:val="24"/>
                <w:vertAlign w:val="baseline"/>
                <w:lang w:val="en-US" w:eastAsia="zh-CN"/>
              </w:rPr>
              <w:t>6</w:t>
            </w:r>
            <w:r>
              <w:rPr>
                <w:rFonts w:hint="eastAsia" w:asciiTheme="minorEastAsia" w:hAnsiTheme="minorEastAsia" w:eastAsiaTheme="minorEastAsia" w:cstheme="minorEastAsia"/>
                <w:b w:val="0"/>
                <w:bCs w:val="0"/>
                <w:sz w:val="24"/>
                <w:szCs w:val="24"/>
                <w:vertAlign w:val="baseline"/>
                <w:lang w:val="en-US" w:eastAsia="zh-CN"/>
              </w:rPr>
              <w:t>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320" w:type="dxa"/>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价格（元/立方米）</w:t>
            </w:r>
          </w:p>
        </w:tc>
        <w:tc>
          <w:tcPr>
            <w:tcW w:w="2113" w:type="dxa"/>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jc w:val="center"/>
              <w:textAlignment w:val="auto"/>
              <w:rPr>
                <w:rFonts w:hint="default"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4.30</w:t>
            </w:r>
          </w:p>
        </w:tc>
        <w:tc>
          <w:tcPr>
            <w:tcW w:w="2128" w:type="dxa"/>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jc w:val="center"/>
              <w:textAlignment w:val="auto"/>
              <w:rPr>
                <w:rFonts w:hint="default"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5.16</w:t>
            </w:r>
          </w:p>
        </w:tc>
        <w:tc>
          <w:tcPr>
            <w:tcW w:w="1642" w:type="dxa"/>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jc w:val="center"/>
              <w:textAlignment w:val="auto"/>
              <w:rPr>
                <w:rFonts w:hint="default"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6.45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Times New Roman"/>
          <w:b w:val="0"/>
          <w:bCs w:val="0"/>
          <w:kern w:val="0"/>
          <w:sz w:val="28"/>
          <w:szCs w:val="28"/>
          <w:lang w:eastAsia="zh-CN"/>
        </w:rPr>
      </w:pPr>
      <w:r>
        <w:rPr>
          <w:rFonts w:hint="eastAsia" w:ascii="仿宋" w:hAnsi="仿宋" w:eastAsia="仿宋" w:cs="Times New Roman"/>
          <w:b w:val="0"/>
          <w:bCs w:val="0"/>
          <w:kern w:val="0"/>
          <w:sz w:val="28"/>
          <w:szCs w:val="28"/>
          <w:lang w:eastAsia="zh-CN"/>
        </w:rPr>
        <w:t>说明：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Times New Roman"/>
          <w:b w:val="0"/>
          <w:bCs w:val="0"/>
          <w:kern w:val="0"/>
          <w:sz w:val="28"/>
          <w:szCs w:val="28"/>
          <w:lang w:eastAsia="zh-CN"/>
        </w:rPr>
      </w:pPr>
      <w:r>
        <w:rPr>
          <w:rFonts w:hint="eastAsia" w:ascii="仿宋" w:hAnsi="仿宋" w:eastAsia="仿宋" w:cs="Times New Roman"/>
          <w:b w:val="0"/>
          <w:bCs w:val="0"/>
          <w:kern w:val="0"/>
          <w:sz w:val="28"/>
          <w:szCs w:val="28"/>
          <w:lang w:eastAsia="zh-CN"/>
        </w:rPr>
        <w:t>1.阶梯气量以年为周期计算，用气量在周期之间不累计、不结转。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Times New Roman"/>
          <w:b w:val="0"/>
          <w:bCs w:val="0"/>
          <w:kern w:val="0"/>
          <w:sz w:val="28"/>
          <w:szCs w:val="28"/>
          <w:lang w:eastAsia="zh-CN"/>
        </w:rPr>
      </w:pPr>
      <w:r>
        <w:rPr>
          <w:rFonts w:hint="eastAsia" w:ascii="仿宋" w:hAnsi="仿宋" w:eastAsia="仿宋" w:cs="Times New Roman"/>
          <w:b w:val="0"/>
          <w:bCs w:val="0"/>
          <w:kern w:val="0"/>
          <w:sz w:val="28"/>
          <w:szCs w:val="28"/>
          <w:lang w:eastAsia="zh-CN"/>
        </w:rPr>
        <w:t>2.居民用户原则上以住宅为单位，一个房产证明对应为一个居民户；没有房产证明的，以供气企业为居民安装的气表为单位。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Times New Roman"/>
          <w:b w:val="0"/>
          <w:bCs w:val="0"/>
          <w:kern w:val="0"/>
          <w:sz w:val="28"/>
          <w:szCs w:val="28"/>
          <w:lang w:eastAsia="zh-CN"/>
        </w:rPr>
      </w:pPr>
      <w:r>
        <w:rPr>
          <w:rFonts w:hint="eastAsia" w:ascii="仿宋" w:hAnsi="仿宋" w:eastAsia="仿宋" w:cs="Times New Roman"/>
          <w:b w:val="0"/>
          <w:bCs w:val="0"/>
          <w:kern w:val="0"/>
          <w:sz w:val="28"/>
          <w:szCs w:val="28"/>
          <w:lang w:eastAsia="zh-CN"/>
        </w:rPr>
        <w:t>3.户籍人口多于4人的，按每增加1人相应阶梯气量年增加60立方米，最高增加气量不超过180立方米。</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default" w:ascii="仿宋" w:hAnsi="仿宋" w:eastAsia="仿宋" w:cs="Times New Roman"/>
          <w:b w:val="0"/>
          <w:bCs w:val="0"/>
          <w:kern w:val="0"/>
          <w:sz w:val="28"/>
          <w:szCs w:val="28"/>
          <w:lang w:val="en-US" w:eastAsia="zh-CN"/>
        </w:rPr>
      </w:pPr>
      <w:r>
        <w:rPr>
          <w:rFonts w:hint="eastAsia" w:ascii="仿宋" w:hAnsi="仿宋" w:eastAsia="仿宋" w:cs="Times New Roman"/>
          <w:b w:val="0"/>
          <w:bCs w:val="0"/>
          <w:kern w:val="0"/>
          <w:sz w:val="28"/>
          <w:szCs w:val="28"/>
          <w:lang w:val="en-US" w:eastAsia="zh-CN"/>
        </w:rPr>
        <w:t>4、对民政部门认定的城乡低保对象、特困人员、享受国家定期抚恤补助的优抚对象、“革命五老”人员，按居民用气第一档价格执行。对学校、养老福利机构等执行居民气价的非居民用户按居民生活用气第一档、第二档气价平均水平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宋体" w:cs="宋体"/>
          <w:b/>
          <w:bCs/>
          <w:sz w:val="32"/>
          <w:szCs w:val="32"/>
          <w:lang w:eastAsia="zh-CN"/>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天然气</w:t>
      </w:r>
      <w:r>
        <w:rPr>
          <w:rFonts w:hint="eastAsia" w:ascii="黑体" w:hAnsi="黑体" w:eastAsia="黑体" w:cs="黑体"/>
          <w:b w:val="0"/>
          <w:bCs w:val="0"/>
          <w:sz w:val="32"/>
          <w:szCs w:val="32"/>
        </w:rPr>
        <w:t>终端用户销售价格联动机制</w:t>
      </w:r>
      <w:r>
        <w:rPr>
          <w:rFonts w:hint="eastAsia" w:ascii="黑体" w:hAnsi="黑体" w:eastAsia="黑体" w:cs="黑体"/>
          <w:b w:val="0"/>
          <w:bCs w:val="0"/>
          <w:sz w:val="32"/>
          <w:szCs w:val="32"/>
          <w:lang w:eastAsia="zh-CN"/>
        </w:rPr>
        <w:t>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sz w:val="32"/>
          <w:szCs w:val="32"/>
          <w:lang w:eastAsia="zh-CN"/>
        </w:rPr>
      </w:pPr>
      <w:r>
        <w:rPr>
          <w:rFonts w:hint="eastAsia" w:ascii="华文楷体" w:hAnsi="华文楷体" w:eastAsia="华文楷体" w:cs="华文楷体"/>
          <w:b w:val="0"/>
          <w:bCs w:val="0"/>
          <w:sz w:val="32"/>
          <w:szCs w:val="32"/>
          <w:lang w:eastAsia="zh-CN"/>
        </w:rPr>
        <w:t>（一）定价依据和理由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《福建省天然气价格管理办法》（闽价商〔2017〕242号）、《福建省物价局关于优化天然气价格机制等有关问题通知》（闽价商〔201</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2</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号）等文件规定，建立终端用户销售价格联动机制，当上游天然气价格调整时，终端用户销售价格按以下计价方式作相应同向调整。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终端用户销售价格=购气价格+配气价格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联动调整额＝计算期平均单位购气价格-基期平均单位购气价格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联动调整后的销售价格=现行价格+联动调整额</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参照同样采用槽车运输燃气的三明市、南平市、宁德市的管道天然气终端用户销售价格联动机制办法，拟定我市价格联动机制方案。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华文楷体" w:hAnsi="华文楷体" w:eastAsia="华文楷体" w:cs="华文楷体"/>
          <w:b w:val="0"/>
          <w:bCs w:val="0"/>
          <w:sz w:val="32"/>
          <w:szCs w:val="32"/>
          <w:lang w:eastAsia="zh-CN"/>
        </w:rPr>
      </w:pPr>
      <w:r>
        <w:rPr>
          <w:rFonts w:hint="eastAsia" w:ascii="华文楷体" w:hAnsi="华文楷体" w:eastAsia="华文楷体" w:cs="华文楷体"/>
          <w:b w:val="0"/>
          <w:bCs w:val="0"/>
          <w:sz w:val="32"/>
          <w:szCs w:val="32"/>
        </w:rPr>
        <w:t>（</w:t>
      </w:r>
      <w:r>
        <w:rPr>
          <w:rFonts w:hint="eastAsia" w:ascii="华文楷体" w:hAnsi="华文楷体" w:eastAsia="华文楷体" w:cs="华文楷体"/>
          <w:b w:val="0"/>
          <w:bCs w:val="0"/>
          <w:sz w:val="32"/>
          <w:szCs w:val="32"/>
          <w:lang w:eastAsia="zh-CN"/>
        </w:rPr>
        <w:t>二</w:t>
      </w:r>
      <w:r>
        <w:rPr>
          <w:rFonts w:hint="eastAsia" w:ascii="华文楷体" w:hAnsi="华文楷体" w:eastAsia="华文楷体" w:cs="华文楷体"/>
          <w:b w:val="0"/>
          <w:bCs w:val="0"/>
          <w:sz w:val="32"/>
          <w:szCs w:val="32"/>
        </w:rPr>
        <w:t>）</w:t>
      </w:r>
      <w:r>
        <w:rPr>
          <w:rFonts w:hint="eastAsia" w:ascii="华文楷体" w:hAnsi="华文楷体" w:eastAsia="华文楷体" w:cs="华文楷体"/>
          <w:b w:val="0"/>
          <w:bCs w:val="0"/>
          <w:sz w:val="32"/>
          <w:szCs w:val="32"/>
          <w:lang w:eastAsia="zh-CN"/>
        </w:rPr>
        <w:t>价格联动机制方案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燃气经营企业供应居民用户的：当购气</w:t>
      </w:r>
      <w:r>
        <w:rPr>
          <w:rFonts w:hint="eastAsia" w:ascii="仿宋" w:hAnsi="仿宋" w:eastAsia="仿宋" w:cs="仿宋"/>
          <w:sz w:val="32"/>
          <w:szCs w:val="32"/>
          <w:lang w:eastAsia="zh-CN"/>
        </w:rPr>
        <w:t>价格连续</w:t>
      </w:r>
      <w:r>
        <w:rPr>
          <w:rFonts w:hint="eastAsia" w:ascii="仿宋" w:hAnsi="仿宋" w:eastAsia="仿宋" w:cs="仿宋"/>
          <w:sz w:val="32"/>
          <w:szCs w:val="32"/>
        </w:rPr>
        <w:t>6个月平均上涨幅度达到或超过20%</w:t>
      </w:r>
      <w:r>
        <w:rPr>
          <w:rFonts w:hint="eastAsia" w:ascii="仿宋" w:hAnsi="仿宋" w:eastAsia="仿宋" w:cs="仿宋"/>
          <w:sz w:val="32"/>
          <w:szCs w:val="32"/>
          <w:lang w:eastAsia="zh-CN"/>
        </w:rPr>
        <w:t>，或</w:t>
      </w:r>
      <w:r>
        <w:rPr>
          <w:rFonts w:hint="eastAsia" w:ascii="仿宋" w:hAnsi="仿宋" w:eastAsia="仿宋" w:cs="仿宋"/>
          <w:sz w:val="32"/>
          <w:szCs w:val="32"/>
        </w:rPr>
        <w:t>连续12个月累计上涨幅度达到或超过10%时，按照燃气经营企业自行消化不低于20%，居民用户承担不超过80%的原则相应提高价格；当购气</w:t>
      </w:r>
      <w:r>
        <w:rPr>
          <w:rFonts w:hint="eastAsia" w:ascii="仿宋" w:hAnsi="仿宋" w:eastAsia="仿宋" w:cs="仿宋"/>
          <w:sz w:val="32"/>
          <w:szCs w:val="32"/>
          <w:lang w:eastAsia="zh-CN"/>
        </w:rPr>
        <w:t>价格连续</w:t>
      </w:r>
      <w:r>
        <w:rPr>
          <w:rFonts w:hint="eastAsia" w:ascii="仿宋" w:hAnsi="仿宋" w:eastAsia="仿宋" w:cs="仿宋"/>
          <w:sz w:val="32"/>
          <w:szCs w:val="32"/>
        </w:rPr>
        <w:t>6个月平均下降幅度达到或超过20%，</w:t>
      </w:r>
      <w:r>
        <w:rPr>
          <w:rFonts w:hint="eastAsia" w:ascii="仿宋" w:hAnsi="仿宋" w:eastAsia="仿宋" w:cs="仿宋"/>
          <w:sz w:val="32"/>
          <w:szCs w:val="32"/>
          <w:lang w:eastAsia="zh-CN"/>
        </w:rPr>
        <w:t>或</w:t>
      </w:r>
      <w:r>
        <w:rPr>
          <w:rFonts w:hint="eastAsia" w:ascii="仿宋" w:hAnsi="仿宋" w:eastAsia="仿宋" w:cs="仿宋"/>
          <w:sz w:val="32"/>
          <w:szCs w:val="32"/>
        </w:rPr>
        <w:t>连续12个月累计下降幅度达到或超过10%时，应全额向终端</w:t>
      </w:r>
      <w:r>
        <w:rPr>
          <w:rFonts w:hint="eastAsia" w:ascii="仿宋" w:hAnsi="仿宋" w:eastAsia="仿宋" w:cs="仿宋"/>
          <w:sz w:val="32"/>
          <w:szCs w:val="32"/>
          <w:lang w:eastAsia="zh-CN"/>
        </w:rPr>
        <w:t>用户</w:t>
      </w:r>
      <w:r>
        <w:rPr>
          <w:rFonts w:hint="eastAsia" w:ascii="仿宋" w:hAnsi="仿宋" w:eastAsia="仿宋" w:cs="仿宋"/>
          <w:sz w:val="32"/>
          <w:szCs w:val="32"/>
        </w:rPr>
        <w:t>传导降低价格。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2、按照《政府制定价格听证办法》第三条规定，</w:t>
      </w:r>
      <w:r>
        <w:rPr>
          <w:rFonts w:hint="eastAsia" w:ascii="仿宋" w:hAnsi="仿宋" w:eastAsia="仿宋" w:cs="仿宋"/>
          <w:sz w:val="32"/>
          <w:szCs w:val="32"/>
        </w:rPr>
        <w:t>实行价格联动机制后，</w:t>
      </w:r>
      <w:r>
        <w:rPr>
          <w:rFonts w:hint="eastAsia" w:ascii="仿宋" w:hAnsi="仿宋" w:eastAsia="仿宋" w:cs="仿宋"/>
          <w:sz w:val="32"/>
          <w:szCs w:val="32"/>
          <w:lang w:eastAsia="zh-CN"/>
        </w:rPr>
        <w:t>若管道天然气配气价格无发生重大变化时，价格部门因进气价格的变动</w:t>
      </w:r>
      <w:r>
        <w:rPr>
          <w:rFonts w:hint="eastAsia" w:ascii="仿宋" w:hAnsi="仿宋" w:eastAsia="仿宋" w:cs="仿宋"/>
          <w:sz w:val="32"/>
          <w:szCs w:val="32"/>
        </w:rPr>
        <w:t>调整终端用户销售价格将不再</w:t>
      </w:r>
      <w:r>
        <w:rPr>
          <w:rFonts w:hint="eastAsia" w:ascii="仿宋" w:hAnsi="仿宋" w:eastAsia="仿宋" w:cs="仿宋"/>
          <w:sz w:val="32"/>
          <w:szCs w:val="32"/>
          <w:lang w:eastAsia="zh-CN"/>
        </w:rPr>
        <w:t>开展定价</w:t>
      </w:r>
      <w:r>
        <w:rPr>
          <w:rFonts w:hint="eastAsia" w:ascii="仿宋" w:hAnsi="仿宋" w:eastAsia="仿宋" w:cs="仿宋"/>
          <w:sz w:val="32"/>
          <w:szCs w:val="32"/>
        </w:rPr>
        <w:t>听证。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kern w:val="0"/>
          <w:sz w:val="32"/>
          <w:szCs w:val="16"/>
          <w:lang w:eastAsia="zh-CN"/>
        </w:rPr>
      </w:pPr>
      <w:r>
        <w:rPr>
          <w:rFonts w:hint="eastAsia" w:ascii="黑体" w:hAnsi="黑体" w:eastAsia="黑体" w:cs="黑体"/>
          <w:b w:val="0"/>
          <w:bCs w:val="0"/>
          <w:kern w:val="0"/>
          <w:sz w:val="32"/>
          <w:szCs w:val="16"/>
          <w:lang w:eastAsia="zh-CN"/>
        </w:rPr>
        <w:t>四、经济社会影响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Times New Roman"/>
          <w:b w:val="0"/>
          <w:bCs w:val="0"/>
          <w:kern w:val="0"/>
          <w:sz w:val="32"/>
          <w:szCs w:val="16"/>
          <w:lang w:eastAsia="zh-CN"/>
        </w:rPr>
      </w:pPr>
      <w:r>
        <w:rPr>
          <w:rFonts w:hint="eastAsia" w:ascii="仿宋" w:hAnsi="仿宋" w:eastAsia="仿宋" w:cs="Times New Roman"/>
          <w:b w:val="0"/>
          <w:bCs w:val="0"/>
          <w:kern w:val="0"/>
          <w:sz w:val="32"/>
          <w:szCs w:val="16"/>
          <w:lang w:val="en-US" w:eastAsia="zh-CN"/>
        </w:rPr>
        <w:t>1、</w:t>
      </w:r>
      <w:r>
        <w:rPr>
          <w:rFonts w:hint="eastAsia" w:ascii="仿宋" w:hAnsi="仿宋" w:eastAsia="仿宋" w:cs="Times New Roman"/>
          <w:b w:val="0"/>
          <w:bCs w:val="0"/>
          <w:kern w:val="0"/>
          <w:sz w:val="32"/>
          <w:szCs w:val="16"/>
          <w:lang w:eastAsia="zh-CN"/>
        </w:rPr>
        <w:t>《中共中央国务院关于推进价格机制改革的若干意见》（中发[2015]28号）明确提出按照“管住中间，放开两头”总体思路，推进天然气价格改革。城镇燃气是重要的公用事业，燃气管网属于网络型自然垄断环节，配气价格是城镇燃气管网配送环节的价格，由政府严格监管，城镇燃气经营企业向用户提供燃气配送服务，通过配气价格弥补成本并获得不高于有效资产7%的收益。现行管道天然气终端销售价格由城镇配气价格和购气价格组成，供气企业的燃气购销业务不允许获利，按气源采购价格平进平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Times New Roman"/>
          <w:b w:val="0"/>
          <w:bCs w:val="0"/>
          <w:kern w:val="0"/>
          <w:sz w:val="32"/>
          <w:szCs w:val="16"/>
          <w:lang w:eastAsia="zh-CN"/>
        </w:rPr>
      </w:pPr>
      <w:r>
        <w:rPr>
          <w:rFonts w:hint="eastAsia" w:ascii="仿宋" w:hAnsi="仿宋" w:eastAsia="仿宋" w:cs="Times New Roman"/>
          <w:b w:val="0"/>
          <w:bCs w:val="0"/>
          <w:kern w:val="0"/>
          <w:sz w:val="32"/>
          <w:szCs w:val="16"/>
          <w:lang w:val="en-US" w:eastAsia="zh-CN"/>
        </w:rPr>
        <w:t>2、</w:t>
      </w:r>
      <w:r>
        <w:rPr>
          <w:rFonts w:hint="eastAsia" w:ascii="仿宋" w:hAnsi="仿宋" w:eastAsia="仿宋" w:cs="Times New Roman"/>
          <w:b w:val="0"/>
          <w:bCs w:val="0"/>
          <w:kern w:val="0"/>
          <w:sz w:val="32"/>
          <w:szCs w:val="16"/>
          <w:lang w:eastAsia="zh-CN"/>
        </w:rPr>
        <w:t>建立居民生活用气阶梯价格制度是充分发挥价格杠杆引导作用，在有效保障居民基本用气需求的同时，增强居民节约用气意识，引导合理用气，并进一步促进天然气市场的可持续健康发展。例如：居民生活用气阶梯价格按以上方案一制定，年用气量2</w:t>
      </w:r>
      <w:r>
        <w:rPr>
          <w:rFonts w:hint="eastAsia" w:ascii="仿宋" w:hAnsi="仿宋" w:eastAsia="仿宋" w:cs="Times New Roman"/>
          <w:b w:val="0"/>
          <w:bCs w:val="0"/>
          <w:kern w:val="0"/>
          <w:sz w:val="32"/>
          <w:szCs w:val="16"/>
          <w:lang w:val="en-US" w:eastAsia="zh-CN"/>
        </w:rPr>
        <w:t>40</w:t>
      </w:r>
      <w:r>
        <w:rPr>
          <w:rFonts w:hint="eastAsia" w:ascii="仿宋" w:hAnsi="仿宋" w:eastAsia="仿宋" w:cs="Times New Roman"/>
          <w:b w:val="0"/>
          <w:bCs w:val="0"/>
          <w:kern w:val="0"/>
          <w:sz w:val="32"/>
          <w:szCs w:val="16"/>
          <w:lang w:eastAsia="zh-CN"/>
        </w:rPr>
        <w:t>立方米（含）以下的居民用户用气价格比现行价格每立方米</w:t>
      </w:r>
      <w:r>
        <w:rPr>
          <w:rFonts w:hint="eastAsia" w:ascii="仿宋" w:hAnsi="仿宋" w:eastAsia="仿宋" w:cs="Times New Roman"/>
          <w:b w:val="0"/>
          <w:bCs w:val="0"/>
          <w:kern w:val="0"/>
          <w:sz w:val="32"/>
          <w:szCs w:val="16"/>
          <w:lang w:val="en-US" w:eastAsia="zh-CN"/>
        </w:rPr>
        <w:t>4.25元</w:t>
      </w:r>
      <w:r>
        <w:rPr>
          <w:rFonts w:hint="eastAsia" w:ascii="仿宋" w:hAnsi="仿宋" w:eastAsia="仿宋" w:cs="Times New Roman"/>
          <w:b w:val="0"/>
          <w:bCs w:val="0"/>
          <w:kern w:val="0"/>
          <w:sz w:val="32"/>
          <w:szCs w:val="16"/>
          <w:lang w:eastAsia="zh-CN"/>
        </w:rPr>
        <w:t>下降0.</w:t>
      </w:r>
      <w:r>
        <w:rPr>
          <w:rFonts w:hint="eastAsia" w:ascii="仿宋" w:hAnsi="仿宋" w:eastAsia="仿宋" w:cs="Times New Roman"/>
          <w:b w:val="0"/>
          <w:bCs w:val="0"/>
          <w:kern w:val="0"/>
          <w:sz w:val="32"/>
          <w:szCs w:val="16"/>
          <w:lang w:val="en-US" w:eastAsia="zh-CN"/>
        </w:rPr>
        <w:t>02</w:t>
      </w:r>
      <w:r>
        <w:rPr>
          <w:rFonts w:hint="eastAsia" w:ascii="仿宋" w:hAnsi="仿宋" w:eastAsia="仿宋" w:cs="Times New Roman"/>
          <w:b w:val="0"/>
          <w:bCs w:val="0"/>
          <w:kern w:val="0"/>
          <w:sz w:val="32"/>
          <w:szCs w:val="16"/>
          <w:lang w:eastAsia="zh-CN"/>
        </w:rPr>
        <w:t>元，降幅</w:t>
      </w:r>
      <w:r>
        <w:rPr>
          <w:rFonts w:hint="eastAsia" w:ascii="仿宋" w:hAnsi="仿宋" w:eastAsia="仿宋" w:cs="Times New Roman"/>
          <w:b w:val="0"/>
          <w:bCs w:val="0"/>
          <w:kern w:val="0"/>
          <w:sz w:val="32"/>
          <w:szCs w:val="16"/>
          <w:lang w:val="en-US" w:eastAsia="zh-CN"/>
        </w:rPr>
        <w:t>0.5%</w:t>
      </w:r>
      <w:r>
        <w:rPr>
          <w:rFonts w:hint="eastAsia" w:ascii="仿宋" w:hAnsi="仿宋" w:eastAsia="仿宋" w:cs="Times New Roman"/>
          <w:b w:val="0"/>
          <w:bCs w:val="0"/>
          <w:kern w:val="0"/>
          <w:sz w:val="32"/>
          <w:szCs w:val="16"/>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Times New Roman"/>
          <w:b w:val="0"/>
          <w:bCs w:val="0"/>
          <w:kern w:val="0"/>
          <w:sz w:val="32"/>
          <w:szCs w:val="16"/>
          <w:lang w:eastAsia="zh-CN"/>
        </w:rPr>
      </w:pPr>
      <w:r>
        <w:rPr>
          <w:rFonts w:hint="eastAsia" w:ascii="仿宋" w:hAnsi="仿宋" w:eastAsia="仿宋" w:cs="Times New Roman"/>
          <w:b w:val="0"/>
          <w:bCs w:val="0"/>
          <w:kern w:val="0"/>
          <w:sz w:val="32"/>
          <w:szCs w:val="16"/>
          <w:lang w:val="en-US" w:eastAsia="zh-CN"/>
        </w:rPr>
        <w:t>3</w:t>
      </w:r>
      <w:r>
        <w:rPr>
          <w:rFonts w:hint="eastAsia" w:ascii="仿宋" w:hAnsi="仿宋" w:eastAsia="仿宋" w:cs="Times New Roman"/>
          <w:b w:val="0"/>
          <w:bCs w:val="0"/>
          <w:kern w:val="0"/>
          <w:sz w:val="32"/>
          <w:szCs w:val="16"/>
          <w:lang w:eastAsia="zh-CN"/>
        </w:rPr>
        <w:t>、建立天然气终端销售价格联动机制是进一步完善天然气价格管理，建立反映市场变化的价格动态调整机制，将气源市场价格变动有效传导到终端用户，促进管道天然气行业健康发展。该方案能保持居民用气价格在有效周期相对稳定，并及时反映市场价格变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漳平市</w:t>
      </w:r>
      <w:r>
        <w:rPr>
          <w:rFonts w:hint="eastAsia" w:ascii="仿宋" w:hAnsi="仿宋" w:eastAsia="仿宋" w:cs="仿宋"/>
          <w:sz w:val="32"/>
          <w:szCs w:val="32"/>
        </w:rPr>
        <w:t>发展和改革</w:t>
      </w:r>
      <w:r>
        <w:rPr>
          <w:rFonts w:hint="eastAsia" w:ascii="仿宋" w:hAnsi="仿宋" w:eastAsia="仿宋" w:cs="仿宋"/>
          <w:sz w:val="32"/>
          <w:szCs w:val="32"/>
          <w:lang w:eastAsia="zh-CN"/>
        </w:rPr>
        <w:t>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27</w:t>
      </w:r>
      <w:r>
        <w:rPr>
          <w:rFonts w:hint="eastAsia" w:ascii="仿宋" w:hAnsi="仿宋" w:eastAsia="仿宋" w:cs="仿宋"/>
          <w:sz w:val="32"/>
          <w:szCs w:val="32"/>
        </w:rPr>
        <w:t>日</w:t>
      </w:r>
    </w:p>
    <w:sectPr>
      <w:footerReference r:id="rId3" w:type="default"/>
      <w:pgSz w:w="11906" w:h="16838"/>
      <w:pgMar w:top="2098" w:right="1701" w:bottom="1814" w:left="1701" w:header="851"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- 1 -</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- 1 -</w:t>
                    </w:r>
                    <w:r>
                      <w:rPr>
                        <w:rFonts w:hint="eastAsia" w:ascii="仿宋" w:hAnsi="仿宋" w:eastAsia="仿宋" w:cs="仿宋"/>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yZDNmNTIzZDA3MWJjNDhkOWNmN2RhMmViMGY4ZTQifQ=="/>
  </w:docVars>
  <w:rsids>
    <w:rsidRoot w:val="264A1F3B"/>
    <w:rsid w:val="0328792F"/>
    <w:rsid w:val="05D25AB1"/>
    <w:rsid w:val="06D92022"/>
    <w:rsid w:val="07225667"/>
    <w:rsid w:val="08343E6B"/>
    <w:rsid w:val="08DA2EE5"/>
    <w:rsid w:val="09D9231B"/>
    <w:rsid w:val="0C435324"/>
    <w:rsid w:val="0CD2193A"/>
    <w:rsid w:val="0D080340"/>
    <w:rsid w:val="0E673894"/>
    <w:rsid w:val="0EE265D5"/>
    <w:rsid w:val="0EE77B3F"/>
    <w:rsid w:val="0FD86FEC"/>
    <w:rsid w:val="14D252F3"/>
    <w:rsid w:val="16C165B0"/>
    <w:rsid w:val="18013F15"/>
    <w:rsid w:val="192B0BA8"/>
    <w:rsid w:val="1A6D3CFA"/>
    <w:rsid w:val="1C986A16"/>
    <w:rsid w:val="1D3D6AF7"/>
    <w:rsid w:val="1E265D58"/>
    <w:rsid w:val="1EF157AA"/>
    <w:rsid w:val="20CA3F37"/>
    <w:rsid w:val="21F64733"/>
    <w:rsid w:val="22746A72"/>
    <w:rsid w:val="23D6159F"/>
    <w:rsid w:val="242B181C"/>
    <w:rsid w:val="254052D0"/>
    <w:rsid w:val="264A1F3B"/>
    <w:rsid w:val="291C78D9"/>
    <w:rsid w:val="29A10E03"/>
    <w:rsid w:val="2A8E37BF"/>
    <w:rsid w:val="2C67228F"/>
    <w:rsid w:val="2C782027"/>
    <w:rsid w:val="2C9E1788"/>
    <w:rsid w:val="2E6414AC"/>
    <w:rsid w:val="2EF87540"/>
    <w:rsid w:val="312013A7"/>
    <w:rsid w:val="32893A40"/>
    <w:rsid w:val="33882ABD"/>
    <w:rsid w:val="34DB13AD"/>
    <w:rsid w:val="35441BD5"/>
    <w:rsid w:val="35EB051C"/>
    <w:rsid w:val="37587092"/>
    <w:rsid w:val="377A40E9"/>
    <w:rsid w:val="392574F2"/>
    <w:rsid w:val="3A4B39B8"/>
    <w:rsid w:val="3A6F4AA2"/>
    <w:rsid w:val="3C1C3107"/>
    <w:rsid w:val="3D6527D9"/>
    <w:rsid w:val="3DEB50ED"/>
    <w:rsid w:val="3FE861F2"/>
    <w:rsid w:val="443F46D5"/>
    <w:rsid w:val="45D05F89"/>
    <w:rsid w:val="45E1430E"/>
    <w:rsid w:val="485C289B"/>
    <w:rsid w:val="48D1273D"/>
    <w:rsid w:val="495B794F"/>
    <w:rsid w:val="499D26EA"/>
    <w:rsid w:val="4A9873E1"/>
    <w:rsid w:val="4AB75275"/>
    <w:rsid w:val="4B29089E"/>
    <w:rsid w:val="4C202348"/>
    <w:rsid w:val="4C222E17"/>
    <w:rsid w:val="4D6E6E22"/>
    <w:rsid w:val="4D9C3AAB"/>
    <w:rsid w:val="4DC013BC"/>
    <w:rsid w:val="4F764494"/>
    <w:rsid w:val="501353F2"/>
    <w:rsid w:val="50BE0CB6"/>
    <w:rsid w:val="51106DFE"/>
    <w:rsid w:val="5183716C"/>
    <w:rsid w:val="520F4D63"/>
    <w:rsid w:val="53D564D9"/>
    <w:rsid w:val="56352FE9"/>
    <w:rsid w:val="5773113F"/>
    <w:rsid w:val="5B1B3FCF"/>
    <w:rsid w:val="5CEE7593"/>
    <w:rsid w:val="5D4E5B03"/>
    <w:rsid w:val="5F197118"/>
    <w:rsid w:val="5FD14514"/>
    <w:rsid w:val="60373813"/>
    <w:rsid w:val="61480317"/>
    <w:rsid w:val="62D30E44"/>
    <w:rsid w:val="64125D7C"/>
    <w:rsid w:val="6548397F"/>
    <w:rsid w:val="68490BA1"/>
    <w:rsid w:val="68495C97"/>
    <w:rsid w:val="68793576"/>
    <w:rsid w:val="6AAD28DF"/>
    <w:rsid w:val="6AB871A0"/>
    <w:rsid w:val="6AC364FD"/>
    <w:rsid w:val="6B521B73"/>
    <w:rsid w:val="6C956B06"/>
    <w:rsid w:val="6E6B16EC"/>
    <w:rsid w:val="6E7E5C06"/>
    <w:rsid w:val="769432AA"/>
    <w:rsid w:val="772A240B"/>
    <w:rsid w:val="7AC85807"/>
    <w:rsid w:val="7B1837B0"/>
    <w:rsid w:val="7BFD6685"/>
    <w:rsid w:val="7CC51A01"/>
    <w:rsid w:val="7DBD7BC9"/>
    <w:rsid w:val="7E315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2020-10-21T09:24:00Z</dcterms:created>
  <dc:creator>Administrator</dc:creator>
  <cp:lastModifiedBy>Administrator</cp:lastModifiedBy>
  <cp:lastPrinted>2020-11-16T02:25:00Z</cp:lastPrinted>
  <dcterms:modified xsi:type="dcterms:W3CDTF">2023-11-30T08:17:47Z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143FDD26388D4B49AD75D3C844DF201F_12</vt:lpwstr>
  </property>
</Properties>
</file>