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Times New Roman" w:hAnsi="Times New Roman" w:eastAsia="黑体"/>
          <w:color w:val="000000"/>
          <w:sz w:val="32"/>
          <w:szCs w:val="32"/>
          <w:lang w:eastAsia="zh-CN"/>
        </w:rPr>
      </w:pPr>
      <w:r>
        <w:rPr>
          <w:rFonts w:ascii="Times New Roman" w:hAnsi="黑体" w:eastAsia="黑体"/>
          <w:sz w:val="32"/>
          <w:szCs w:val="32"/>
          <w:lang w:eastAsia="zh-CN"/>
        </w:rPr>
        <w:t>附件</w:t>
      </w:r>
      <w:r>
        <w:rPr>
          <w:rFonts w:ascii="Times New Roman" w:hAnsi="Times New Roman" w:eastAsia="黑体"/>
          <w:color w:val="000000"/>
          <w:sz w:val="32"/>
          <w:szCs w:val="32"/>
          <w:lang w:eastAsia="zh-CN"/>
        </w:rPr>
        <w:t>3</w:t>
      </w:r>
    </w:p>
    <w:p>
      <w:pPr>
        <w:spacing w:line="600" w:lineRule="exact"/>
        <w:jc w:val="center"/>
        <w:rPr>
          <w:rFonts w:hint="eastAsia" w:ascii="方正小标宋简体" w:hAnsi="宋体" w:eastAsia="方正小标宋简体"/>
          <w:sz w:val="42"/>
          <w:szCs w:val="42"/>
          <w:lang w:eastAsia="zh-CN"/>
        </w:rPr>
      </w:pPr>
      <w:bookmarkStart w:id="0" w:name="_GoBack"/>
      <w:r>
        <w:rPr>
          <w:rFonts w:hint="eastAsia" w:ascii="方正小标宋简体" w:hAnsi="宋体" w:eastAsia="方正小标宋简体"/>
          <w:sz w:val="42"/>
          <w:szCs w:val="42"/>
          <w:lang w:eastAsia="zh-CN"/>
        </w:rPr>
        <w:t>2017年度2016年度龙岩市对</w:t>
      </w:r>
    </w:p>
    <w:p>
      <w:pPr>
        <w:spacing w:line="600" w:lineRule="exact"/>
        <w:jc w:val="center"/>
        <w:rPr>
          <w:rFonts w:ascii="方正小标宋简体" w:hAnsi="宋体" w:eastAsia="方正小标宋简体" w:cs="仿宋"/>
          <w:sz w:val="42"/>
          <w:szCs w:val="42"/>
          <w:lang w:eastAsia="zh-CN"/>
        </w:rPr>
      </w:pPr>
      <w:r>
        <w:rPr>
          <w:rFonts w:hint="eastAsia" w:ascii="方正小标宋简体" w:hAnsi="宋体" w:eastAsia="方正小标宋简体"/>
          <w:sz w:val="42"/>
          <w:szCs w:val="42"/>
          <w:lang w:eastAsia="zh-CN"/>
        </w:rPr>
        <w:t>我市绩效管理考评奖金</w:t>
      </w:r>
      <w:r>
        <w:rPr>
          <w:rFonts w:hint="eastAsia" w:ascii="方正小标宋简体" w:hAnsi="宋体" w:eastAsia="方正小标宋简体" w:cs="仿宋"/>
          <w:sz w:val="42"/>
          <w:szCs w:val="42"/>
          <w:lang w:eastAsia="zh-CN"/>
        </w:rPr>
        <w:t>使用绩效自评报告</w:t>
      </w:r>
    </w:p>
    <w:bookmarkEnd w:id="0"/>
    <w:p>
      <w:pPr>
        <w:spacing w:line="600" w:lineRule="exact"/>
        <w:ind w:firstLine="643" w:firstLineChars="200"/>
        <w:jc w:val="center"/>
        <w:rPr>
          <w:rFonts w:ascii="黑体" w:hAnsi="Times New Roman" w:eastAsia="黑体"/>
          <w:b/>
          <w:sz w:val="32"/>
          <w:szCs w:val="32"/>
          <w:lang w:eastAsia="zh-CN"/>
        </w:rPr>
      </w:pPr>
    </w:p>
    <w:p>
      <w:pPr>
        <w:spacing w:line="594" w:lineRule="exact"/>
        <w:ind w:firstLine="640" w:firstLineChars="200"/>
        <w:jc w:val="both"/>
        <w:rPr>
          <w:rFonts w:ascii="黑体" w:hAnsi="Times New Roman" w:eastAsia="黑体"/>
          <w:sz w:val="32"/>
          <w:szCs w:val="32"/>
          <w:lang w:eastAsia="zh-CN"/>
        </w:rPr>
      </w:pPr>
      <w:r>
        <w:rPr>
          <w:rFonts w:hint="eastAsia" w:ascii="黑体" w:hAnsi="Times New Roman" w:eastAsia="黑体"/>
          <w:sz w:val="32"/>
          <w:szCs w:val="32"/>
          <w:lang w:eastAsia="zh-CN"/>
        </w:rPr>
        <w:t>一、项目概况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（一）项目单位基本情况</w:t>
      </w:r>
    </w:p>
    <w:p>
      <w:pPr>
        <w:spacing w:line="594" w:lineRule="exact"/>
        <w:ind w:firstLine="640" w:firstLineChars="200"/>
        <w:jc w:val="both"/>
        <w:rPr>
          <w:rFonts w:ascii="Times New Roman" w:hAnsi="Times New Roman" w:eastAsia="仿宋_GB2312"/>
          <w:b/>
          <w:sz w:val="32"/>
          <w:szCs w:val="32"/>
          <w:lang w:eastAsia="zh-CN"/>
        </w:rPr>
      </w:pPr>
      <w:r>
        <w:rPr>
          <w:rFonts w:asci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工作，努力建设富强、精美、幸福漳平</w:t>
      </w:r>
      <w:r>
        <w:rPr>
          <w:rFonts w:ascii="Times New Roman" w:eastAsia="仿宋_GB2312"/>
          <w:spacing w:val="6"/>
          <w:sz w:val="32"/>
          <w:szCs w:val="32"/>
          <w:lang w:eastAsia="zh-CN"/>
        </w:rPr>
        <w:t>。</w:t>
      </w:r>
    </w:p>
    <w:p>
      <w:pPr>
        <w:snapToGrid w:val="0"/>
        <w:spacing w:line="594" w:lineRule="exact"/>
        <w:ind w:firstLine="640" w:firstLineChars="20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ascii="Times New Roman" w:hAnsi="Times New Roman" w:eastAsia="仿宋_GB2312"/>
          <w:sz w:val="32"/>
          <w:szCs w:val="32"/>
          <w:lang w:eastAsia="zh-CN"/>
        </w:rPr>
        <w:t>:</w:t>
      </w:r>
    </w:p>
    <w:tbl>
      <w:tblPr>
        <w:tblStyle w:val="3"/>
        <w:tblW w:w="8309" w:type="dxa"/>
        <w:jc w:val="center"/>
        <w:tblInd w:w="-20" w:type="dxa"/>
        <w:tblLayout w:type="fixed"/>
        <w:tblCellMar>
          <w:top w:w="0" w:type="dxa"/>
          <w:left w:w="0" w:type="dxa"/>
          <w:bottom w:w="0" w:type="dxa"/>
          <w:right w:w="0" w:type="dxa"/>
        </w:tblCellMar>
      </w:tblPr>
      <w:tblGrid>
        <w:gridCol w:w="5062"/>
        <w:gridCol w:w="3247"/>
      </w:tblGrid>
      <w:tr>
        <w:tblPrEx>
          <w:tblLayout w:type="fixed"/>
          <w:tblCellMar>
            <w:top w:w="0" w:type="dxa"/>
            <w:left w:w="0" w:type="dxa"/>
            <w:bottom w:w="0" w:type="dxa"/>
            <w:right w:w="0" w:type="dxa"/>
          </w:tblCellMar>
        </w:tblPrEx>
        <w:trPr>
          <w:trHeight w:val="558" w:hRule="atLeast"/>
          <w:jc w:val="center"/>
        </w:trPr>
        <w:tc>
          <w:tcPr>
            <w:tcW w:w="5062"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Times New Roman" w:eastAsia="仿宋_GB2312"/>
                <w:sz w:val="32"/>
                <w:szCs w:val="32"/>
                <w:lang w:eastAsia="zh-CN"/>
              </w:rPr>
              <w:t>漳平市人民政府办公室</w:t>
            </w:r>
          </w:p>
        </w:tc>
        <w:tc>
          <w:tcPr>
            <w:tcW w:w="3247" w:type="dxa"/>
            <w:tcBorders>
              <w:top w:val="single" w:color="auto" w:sz="8" w:space="0"/>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25</w:t>
            </w:r>
          </w:p>
        </w:tc>
      </w:tr>
      <w:tr>
        <w:tblPrEx>
          <w:tblLayout w:type="fixed"/>
          <w:tblCellMar>
            <w:top w:w="0" w:type="dxa"/>
            <w:left w:w="0" w:type="dxa"/>
            <w:bottom w:w="0" w:type="dxa"/>
            <w:right w:w="0" w:type="dxa"/>
          </w:tblCellMar>
        </w:tblPrEx>
        <w:trPr>
          <w:trHeight w:val="558" w:hRule="atLeast"/>
          <w:jc w:val="center"/>
        </w:trPr>
        <w:tc>
          <w:tcPr>
            <w:tcW w:w="5062"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漳平市数字办</w:t>
            </w:r>
          </w:p>
        </w:tc>
        <w:tc>
          <w:tcPr>
            <w:tcW w:w="324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58" w:hRule="atLeast"/>
          <w:jc w:val="center"/>
        </w:trPr>
        <w:tc>
          <w:tcPr>
            <w:tcW w:w="5062"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漳平市总值班室</w:t>
            </w:r>
          </w:p>
        </w:tc>
        <w:tc>
          <w:tcPr>
            <w:tcW w:w="324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58" w:hRule="atLeast"/>
          <w:jc w:val="center"/>
        </w:trPr>
        <w:tc>
          <w:tcPr>
            <w:tcW w:w="5062"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Times New Roman" w:eastAsia="仿宋_GB2312"/>
                <w:sz w:val="32"/>
                <w:szCs w:val="32"/>
                <w:lang w:eastAsia="zh-CN"/>
              </w:rPr>
              <w:t>漳平市县域经济发展研究中心</w:t>
            </w:r>
          </w:p>
        </w:tc>
        <w:tc>
          <w:tcPr>
            <w:tcW w:w="324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75" w:hRule="atLeast"/>
          <w:jc w:val="center"/>
        </w:trPr>
        <w:tc>
          <w:tcPr>
            <w:tcW w:w="5062"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漳平市绩效评估中心</w:t>
            </w:r>
          </w:p>
        </w:tc>
        <w:tc>
          <w:tcPr>
            <w:tcW w:w="324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bl>
    <w:p>
      <w:pPr>
        <w:widowControl w:val="0"/>
        <w:spacing w:line="594" w:lineRule="exact"/>
        <w:ind w:firstLine="627" w:firstLineChars="196"/>
        <w:jc w:val="both"/>
        <w:rPr>
          <w:rFonts w:hint="eastAsia" w:ascii="楷体_GB2312" w:hAnsi="Times New Roman" w:eastAsia="楷体_GB2312"/>
          <w:sz w:val="32"/>
          <w:szCs w:val="32"/>
        </w:rPr>
      </w:pPr>
      <w:r>
        <w:rPr>
          <w:rFonts w:hint="eastAsia" w:ascii="楷体_GB2312" w:hAnsi="Times New Roman" w:eastAsia="楷体_GB2312"/>
          <w:sz w:val="32"/>
          <w:szCs w:val="32"/>
          <w:lang w:eastAsia="zh-CN"/>
        </w:rPr>
        <w:t>（二）</w:t>
      </w:r>
      <w:r>
        <w:rPr>
          <w:rFonts w:hint="eastAsia" w:ascii="楷体_GB2312" w:hAnsi="Times New Roman" w:eastAsia="楷体_GB2312"/>
          <w:sz w:val="32"/>
          <w:szCs w:val="32"/>
        </w:rPr>
        <w:t>项目基本情况</w:t>
      </w:r>
    </w:p>
    <w:p>
      <w:pPr>
        <w:spacing w:line="594" w:lineRule="exact"/>
        <w:ind w:firstLine="640" w:firstLineChars="200"/>
        <w:jc w:val="both"/>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根据岩绩效办函</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2017</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9</w:t>
      </w:r>
      <w:r>
        <w:rPr>
          <w:rFonts w:ascii="Times New Roman" w:hAnsi="仿宋_GB2312" w:eastAsia="仿宋_GB2312"/>
          <w:color w:val="000000"/>
          <w:sz w:val="32"/>
          <w:szCs w:val="32"/>
          <w:lang w:eastAsia="zh-CN"/>
        </w:rPr>
        <w:t>号，</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年度龙岩市对我市绩</w:t>
      </w:r>
    </w:p>
    <w:p>
      <w:pPr>
        <w:spacing w:line="594" w:lineRule="exact"/>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效管理考评奖金</w:t>
      </w:r>
      <w:r>
        <w:rPr>
          <w:rFonts w:ascii="Times New Roman" w:hAnsi="Times New Roman" w:eastAsia="仿宋_GB2312"/>
          <w:color w:val="000000"/>
          <w:sz w:val="32"/>
          <w:szCs w:val="32"/>
          <w:lang w:eastAsia="zh-CN"/>
        </w:rPr>
        <w:t>91</w:t>
      </w:r>
      <w:r>
        <w:rPr>
          <w:rFonts w:ascii="Times New Roman" w:hAnsi="仿宋_GB2312" w:eastAsia="仿宋_GB2312"/>
          <w:color w:val="000000"/>
          <w:sz w:val="32"/>
          <w:szCs w:val="32"/>
          <w:lang w:eastAsia="zh-CN"/>
        </w:rPr>
        <w:t>万元，主要用于</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年我市二级指标排在龙岩市第</w:t>
      </w:r>
      <w:r>
        <w:rPr>
          <w:rFonts w:ascii="Times New Roman" w:hAnsi="Times New Roman" w:eastAsia="仿宋_GB2312"/>
          <w:color w:val="000000"/>
          <w:sz w:val="32"/>
          <w:szCs w:val="32"/>
          <w:lang w:eastAsia="zh-CN"/>
        </w:rPr>
        <w:t>1</w:t>
      </w:r>
      <w:r>
        <w:rPr>
          <w:rFonts w:ascii="宋体" w:hAnsi="宋体"/>
          <w:color w:val="000000"/>
          <w:sz w:val="32"/>
          <w:szCs w:val="32"/>
          <w:lang w:eastAsia="zh-CN"/>
        </w:rPr>
        <w:t>-</w:t>
      </w:r>
      <w:r>
        <w:rPr>
          <w:rFonts w:ascii="Times New Roman" w:hAnsi="Times New Roman" w:eastAsia="仿宋_GB2312"/>
          <w:color w:val="000000"/>
          <w:sz w:val="32"/>
          <w:szCs w:val="32"/>
          <w:lang w:eastAsia="zh-CN"/>
        </w:rPr>
        <w:t>3</w:t>
      </w:r>
      <w:r>
        <w:rPr>
          <w:rFonts w:ascii="Times New Roman" w:hAnsi="仿宋_GB2312" w:eastAsia="仿宋_GB2312"/>
          <w:color w:val="000000"/>
          <w:sz w:val="32"/>
          <w:szCs w:val="32"/>
          <w:lang w:eastAsia="zh-CN"/>
        </w:rPr>
        <w:t>名的责任牵头单位奖励。</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二、专项支出项目实施基本情况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（一）项目组织管理情况</w:t>
      </w:r>
    </w:p>
    <w:p>
      <w:pPr>
        <w:spacing w:line="594" w:lineRule="exact"/>
        <w:ind w:firstLine="640" w:firstLineChars="200"/>
        <w:jc w:val="both"/>
        <w:rPr>
          <w:rFonts w:ascii="Times New Roman" w:hAnsi="Times New Roman" w:eastAsia="仿宋_GB2312"/>
          <w:bCs/>
          <w:sz w:val="32"/>
          <w:szCs w:val="32"/>
          <w:lang w:eastAsia="zh-CN"/>
        </w:rPr>
      </w:pPr>
      <w:r>
        <w:rPr>
          <w:rFonts w:ascii="Times New Roman" w:hAnsi="Times New Roman" w:eastAsia="仿宋_GB2312"/>
          <w:bCs/>
          <w:sz w:val="32"/>
          <w:szCs w:val="32"/>
          <w:lang w:eastAsia="zh-CN"/>
        </w:rPr>
        <w:t>根据岩绩效办函</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2017</w:t>
      </w:r>
      <w:r>
        <w:rPr>
          <w:rFonts w:hint="eastAsia" w:ascii="Times New Roman" w:hAnsi="仿宋_GB2312" w:eastAsia="仿宋_GB2312"/>
          <w:color w:val="000000"/>
          <w:sz w:val="32"/>
          <w:szCs w:val="32"/>
          <w:lang w:eastAsia="zh-CN"/>
        </w:rPr>
        <w:t>〕</w:t>
      </w:r>
      <w:r>
        <w:rPr>
          <w:rFonts w:ascii="Times New Roman" w:hAnsi="Times New Roman" w:eastAsia="仿宋_GB2312"/>
          <w:bCs/>
          <w:sz w:val="32"/>
          <w:szCs w:val="32"/>
          <w:lang w:eastAsia="zh-CN"/>
        </w:rPr>
        <w:t>9号，在73个二级绩效评估指标中，我市排在龙岩市第一名的24个，第二名7个，第三名5个。漳效综</w:t>
      </w:r>
      <w:r>
        <w:rPr>
          <w:rFonts w:hint="eastAsia" w:ascii="Times New Roman" w:hAnsi="仿宋_GB2312" w:eastAsia="仿宋_GB2312"/>
          <w:color w:val="000000"/>
          <w:sz w:val="32"/>
          <w:szCs w:val="32"/>
          <w:lang w:eastAsia="zh-CN"/>
        </w:rPr>
        <w:t>〔</w:t>
      </w:r>
      <w:r>
        <w:rPr>
          <w:rFonts w:ascii="Times New Roman" w:hAnsi="Times New Roman" w:eastAsia="仿宋_GB2312"/>
          <w:color w:val="000000"/>
          <w:sz w:val="32"/>
          <w:szCs w:val="32"/>
          <w:lang w:eastAsia="zh-CN"/>
        </w:rPr>
        <w:t>201</w:t>
      </w:r>
      <w:r>
        <w:rPr>
          <w:rFonts w:hint="eastAsia" w:ascii="Times New Roman" w:hAnsi="Times New Roman" w:eastAsia="仿宋_GB2312"/>
          <w:color w:val="000000"/>
          <w:sz w:val="32"/>
          <w:szCs w:val="32"/>
          <w:lang w:eastAsia="zh-CN"/>
        </w:rPr>
        <w:t>6</w:t>
      </w:r>
      <w:r>
        <w:rPr>
          <w:rFonts w:hint="eastAsia" w:ascii="Times New Roman" w:hAnsi="仿宋_GB2312" w:eastAsia="仿宋_GB2312"/>
          <w:color w:val="000000"/>
          <w:sz w:val="32"/>
          <w:szCs w:val="32"/>
          <w:lang w:eastAsia="zh-CN"/>
        </w:rPr>
        <w:t>〕</w:t>
      </w:r>
      <w:r>
        <w:rPr>
          <w:rFonts w:ascii="Times New Roman" w:hAnsi="Times New Roman" w:eastAsia="仿宋_GB2312"/>
          <w:bCs/>
          <w:sz w:val="32"/>
          <w:szCs w:val="32"/>
          <w:lang w:eastAsia="zh-CN"/>
        </w:rPr>
        <w:t>1号规定，由市政府对获得名次的牵头单位给予奖励，所需资金由市政府申请到政府办，再由政府办分别拨到相关单位，该项目已经实施完成。</w:t>
      </w:r>
    </w:p>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项目资金使用状况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hint="eastAsia" w:ascii="Times New Roman" w:eastAsia="仿宋_GB2312"/>
          <w:color w:val="000000"/>
          <w:spacing w:val="6"/>
          <w:sz w:val="32"/>
          <w:szCs w:val="32"/>
          <w:lang w:eastAsia="zh-CN"/>
        </w:rPr>
      </w:pPr>
      <w:r>
        <w:rPr>
          <w:rFonts w:ascii="Times New Roman" w:hAnsi="Times New Roman" w:eastAsia="仿宋_GB2312"/>
          <w:color w:val="000000"/>
          <w:sz w:val="32"/>
          <w:szCs w:val="32"/>
          <w:lang w:eastAsia="zh-CN"/>
        </w:rPr>
        <w:t>2</w:t>
      </w:r>
      <w:r>
        <w:rPr>
          <w:rFonts w:ascii="Times New Roman" w:hAnsi="Times New Roman" w:eastAsia="仿宋_GB2312"/>
          <w:color w:val="000000"/>
          <w:spacing w:val="-2"/>
          <w:sz w:val="32"/>
          <w:szCs w:val="32"/>
          <w:lang w:eastAsia="zh-CN"/>
        </w:rPr>
        <w:t>017</w:t>
      </w:r>
      <w:r>
        <w:rPr>
          <w:rFonts w:ascii="Times New Roman" w:eastAsia="仿宋_GB2312"/>
          <w:color w:val="000000"/>
          <w:spacing w:val="-2"/>
          <w:sz w:val="32"/>
          <w:szCs w:val="32"/>
          <w:lang w:eastAsia="zh-CN"/>
        </w:rPr>
        <w:t>年市财政预算批复，财政下达我办</w:t>
      </w:r>
      <w:r>
        <w:rPr>
          <w:rFonts w:ascii="Times New Roman" w:hAnsi="Times New Roman" w:eastAsia="仿宋_GB2312"/>
          <w:color w:val="000000"/>
          <w:spacing w:val="-2"/>
          <w:sz w:val="32"/>
          <w:szCs w:val="32"/>
          <w:lang w:eastAsia="zh-CN"/>
        </w:rPr>
        <w:t>2016</w:t>
      </w:r>
      <w:r>
        <w:rPr>
          <w:rFonts w:ascii="Times New Roman" w:hAnsi="仿宋_GB2312" w:eastAsia="仿宋_GB2312"/>
          <w:color w:val="000000"/>
          <w:spacing w:val="-2"/>
          <w:sz w:val="32"/>
          <w:szCs w:val="32"/>
          <w:lang w:eastAsia="zh-CN"/>
        </w:rPr>
        <w:t>年度龙岩市对我市绩效管理考评奖金</w:t>
      </w:r>
      <w:r>
        <w:rPr>
          <w:rFonts w:ascii="Times New Roman" w:hAnsi="Times New Roman" w:eastAsia="仿宋_GB2312"/>
          <w:color w:val="000000"/>
          <w:spacing w:val="-2"/>
          <w:sz w:val="32"/>
          <w:szCs w:val="32"/>
          <w:lang w:eastAsia="zh-CN"/>
        </w:rPr>
        <w:t>91</w:t>
      </w:r>
      <w:r>
        <w:rPr>
          <w:rFonts w:ascii="Times New Roman" w:hAnsi="仿宋_GB2312" w:eastAsia="仿宋_GB2312"/>
          <w:color w:val="000000"/>
          <w:spacing w:val="-2"/>
          <w:sz w:val="32"/>
          <w:szCs w:val="32"/>
          <w:lang w:eastAsia="zh-CN"/>
        </w:rPr>
        <w:t>万元</w:t>
      </w:r>
      <w:r>
        <w:rPr>
          <w:rFonts w:ascii="Times New Roman" w:eastAsia="仿宋_GB2312"/>
          <w:color w:val="000000"/>
          <w:spacing w:val="-2"/>
          <w:sz w:val="32"/>
          <w:szCs w:val="32"/>
          <w:lang w:eastAsia="zh-CN"/>
        </w:rPr>
        <w:t>，实际支出</w:t>
      </w:r>
      <w:r>
        <w:rPr>
          <w:rFonts w:ascii="Times New Roman" w:hAnsi="Times New Roman" w:eastAsia="仿宋_GB2312"/>
          <w:color w:val="000000"/>
          <w:spacing w:val="-2"/>
          <w:sz w:val="32"/>
          <w:szCs w:val="32"/>
          <w:lang w:eastAsia="zh-CN"/>
        </w:rPr>
        <w:t>91</w:t>
      </w:r>
      <w:r>
        <w:rPr>
          <w:rFonts w:ascii="Times New Roman" w:eastAsia="仿宋_GB2312"/>
          <w:color w:val="000000"/>
          <w:spacing w:val="-2"/>
          <w:sz w:val="32"/>
          <w:szCs w:val="32"/>
          <w:lang w:eastAsia="zh-CN"/>
        </w:rPr>
        <w:t>万元，资金使用率</w:t>
      </w:r>
      <w:r>
        <w:rPr>
          <w:rFonts w:ascii="Times New Roman" w:hAnsi="Times New Roman" w:eastAsia="仿宋_GB2312"/>
          <w:color w:val="000000"/>
          <w:spacing w:val="-2"/>
          <w:sz w:val="32"/>
          <w:szCs w:val="32"/>
          <w:lang w:eastAsia="zh-CN"/>
        </w:rPr>
        <w:t>100%</w:t>
      </w:r>
      <w:r>
        <w:rPr>
          <w:rFonts w:ascii="Times New Roman" w:eastAsia="仿宋_GB2312"/>
          <w:color w:val="000000"/>
          <w:spacing w:val="-2"/>
          <w:sz w:val="32"/>
          <w:szCs w:val="32"/>
          <w:lang w:eastAsia="zh-CN"/>
        </w:rPr>
        <w:t>。该项目资金拨付程序规范，资金到位及时，项目执行过程中严格执行《行政单位会计制度》《福建省行政事业单位财务报销审批手续的若干规定》等规章制度。资金使用合法、合规，单位实行专款专用。会计核算做到真实、完整、及时，支出审批程序严谨，按办公室工作管理流程由效能办、督查中心提出工作经费支付申请，报经分管领导审查，财务部门审核，报单位负责人审批同意后支付。经费支出与预算批复用途相符，符合国家财经法规和财务管理及项目资金管理等规定。</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hint="eastAsia" w:ascii="Times New Roman" w:hAnsi="Times New Roman" w:eastAsia="黑体"/>
          <w:color w:val="000000"/>
          <w:sz w:val="32"/>
          <w:szCs w:val="32"/>
          <w:lang w:eastAsia="zh-CN"/>
        </w:rPr>
      </w:pPr>
      <w:r>
        <w:rPr>
          <w:rFonts w:ascii="Times New Roman" w:hAnsi="Times New Roman" w:eastAsia="黑体"/>
          <w:color w:val="000000"/>
          <w:sz w:val="32"/>
          <w:szCs w:val="32"/>
          <w:lang w:eastAsia="zh-CN"/>
        </w:rPr>
        <w:t>三、专项支出项目绩效分析</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（一）项目绩效评价工作开展情况</w:t>
      </w:r>
    </w:p>
    <w:p>
      <w:pPr>
        <w:spacing w:line="594" w:lineRule="exact"/>
        <w:ind w:firstLine="640" w:firstLineChars="200"/>
        <w:jc w:val="both"/>
        <w:rPr>
          <w:rFonts w:hint="eastAsia" w:ascii="Times New Roman" w:hAnsi="Times New Roman" w:eastAsia="仿宋_GB2312"/>
          <w:color w:val="000000"/>
          <w:sz w:val="32"/>
          <w:szCs w:val="32"/>
          <w:lang w:eastAsia="zh-CN"/>
        </w:rPr>
      </w:pPr>
      <w:r>
        <w:rPr>
          <w:rFonts w:ascii="Times New Roman" w:eastAsia="仿宋_GB2312"/>
          <w:color w:val="000000"/>
          <w:sz w:val="32"/>
          <w:szCs w:val="32"/>
          <w:lang w:eastAsia="zh-CN"/>
        </w:rPr>
        <w:t>根据我办实际工作情况和工作特点，我们选用的评价类型采用项目事后评价。选用的评价方法为成本效益分析法。</w:t>
      </w:r>
      <w:r>
        <w:rPr>
          <w:rFonts w:ascii="Times New Roman" w:hAnsi="Times New Roman" w:eastAsia="仿宋_GB2312"/>
          <w:color w:val="000000"/>
          <w:sz w:val="32"/>
          <w:szCs w:val="32"/>
          <w:lang w:eastAsia="zh-CN"/>
        </w:rPr>
        <w:t>该项目评价指标体系由共性指标与个性指标组成，使用投入、过程和产出与效益3个一级指标，时效情况、项目立项等10个二级指标，项目实施事件与计划时间的差异情况、绩效目标合理性等21个三级指标，总分值100分。</w:t>
      </w:r>
      <w:r>
        <w:rPr>
          <w:rFonts w:ascii="Times New Roman" w:eastAsia="仿宋_GB2312"/>
          <w:color w:val="000000"/>
          <w:sz w:val="32"/>
          <w:szCs w:val="32"/>
          <w:lang w:eastAsia="zh-CN"/>
        </w:rPr>
        <w:t>对</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年度龙岩市对我市绩效管理考评奖金经费</w:t>
      </w:r>
      <w:r>
        <w:rPr>
          <w:rFonts w:ascii="Times New Roman" w:eastAsia="仿宋_GB2312"/>
          <w:color w:val="000000"/>
          <w:sz w:val="32"/>
          <w:szCs w:val="32"/>
          <w:lang w:eastAsia="zh-CN"/>
        </w:rPr>
        <w:t>实施情况，经过收集资料，核实情况，向服务对象询问满意度，核实项目目标完成情况。</w:t>
      </w:r>
      <w:r>
        <w:rPr>
          <w:rFonts w:ascii="Times New Roman" w:hAnsi="Times New Roman" w:eastAsia="仿宋_GB2312"/>
          <w:color w:val="000000"/>
          <w:sz w:val="32"/>
          <w:szCs w:val="32"/>
          <w:lang w:eastAsia="zh-CN"/>
        </w:rPr>
        <w:t>对照项目绩效自评指标体系，对各项指标进行分析评分，自评100分，自评等级优秀</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lang w:eastAsia="zh-CN"/>
        </w:rPr>
        <w:t>项目的具体得分情况详见自评表</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lang w:eastAsia="zh-CN"/>
        </w:rPr>
        <w:t>。</w:t>
      </w:r>
    </w:p>
    <w:p>
      <w:pPr>
        <w:spacing w:line="594" w:lineRule="exact"/>
        <w:ind w:firstLine="640" w:firstLineChars="200"/>
        <w:jc w:val="both"/>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（二）项目绩效目标完成情况</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市政府办围绕市政府的中心工作办文、办会、办事。充分发挥参谋助手、督促检查、综合协调作用，全面做好服务上级党委政府、服务本级政府和市级各部门、服务基层和群众的</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三</w:t>
      </w:r>
      <w:r>
        <w:rPr>
          <w:rFonts w:ascii="Times New Roman" w:eastAsia="仿宋_GB2312"/>
          <w:color w:val="000000"/>
          <w:spacing w:val="6"/>
          <w:sz w:val="32"/>
          <w:szCs w:val="32"/>
          <w:lang w:eastAsia="zh-CN"/>
        </w:rPr>
        <w:t>服务</w:t>
      </w:r>
      <w:r>
        <w:rPr>
          <w:rFonts w:ascii="Times New Roman" w:hAnsi="Times New Roman" w:eastAsia="仿宋_GB2312"/>
          <w:color w:val="000000"/>
          <w:spacing w:val="6"/>
          <w:sz w:val="32"/>
          <w:szCs w:val="32"/>
          <w:lang w:eastAsia="zh-CN"/>
        </w:rPr>
        <w:t>”</w:t>
      </w:r>
      <w:r>
        <w:rPr>
          <w:rFonts w:ascii="Times New Roman" w:eastAsia="仿宋_GB2312"/>
          <w:color w:val="000000"/>
          <w:spacing w:val="6"/>
          <w:sz w:val="32"/>
          <w:szCs w:val="32"/>
          <w:lang w:eastAsia="zh-CN"/>
        </w:rPr>
        <w:t>工作，认真贯彻落实中央八项规定，进一步规范专项资金</w:t>
      </w:r>
      <w:r>
        <w:rPr>
          <w:rFonts w:ascii="Times New Roman" w:eastAsia="仿宋_GB2312"/>
          <w:color w:val="000000"/>
          <w:sz w:val="32"/>
          <w:szCs w:val="32"/>
          <w:lang w:eastAsia="zh-CN"/>
        </w:rPr>
        <w:t>管理制度。投入目标类的时效目标资金下达及时完成；成本目标支出资金总额为</w:t>
      </w:r>
      <w:r>
        <w:rPr>
          <w:rFonts w:ascii="Times New Roman" w:hAnsi="Times New Roman" w:eastAsia="仿宋_GB2312"/>
          <w:color w:val="000000"/>
          <w:sz w:val="32"/>
          <w:szCs w:val="32"/>
          <w:lang w:eastAsia="zh-CN"/>
        </w:rPr>
        <w:t>91</w:t>
      </w:r>
      <w:r>
        <w:rPr>
          <w:rFonts w:ascii="Times New Roman" w:eastAsia="仿宋_GB2312"/>
          <w:color w:val="000000"/>
          <w:sz w:val="32"/>
          <w:szCs w:val="32"/>
          <w:lang w:eastAsia="zh-CN"/>
        </w:rPr>
        <w:t>万元。产出目标类的数量目标表彰</w:t>
      </w:r>
      <w:r>
        <w:rPr>
          <w:rFonts w:ascii="Times New Roman" w:hAnsi="Times New Roman" w:eastAsia="仿宋_GB2312"/>
          <w:color w:val="000000"/>
          <w:sz w:val="32"/>
          <w:szCs w:val="32"/>
          <w:lang w:eastAsia="zh-CN"/>
        </w:rPr>
        <w:t>2016</w:t>
      </w:r>
      <w:r>
        <w:rPr>
          <w:rFonts w:ascii="Times New Roman" w:eastAsia="仿宋_GB2312"/>
          <w:color w:val="000000"/>
          <w:sz w:val="32"/>
          <w:szCs w:val="32"/>
          <w:lang w:eastAsia="zh-CN"/>
        </w:rPr>
        <w:t>年度</w:t>
      </w:r>
      <w:r>
        <w:rPr>
          <w:rFonts w:ascii="Times New Roman" w:hAnsi="Times New Roman" w:eastAsia="仿宋_GB2312"/>
          <w:color w:val="000000"/>
          <w:sz w:val="32"/>
          <w:szCs w:val="32"/>
          <w:lang w:eastAsia="zh-CN"/>
        </w:rPr>
        <w:t>36</w:t>
      </w:r>
      <w:r>
        <w:rPr>
          <w:rFonts w:ascii="Times New Roman" w:eastAsia="仿宋_GB2312"/>
          <w:color w:val="000000"/>
          <w:sz w:val="32"/>
          <w:szCs w:val="32"/>
          <w:lang w:eastAsia="zh-CN"/>
        </w:rPr>
        <w:t>项龙岩市对我市绩效管理考评指标在龙岩前</w:t>
      </w: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名的单位</w:t>
      </w:r>
      <w:r>
        <w:rPr>
          <w:rFonts w:ascii="Times New Roman" w:hAnsi="Times New Roman" w:eastAsia="仿宋_GB2312"/>
          <w:color w:val="000000"/>
          <w:sz w:val="32"/>
          <w:szCs w:val="32"/>
          <w:lang w:eastAsia="zh-CN"/>
        </w:rPr>
        <w:t>24</w:t>
      </w:r>
      <w:r>
        <w:rPr>
          <w:rFonts w:ascii="Times New Roman" w:eastAsia="仿宋_GB2312"/>
          <w:color w:val="000000"/>
          <w:sz w:val="32"/>
          <w:szCs w:val="32"/>
          <w:lang w:eastAsia="zh-CN"/>
        </w:rPr>
        <w:t>个；质量目标推进政府职能转变和管理创新，转变机关作风。效益目标类的社会效益目标调动干部积极性、进一步做好服务工作，提高政府执行力和公信力；可持续影响目标有效推动市委市政府工作落实；服务对象满意目标干部职工满意。</w:t>
      </w:r>
    </w:p>
    <w:p>
      <w:pPr>
        <w:spacing w:line="594" w:lineRule="exact"/>
        <w:ind w:firstLine="640" w:firstLineChars="200"/>
        <w:jc w:val="both"/>
        <w:rPr>
          <w:rFonts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（三）</w:t>
      </w:r>
      <w:r>
        <w:rPr>
          <w:rFonts w:ascii="楷体_GB2312" w:hAnsi="Times New Roman" w:eastAsia="楷体_GB2312"/>
          <w:color w:val="000000"/>
          <w:sz w:val="32"/>
          <w:szCs w:val="32"/>
          <w:lang w:eastAsia="zh-CN"/>
        </w:rPr>
        <w:t>项目绩效分析</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本次评价按相关规定和要求在开展自评的基础上，结合现场核查情况等进行综合打分，政府办</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年度龙岩市对我市绩效管理考评奖金支出绩效</w:t>
      </w:r>
      <w:r>
        <w:rPr>
          <w:rFonts w:ascii="Times New Roman" w:eastAsia="仿宋_GB2312"/>
          <w:color w:val="000000"/>
          <w:sz w:val="32"/>
          <w:szCs w:val="32"/>
          <w:lang w:eastAsia="zh-CN"/>
        </w:rPr>
        <w:t>评价结果最终得分为</w:t>
      </w:r>
      <w:r>
        <w:rPr>
          <w:rFonts w:ascii="Times New Roman" w:hAnsi="Times New Roman" w:eastAsia="仿宋_GB2312"/>
          <w:color w:val="000000"/>
          <w:sz w:val="32"/>
          <w:szCs w:val="32"/>
          <w:lang w:eastAsia="zh-CN"/>
        </w:rPr>
        <w:t>100</w:t>
      </w:r>
      <w:r>
        <w:rPr>
          <w:rFonts w:ascii="Times New Roman" w:eastAsia="仿宋_GB2312"/>
          <w:color w:val="000000"/>
          <w:sz w:val="32"/>
          <w:szCs w:val="32"/>
          <w:lang w:eastAsia="zh-CN"/>
        </w:rPr>
        <w:t>分，各指标得分情况分析如下：</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1</w:t>
      </w:r>
      <w:r>
        <w:rPr>
          <w:rFonts w:ascii="Times New Roman" w:eastAsia="仿宋_GB2312"/>
          <w:color w:val="000000"/>
          <w:sz w:val="32"/>
          <w:szCs w:val="32"/>
          <w:lang w:eastAsia="zh-CN"/>
        </w:rPr>
        <w:t>．</w:t>
      </w:r>
      <w:r>
        <w:rPr>
          <w:rFonts w:ascii="Times New Roman" w:eastAsia="仿宋_GB2312"/>
          <w:color w:val="000000"/>
          <w:spacing w:val="-6"/>
          <w:sz w:val="32"/>
          <w:szCs w:val="32"/>
          <w:lang w:eastAsia="zh-CN"/>
        </w:rPr>
        <w:t>项目投入类指标</w:t>
      </w:r>
      <w:r>
        <w:rPr>
          <w:rFonts w:ascii="Times New Roman" w:hAnsi="Times New Roman" w:eastAsia="仿宋_GB2312"/>
          <w:color w:val="000000"/>
          <w:spacing w:val="-6"/>
          <w:sz w:val="32"/>
          <w:szCs w:val="32"/>
          <w:lang w:eastAsia="zh-CN"/>
        </w:rPr>
        <w:t>30</w:t>
      </w:r>
      <w:r>
        <w:rPr>
          <w:rFonts w:ascii="Times New Roman" w:eastAsia="仿宋_GB2312"/>
          <w:color w:val="000000"/>
          <w:spacing w:val="-6"/>
          <w:sz w:val="32"/>
          <w:szCs w:val="32"/>
          <w:lang w:eastAsia="zh-CN"/>
        </w:rPr>
        <w:t>分，得分</w:t>
      </w:r>
      <w:r>
        <w:rPr>
          <w:rFonts w:ascii="Times New Roman" w:hAnsi="Times New Roman" w:eastAsia="仿宋_GB2312"/>
          <w:color w:val="000000"/>
          <w:spacing w:val="-6"/>
          <w:sz w:val="32"/>
          <w:szCs w:val="32"/>
          <w:lang w:eastAsia="zh-CN"/>
        </w:rPr>
        <w:t>30</w:t>
      </w:r>
      <w:r>
        <w:rPr>
          <w:rFonts w:ascii="Times New Roman" w:eastAsia="仿宋_GB2312"/>
          <w:color w:val="000000"/>
          <w:spacing w:val="-6"/>
          <w:sz w:val="32"/>
          <w:szCs w:val="32"/>
          <w:lang w:eastAsia="zh-CN"/>
        </w:rPr>
        <w:t>分。其中：时效情况实际实施月份按计划月份完成得</w:t>
      </w:r>
      <w:r>
        <w:rPr>
          <w:rFonts w:ascii="Times New Roman" w:hAnsi="Times New Roman" w:eastAsia="仿宋_GB2312"/>
          <w:color w:val="000000"/>
          <w:spacing w:val="-6"/>
          <w:sz w:val="32"/>
          <w:szCs w:val="32"/>
          <w:lang w:eastAsia="zh-CN"/>
        </w:rPr>
        <w:t>4</w:t>
      </w:r>
      <w:r>
        <w:rPr>
          <w:rFonts w:ascii="Times New Roman" w:eastAsia="仿宋_GB2312"/>
          <w:color w:val="000000"/>
          <w:sz w:val="32"/>
          <w:szCs w:val="32"/>
          <w:lang w:eastAsia="zh-CN"/>
        </w:rPr>
        <w:t>分；项目立项得</w:t>
      </w:r>
      <w:r>
        <w:rPr>
          <w:rFonts w:ascii="Times New Roman" w:hAnsi="Times New Roman" w:eastAsia="仿宋_GB2312"/>
          <w:color w:val="000000"/>
          <w:sz w:val="32"/>
          <w:szCs w:val="32"/>
          <w:lang w:eastAsia="zh-CN"/>
        </w:rPr>
        <w:t>16</w:t>
      </w:r>
      <w:r>
        <w:rPr>
          <w:rFonts w:ascii="Times New Roman" w:eastAsia="仿宋_GB2312"/>
          <w:color w:val="000000"/>
          <w:sz w:val="32"/>
          <w:szCs w:val="32"/>
          <w:lang w:eastAsia="zh-CN"/>
        </w:rPr>
        <w:t>分，其中：绩效目标合理性完成</w:t>
      </w:r>
      <w:r>
        <w:rPr>
          <w:rFonts w:ascii="Times New Roman" w:eastAsia="仿宋_GB2312"/>
          <w:color w:val="000000"/>
          <w:spacing w:val="-6"/>
          <w:sz w:val="32"/>
          <w:szCs w:val="32"/>
          <w:lang w:eastAsia="zh-CN"/>
        </w:rPr>
        <w:t>得</w:t>
      </w:r>
      <w:r>
        <w:rPr>
          <w:rFonts w:ascii="Times New Roman" w:hAnsi="Times New Roman" w:eastAsia="仿宋_GB2312"/>
          <w:color w:val="000000"/>
          <w:spacing w:val="-6"/>
          <w:sz w:val="32"/>
          <w:szCs w:val="32"/>
          <w:lang w:eastAsia="zh-CN"/>
        </w:rPr>
        <w:t>4</w:t>
      </w:r>
      <w:r>
        <w:rPr>
          <w:rFonts w:ascii="Times New Roman" w:eastAsia="仿宋_GB2312"/>
          <w:color w:val="000000"/>
          <w:sz w:val="32"/>
          <w:szCs w:val="32"/>
          <w:lang w:eastAsia="zh-CN"/>
        </w:rPr>
        <w:t>分，绩效指标明确性完成</w:t>
      </w:r>
      <w:r>
        <w:rPr>
          <w:rFonts w:ascii="Times New Roman" w:eastAsia="仿宋_GB2312"/>
          <w:color w:val="000000"/>
          <w:spacing w:val="-6"/>
          <w:sz w:val="32"/>
          <w:szCs w:val="32"/>
          <w:lang w:eastAsia="zh-CN"/>
        </w:rPr>
        <w:t>得</w:t>
      </w:r>
      <w:r>
        <w:rPr>
          <w:rFonts w:ascii="Times New Roman" w:hAnsi="Times New Roman" w:eastAsia="仿宋_GB2312"/>
          <w:color w:val="000000"/>
          <w:spacing w:val="-6"/>
          <w:sz w:val="32"/>
          <w:szCs w:val="32"/>
          <w:lang w:eastAsia="zh-CN"/>
        </w:rPr>
        <w:t>4</w:t>
      </w:r>
      <w:r>
        <w:rPr>
          <w:rFonts w:ascii="Times New Roman" w:eastAsia="仿宋_GB2312"/>
          <w:color w:val="000000"/>
          <w:sz w:val="32"/>
          <w:szCs w:val="32"/>
          <w:lang w:eastAsia="zh-CN"/>
        </w:rPr>
        <w:t>分，绩效指标完成率完成</w:t>
      </w:r>
      <w:r>
        <w:rPr>
          <w:rFonts w:ascii="Times New Roman" w:eastAsia="仿宋_GB2312"/>
          <w:color w:val="000000"/>
          <w:spacing w:val="-6"/>
          <w:sz w:val="32"/>
          <w:szCs w:val="32"/>
          <w:lang w:eastAsia="zh-CN"/>
        </w:rPr>
        <w:t>得</w:t>
      </w:r>
      <w:r>
        <w:rPr>
          <w:rFonts w:ascii="Times New Roman" w:hAnsi="Times New Roman" w:eastAsia="仿宋_GB2312"/>
          <w:color w:val="000000"/>
          <w:spacing w:val="-6"/>
          <w:sz w:val="32"/>
          <w:szCs w:val="32"/>
          <w:lang w:eastAsia="zh-CN"/>
        </w:rPr>
        <w:t>4</w:t>
      </w:r>
      <w:r>
        <w:rPr>
          <w:rFonts w:ascii="Times New Roman" w:eastAsia="仿宋_GB2312"/>
          <w:color w:val="000000"/>
          <w:sz w:val="32"/>
          <w:szCs w:val="32"/>
          <w:lang w:eastAsia="zh-CN"/>
        </w:rPr>
        <w:t>分，项目立项规范性完成</w:t>
      </w:r>
      <w:r>
        <w:rPr>
          <w:rFonts w:ascii="Times New Roman" w:eastAsia="仿宋_GB2312"/>
          <w:color w:val="000000"/>
          <w:spacing w:val="-6"/>
          <w:sz w:val="32"/>
          <w:szCs w:val="32"/>
          <w:lang w:eastAsia="zh-CN"/>
        </w:rPr>
        <w:t>得</w:t>
      </w:r>
      <w:r>
        <w:rPr>
          <w:rFonts w:ascii="Times New Roman" w:hAnsi="Times New Roman" w:eastAsia="仿宋_GB2312"/>
          <w:color w:val="000000"/>
          <w:spacing w:val="-6"/>
          <w:sz w:val="32"/>
          <w:szCs w:val="32"/>
          <w:lang w:eastAsia="zh-CN"/>
        </w:rPr>
        <w:t>4</w:t>
      </w:r>
      <w:r>
        <w:rPr>
          <w:rFonts w:ascii="Times New Roman" w:eastAsia="仿宋_GB2312"/>
          <w:color w:val="000000"/>
          <w:sz w:val="32"/>
          <w:szCs w:val="32"/>
          <w:lang w:eastAsia="zh-CN"/>
        </w:rPr>
        <w:t>分；资金落实得</w:t>
      </w:r>
      <w:r>
        <w:rPr>
          <w:rFonts w:ascii="Times New Roman" w:hAnsi="Times New Roman" w:eastAsia="仿宋_GB2312"/>
          <w:color w:val="000000"/>
          <w:sz w:val="32"/>
          <w:szCs w:val="32"/>
          <w:lang w:eastAsia="zh-CN"/>
        </w:rPr>
        <w:t>10</w:t>
      </w:r>
      <w:r>
        <w:rPr>
          <w:rFonts w:ascii="Times New Roman" w:eastAsia="仿宋_GB2312"/>
          <w:color w:val="000000"/>
          <w:sz w:val="32"/>
          <w:szCs w:val="32"/>
          <w:lang w:eastAsia="zh-CN"/>
        </w:rPr>
        <w:t>分，其中：成本控制率完成得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分，资金使用率</w:t>
      </w:r>
      <w:r>
        <w:rPr>
          <w:rFonts w:ascii="Times New Roman" w:hAnsi="Times New Roman" w:eastAsia="仿宋_GB2312"/>
          <w:color w:val="000000"/>
          <w:sz w:val="32"/>
          <w:szCs w:val="32"/>
          <w:lang w:eastAsia="zh-CN"/>
        </w:rPr>
        <w:t>100%</w:t>
      </w:r>
      <w:r>
        <w:rPr>
          <w:rFonts w:ascii="Times New Roman" w:eastAsia="仿宋_GB2312"/>
          <w:color w:val="000000"/>
          <w:sz w:val="32"/>
          <w:szCs w:val="32"/>
          <w:lang w:eastAsia="zh-CN"/>
        </w:rPr>
        <w:t>得</w:t>
      </w: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分，资金到位率</w:t>
      </w:r>
      <w:r>
        <w:rPr>
          <w:rFonts w:ascii="Times New Roman" w:hAnsi="Times New Roman" w:eastAsia="仿宋_GB2312"/>
          <w:color w:val="000000"/>
          <w:sz w:val="32"/>
          <w:szCs w:val="32"/>
          <w:lang w:eastAsia="zh-CN"/>
        </w:rPr>
        <w:t>100%</w:t>
      </w:r>
      <w:r>
        <w:rPr>
          <w:rFonts w:ascii="Times New Roman" w:eastAsia="仿宋_GB2312"/>
          <w:color w:val="000000"/>
          <w:sz w:val="32"/>
          <w:szCs w:val="32"/>
          <w:lang w:eastAsia="zh-CN"/>
        </w:rPr>
        <w:t>得</w:t>
      </w: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分。</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2</w:t>
      </w:r>
      <w:r>
        <w:rPr>
          <w:rFonts w:ascii="Times New Roman" w:eastAsia="仿宋_GB2312"/>
          <w:color w:val="000000"/>
          <w:sz w:val="32"/>
          <w:szCs w:val="32"/>
          <w:lang w:eastAsia="zh-CN"/>
        </w:rPr>
        <w:t>．</w:t>
      </w:r>
      <w:r>
        <w:rPr>
          <w:rFonts w:ascii="Times New Roman" w:eastAsia="仿宋_GB2312"/>
          <w:color w:val="000000"/>
          <w:spacing w:val="-6"/>
          <w:sz w:val="32"/>
          <w:szCs w:val="32"/>
          <w:lang w:eastAsia="zh-CN"/>
        </w:rPr>
        <w:t>项目过程类指标</w:t>
      </w:r>
      <w:r>
        <w:rPr>
          <w:rFonts w:ascii="Times New Roman" w:hAnsi="Times New Roman" w:eastAsia="仿宋_GB2312"/>
          <w:color w:val="000000"/>
          <w:spacing w:val="-6"/>
          <w:sz w:val="32"/>
          <w:szCs w:val="32"/>
          <w:lang w:eastAsia="zh-CN"/>
        </w:rPr>
        <w:t>30</w:t>
      </w:r>
      <w:r>
        <w:rPr>
          <w:rFonts w:ascii="Times New Roman" w:eastAsia="仿宋_GB2312"/>
          <w:color w:val="000000"/>
          <w:spacing w:val="-6"/>
          <w:sz w:val="32"/>
          <w:szCs w:val="32"/>
          <w:lang w:eastAsia="zh-CN"/>
        </w:rPr>
        <w:t>分，得分</w:t>
      </w:r>
      <w:r>
        <w:rPr>
          <w:rFonts w:ascii="Times New Roman" w:hAnsi="Times New Roman" w:eastAsia="仿宋_GB2312"/>
          <w:color w:val="000000"/>
          <w:spacing w:val="-6"/>
          <w:sz w:val="32"/>
          <w:szCs w:val="32"/>
          <w:lang w:eastAsia="zh-CN"/>
        </w:rPr>
        <w:t>30</w:t>
      </w:r>
      <w:r>
        <w:rPr>
          <w:rFonts w:ascii="Times New Roman" w:eastAsia="仿宋_GB2312"/>
          <w:color w:val="000000"/>
          <w:spacing w:val="-6"/>
          <w:sz w:val="32"/>
          <w:szCs w:val="32"/>
          <w:lang w:eastAsia="zh-CN"/>
        </w:rPr>
        <w:t>分。其中：业务管理得</w:t>
      </w:r>
      <w:r>
        <w:rPr>
          <w:rFonts w:ascii="Times New Roman" w:hAnsi="Times New Roman" w:eastAsia="仿宋_GB2312"/>
          <w:color w:val="000000"/>
          <w:spacing w:val="-6"/>
          <w:sz w:val="32"/>
          <w:szCs w:val="32"/>
          <w:lang w:eastAsia="zh-CN"/>
        </w:rPr>
        <w:t>12</w:t>
      </w:r>
      <w:r>
        <w:rPr>
          <w:rFonts w:ascii="Times New Roman" w:eastAsia="仿宋_GB2312"/>
          <w:color w:val="000000"/>
          <w:sz w:val="32"/>
          <w:szCs w:val="32"/>
          <w:lang w:eastAsia="zh-CN"/>
        </w:rPr>
        <w:t>分，其中：制定合法、合规、完整的业务管理制度得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分，执行合法、合规、完整的业务管理制度得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分，制定了相应的项目质量要求或标准得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分；使用管理得</w:t>
      </w:r>
      <w:r>
        <w:rPr>
          <w:rFonts w:ascii="Times New Roman" w:hAnsi="Times New Roman" w:eastAsia="仿宋_GB2312"/>
          <w:color w:val="000000"/>
          <w:sz w:val="32"/>
          <w:szCs w:val="32"/>
          <w:lang w:eastAsia="zh-CN"/>
        </w:rPr>
        <w:t>18</w:t>
      </w:r>
      <w:r>
        <w:rPr>
          <w:rFonts w:ascii="Times New Roman" w:eastAsia="仿宋_GB2312"/>
          <w:color w:val="000000"/>
          <w:sz w:val="32"/>
          <w:szCs w:val="32"/>
          <w:lang w:eastAsia="zh-CN"/>
        </w:rPr>
        <w:t>分，其中：财务管理制度健全性得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分，资金使用合规性得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分，项目资金安全性得</w:t>
      </w:r>
      <w:r>
        <w:rPr>
          <w:rFonts w:ascii="Times New Roman" w:hAnsi="Times New Roman" w:eastAsia="仿宋_GB2312"/>
          <w:color w:val="000000"/>
          <w:sz w:val="32"/>
          <w:szCs w:val="32"/>
          <w:lang w:eastAsia="zh-CN"/>
        </w:rPr>
        <w:t>4</w:t>
      </w:r>
      <w:r>
        <w:rPr>
          <w:rFonts w:ascii="Times New Roman" w:eastAsia="仿宋_GB2312"/>
          <w:color w:val="000000"/>
          <w:sz w:val="32"/>
          <w:szCs w:val="32"/>
          <w:lang w:eastAsia="zh-CN"/>
        </w:rPr>
        <w:t>分，信息规范性得</w:t>
      </w: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分，信息完整性得</w:t>
      </w: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分。</w:t>
      </w:r>
    </w:p>
    <w:p>
      <w:pPr>
        <w:spacing w:line="594" w:lineRule="exact"/>
        <w:ind w:firstLine="640" w:firstLineChars="200"/>
        <w:jc w:val="distribute"/>
        <w:rPr>
          <w:rFonts w:hint="eastAsia" w:ascii="Times New Roman" w:eastAsia="仿宋_GB2312"/>
          <w:color w:val="000000"/>
          <w:sz w:val="32"/>
          <w:szCs w:val="32"/>
          <w:lang w:eastAsia="zh-CN"/>
        </w:rPr>
      </w:pP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．产出与效益类指标</w:t>
      </w:r>
      <w:r>
        <w:rPr>
          <w:rFonts w:ascii="Times New Roman" w:hAnsi="Times New Roman" w:eastAsia="仿宋_GB2312"/>
          <w:color w:val="000000"/>
          <w:sz w:val="32"/>
          <w:szCs w:val="32"/>
          <w:lang w:eastAsia="zh-CN"/>
        </w:rPr>
        <w:t>40</w:t>
      </w:r>
      <w:r>
        <w:rPr>
          <w:rFonts w:ascii="Times New Roman" w:eastAsia="仿宋_GB2312"/>
          <w:color w:val="000000"/>
          <w:sz w:val="32"/>
          <w:szCs w:val="32"/>
          <w:lang w:eastAsia="zh-CN"/>
        </w:rPr>
        <w:t>分，得分</w:t>
      </w:r>
      <w:r>
        <w:rPr>
          <w:rFonts w:ascii="Times New Roman" w:hAnsi="Times New Roman" w:eastAsia="仿宋_GB2312"/>
          <w:color w:val="000000"/>
          <w:sz w:val="32"/>
          <w:szCs w:val="32"/>
          <w:lang w:eastAsia="zh-CN"/>
        </w:rPr>
        <w:t>40</w:t>
      </w:r>
      <w:r>
        <w:rPr>
          <w:rFonts w:ascii="Times New Roman" w:eastAsia="仿宋_GB2312"/>
          <w:color w:val="000000"/>
          <w:sz w:val="32"/>
          <w:szCs w:val="32"/>
          <w:lang w:eastAsia="zh-CN"/>
        </w:rPr>
        <w:t>分。其中产出数量完成表彰</w:t>
      </w:r>
      <w:r>
        <w:rPr>
          <w:rFonts w:ascii="Times New Roman" w:hAnsi="Times New Roman" w:eastAsia="仿宋_GB2312"/>
          <w:color w:val="000000"/>
          <w:sz w:val="32"/>
          <w:szCs w:val="32"/>
          <w:lang w:eastAsia="zh-CN"/>
        </w:rPr>
        <w:t>36</w:t>
      </w:r>
      <w:r>
        <w:rPr>
          <w:rFonts w:ascii="Times New Roman" w:eastAsia="仿宋_GB2312"/>
          <w:color w:val="000000"/>
          <w:sz w:val="32"/>
          <w:szCs w:val="32"/>
          <w:lang w:eastAsia="zh-CN"/>
        </w:rPr>
        <w:t>项绩效评估指标排名龙岩前</w:t>
      </w:r>
      <w:r>
        <w:rPr>
          <w:rFonts w:ascii="Times New Roman" w:hAnsi="Times New Roman" w:eastAsia="仿宋_GB2312"/>
          <w:color w:val="000000"/>
          <w:sz w:val="32"/>
          <w:szCs w:val="32"/>
          <w:lang w:eastAsia="zh-CN"/>
        </w:rPr>
        <w:t>3</w:t>
      </w:r>
      <w:r>
        <w:rPr>
          <w:rFonts w:ascii="Times New Roman" w:eastAsia="仿宋_GB2312"/>
          <w:color w:val="000000"/>
          <w:sz w:val="32"/>
          <w:szCs w:val="32"/>
          <w:lang w:eastAsia="zh-CN"/>
        </w:rPr>
        <w:t>名的</w:t>
      </w:r>
      <w:r>
        <w:rPr>
          <w:rFonts w:ascii="Times New Roman" w:hAnsi="Times New Roman" w:eastAsia="仿宋_GB2312"/>
          <w:color w:val="000000"/>
          <w:sz w:val="32"/>
          <w:szCs w:val="32"/>
          <w:lang w:eastAsia="zh-CN"/>
        </w:rPr>
        <w:t>24</w:t>
      </w:r>
      <w:r>
        <w:rPr>
          <w:rFonts w:ascii="Times New Roman" w:eastAsia="仿宋_GB2312"/>
          <w:color w:val="000000"/>
          <w:sz w:val="32"/>
          <w:szCs w:val="32"/>
          <w:lang w:eastAsia="zh-CN"/>
        </w:rPr>
        <w:t>个单位得</w:t>
      </w:r>
      <w:r>
        <w:rPr>
          <w:rFonts w:ascii="Times New Roman" w:hAnsi="Times New Roman" w:eastAsia="仿宋_GB2312"/>
          <w:color w:val="000000"/>
          <w:sz w:val="32"/>
          <w:szCs w:val="32"/>
          <w:lang w:eastAsia="zh-CN"/>
        </w:rPr>
        <w:t>8</w:t>
      </w:r>
      <w:r>
        <w:rPr>
          <w:rFonts w:ascii="Times New Roman" w:eastAsia="仿宋_GB2312"/>
          <w:color w:val="000000"/>
          <w:sz w:val="32"/>
          <w:szCs w:val="32"/>
          <w:lang w:eastAsia="zh-CN"/>
        </w:rPr>
        <w:t>分，产出质量推进政府职能转变和管理创新，确实转变机关作风得</w:t>
      </w:r>
      <w:r>
        <w:rPr>
          <w:rFonts w:ascii="Times New Roman" w:hAnsi="Times New Roman" w:eastAsia="仿宋_GB2312"/>
          <w:color w:val="000000"/>
          <w:sz w:val="32"/>
          <w:szCs w:val="32"/>
          <w:lang w:eastAsia="zh-CN"/>
        </w:rPr>
        <w:t>8</w:t>
      </w:r>
      <w:r>
        <w:rPr>
          <w:rFonts w:ascii="Times New Roman" w:eastAsia="仿宋_GB2312"/>
          <w:color w:val="000000"/>
          <w:sz w:val="32"/>
          <w:szCs w:val="32"/>
          <w:lang w:eastAsia="zh-CN"/>
        </w:rPr>
        <w:t>分，社会效益确实调动干部积极性、进一步做好服务工作，提高政府执行力和公信力得</w:t>
      </w:r>
      <w:r>
        <w:rPr>
          <w:rFonts w:ascii="Times New Roman" w:hAnsi="Times New Roman" w:eastAsia="仿宋_GB2312"/>
          <w:color w:val="000000"/>
          <w:sz w:val="32"/>
          <w:szCs w:val="32"/>
          <w:lang w:eastAsia="zh-CN"/>
        </w:rPr>
        <w:t>8</w:t>
      </w:r>
      <w:r>
        <w:rPr>
          <w:rFonts w:ascii="Times New Roman" w:eastAsia="仿宋_GB2312"/>
          <w:color w:val="000000"/>
          <w:sz w:val="32"/>
          <w:szCs w:val="32"/>
          <w:lang w:eastAsia="zh-CN"/>
        </w:rPr>
        <w:t>分，可持续效益有效开展工</w:t>
      </w:r>
    </w:p>
    <w:p>
      <w:pPr>
        <w:spacing w:line="594" w:lineRule="exact"/>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作得</w:t>
      </w:r>
      <w:r>
        <w:rPr>
          <w:rFonts w:ascii="Times New Roman" w:hAnsi="Times New Roman" w:eastAsia="仿宋_GB2312"/>
          <w:color w:val="000000"/>
          <w:sz w:val="32"/>
          <w:szCs w:val="32"/>
          <w:lang w:eastAsia="zh-CN"/>
        </w:rPr>
        <w:t>8</w:t>
      </w:r>
      <w:r>
        <w:rPr>
          <w:rFonts w:ascii="Times New Roman" w:eastAsia="仿宋_GB2312"/>
          <w:color w:val="000000"/>
          <w:sz w:val="32"/>
          <w:szCs w:val="32"/>
          <w:lang w:eastAsia="zh-CN"/>
        </w:rPr>
        <w:t>分，服务对象满意度干部职工满意得</w:t>
      </w:r>
      <w:r>
        <w:rPr>
          <w:rFonts w:ascii="Times New Roman" w:hAnsi="Times New Roman" w:eastAsia="仿宋_GB2312"/>
          <w:color w:val="000000"/>
          <w:sz w:val="32"/>
          <w:szCs w:val="32"/>
          <w:lang w:eastAsia="zh-CN"/>
        </w:rPr>
        <w:t>8</w:t>
      </w:r>
      <w:r>
        <w:rPr>
          <w:rFonts w:ascii="Times New Roman" w:eastAsia="仿宋_GB2312"/>
          <w:color w:val="000000"/>
          <w:sz w:val="32"/>
          <w:szCs w:val="32"/>
          <w:lang w:eastAsia="zh-CN"/>
        </w:rPr>
        <w:t>分。</w:t>
      </w:r>
    </w:p>
    <w:p>
      <w:pPr>
        <w:spacing w:line="594" w:lineRule="exact"/>
        <w:ind w:firstLine="640" w:firstLineChars="200"/>
        <w:jc w:val="both"/>
        <w:rPr>
          <w:rFonts w:ascii="Times New Roman" w:hAnsi="Times New Roman" w:eastAsia="仿宋"/>
          <w:color w:val="000000"/>
          <w:sz w:val="32"/>
          <w:szCs w:val="32"/>
          <w:lang w:eastAsia="zh-CN"/>
        </w:rPr>
      </w:pPr>
      <w:r>
        <w:rPr>
          <w:rFonts w:ascii="Times New Roman" w:hAnsi="Times New Roman" w:eastAsia="黑体"/>
          <w:color w:val="000000"/>
          <w:sz w:val="32"/>
          <w:szCs w:val="32"/>
          <w:lang w:eastAsia="zh-CN"/>
        </w:rPr>
        <w:t>四、工作成效</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项目资金按照专项资金管理办法，投入项目合理合规使用，推进政府职能转变和管理创新，转变机关工作作风，调动干部积极性、进一步做好服务工作，提高政府执行力和公信力，有效推动市委市政府工作落实。</w:t>
      </w:r>
    </w:p>
    <w:p>
      <w:pPr>
        <w:spacing w:line="594" w:lineRule="exact"/>
        <w:ind w:firstLine="640" w:firstLineChars="200"/>
        <w:jc w:val="both"/>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五、项目存在的问题和改进措施</w:t>
      </w:r>
    </w:p>
    <w:p>
      <w:pPr>
        <w:spacing w:line="594" w:lineRule="exact"/>
        <w:ind w:firstLine="640" w:firstLineChars="200"/>
        <w:jc w:val="both"/>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（一）项目存在的问题</w:t>
      </w:r>
    </w:p>
    <w:p>
      <w:pPr>
        <w:spacing w:line="594" w:lineRule="exact"/>
        <w:ind w:firstLine="640" w:firstLineChars="200"/>
        <w:jc w:val="both"/>
        <w:rPr>
          <w:rFonts w:ascii="Times New Roman" w:hAnsi="Times New Roman" w:eastAsia="仿宋"/>
          <w:color w:val="000000"/>
          <w:sz w:val="32"/>
          <w:szCs w:val="32"/>
          <w:lang w:eastAsia="zh-CN"/>
        </w:rPr>
      </w:pPr>
      <w:r>
        <w:rPr>
          <w:rFonts w:ascii="Times New Roman" w:eastAsia="仿宋_GB2312"/>
          <w:color w:val="000000"/>
          <w:sz w:val="32"/>
          <w:szCs w:val="32"/>
          <w:lang w:eastAsia="zh-CN"/>
        </w:rPr>
        <w:t>目前，项目还存在一些问题，主要有如下：一是创新意识不强，解放思想程度不够；二是项目指标权重不同，设置的奖励金额都一样，体现不出主次。</w:t>
      </w:r>
    </w:p>
    <w:p>
      <w:pPr>
        <w:spacing w:line="594" w:lineRule="exact"/>
        <w:ind w:firstLine="640" w:firstLineChars="200"/>
        <w:jc w:val="both"/>
        <w:rPr>
          <w:rFonts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（二）</w:t>
      </w:r>
      <w:r>
        <w:rPr>
          <w:rFonts w:ascii="楷体_GB2312" w:hAnsi="Times New Roman" w:eastAsia="楷体_GB2312"/>
          <w:color w:val="000000"/>
          <w:sz w:val="32"/>
          <w:szCs w:val="32"/>
          <w:lang w:eastAsia="zh-CN"/>
        </w:rPr>
        <w:t>项目改进措施</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针对上述问题采取积极有效措施。一是改变工作方式方法，解放思想；二是根据项目设置指标的主次，分别设置资金的额度，实行奖罚抵扣制。</w:t>
      </w:r>
    </w:p>
    <w:p>
      <w:pPr>
        <w:spacing w:line="594" w:lineRule="exact"/>
        <w:ind w:firstLine="640" w:firstLineChars="200"/>
        <w:jc w:val="both"/>
        <w:rPr>
          <w:rFonts w:ascii="Times New Roman" w:hAnsi="Times New Roman" w:eastAsia="仿宋_GB2312"/>
          <w:sz w:val="32"/>
          <w:szCs w:val="32"/>
          <w:lang w:eastAsia="zh-CN"/>
        </w:rPr>
      </w:pPr>
      <w:r>
        <w:rPr>
          <w:rFonts w:ascii="Times New Roman" w:hAnsi="黑体" w:eastAsia="黑体"/>
          <w:sz w:val="32"/>
          <w:szCs w:val="32"/>
          <w:lang w:eastAsia="zh-CN"/>
        </w:rPr>
        <w:t>六、相关意见建议</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一是推进项目的日常管理，结合政府办具体业务，完善项目管理制度，确保绩效工作有效开展。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二是加强办公室项目经费管理，统筹安排、轻重缓急，将资金重点用于社会发展、民生方面支出。</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三是广泛听取人民群众的意见和建议，提高工作人员的管理水平，改善服务态度，提高服务水平。</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line="1000" w:lineRule="exact"/>
        <w:jc w:val="both"/>
        <w:rPr>
          <w:rFonts w:hint="eastAsia" w:ascii="黑体" w:hAnsi="黑体" w:eastAsia="黑体" w:cs="宋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 xml:space="preserve">  2016年度龙岩市对我市绩效管理考评奖金</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300" w:lineRule="exact"/>
        <w:jc w:val="both"/>
        <w:rPr>
          <w:rFonts w:hint="eastAsia" w:ascii="黑体" w:hAnsi="黑体" w:eastAsia="黑体"/>
          <w:color w:val="000000"/>
          <w:sz w:val="32"/>
          <w:szCs w:val="32"/>
          <w:lang w:eastAsia="zh-CN"/>
        </w:rPr>
      </w:pPr>
    </w:p>
    <w:tbl>
      <w:tblPr>
        <w:tblStyle w:val="3"/>
        <w:tblW w:w="10124" w:type="dxa"/>
        <w:jc w:val="center"/>
        <w:tblInd w:w="0" w:type="dxa"/>
        <w:tblLayout w:type="fixed"/>
        <w:tblCellMar>
          <w:top w:w="0" w:type="dxa"/>
          <w:left w:w="28" w:type="dxa"/>
          <w:bottom w:w="0" w:type="dxa"/>
          <w:right w:w="28" w:type="dxa"/>
        </w:tblCellMar>
      </w:tblPr>
      <w:tblGrid>
        <w:gridCol w:w="515"/>
        <w:gridCol w:w="704"/>
        <w:gridCol w:w="467"/>
        <w:gridCol w:w="561"/>
        <w:gridCol w:w="1232"/>
        <w:gridCol w:w="1120"/>
        <w:gridCol w:w="856"/>
        <w:gridCol w:w="184"/>
        <w:gridCol w:w="846"/>
        <w:gridCol w:w="222"/>
        <w:gridCol w:w="992"/>
        <w:gridCol w:w="230"/>
        <w:gridCol w:w="1051"/>
        <w:gridCol w:w="1144"/>
      </w:tblGrid>
      <w:tr>
        <w:tblPrEx>
          <w:tblLayout w:type="fixed"/>
          <w:tblCellMar>
            <w:top w:w="0" w:type="dxa"/>
            <w:left w:w="28" w:type="dxa"/>
            <w:bottom w:w="0" w:type="dxa"/>
            <w:right w:w="28" w:type="dxa"/>
          </w:tblCellMar>
        </w:tblPrEx>
        <w:trPr>
          <w:trHeight w:val="284" w:hRule="atLeast"/>
          <w:jc w:val="center"/>
        </w:trPr>
        <w:tc>
          <w:tcPr>
            <w:tcW w:w="5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lang w:eastAsia="zh-CN" w:bidi="ar-SA"/>
              </w:rPr>
            </w:pPr>
            <w:r>
              <w:rPr>
                <w:rFonts w:hint="eastAsia" w:ascii="宋体" w:hAnsi="宋体" w:cs="宋体"/>
                <w:b/>
                <w:bCs/>
                <w:lang w:eastAsia="zh-CN" w:bidi="ar-SA"/>
              </w:rPr>
              <w:t>项目基本情况</w:t>
            </w: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立项依据</w:t>
            </w:r>
          </w:p>
        </w:tc>
        <w:tc>
          <w:tcPr>
            <w:tcW w:w="7877" w:type="dxa"/>
            <w:gridSpan w:val="10"/>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岩绩效办函[2017]9号</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2964"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项目起止时间</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计划时间</w:t>
            </w:r>
          </w:p>
        </w:tc>
        <w:tc>
          <w:tcPr>
            <w:tcW w:w="1886"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c>
          <w:tcPr>
            <w:tcW w:w="14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实际时间</w:t>
            </w:r>
          </w:p>
        </w:tc>
        <w:tc>
          <w:tcPr>
            <w:tcW w:w="21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296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886"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c>
          <w:tcPr>
            <w:tcW w:w="144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21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w:t>
            </w:r>
          </w:p>
        </w:tc>
        <w:tc>
          <w:tcPr>
            <w:tcW w:w="1028"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目标分类（一级）</w:t>
            </w:r>
          </w:p>
        </w:tc>
        <w:tc>
          <w:tcPr>
            <w:tcW w:w="1232"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分类细化</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（二级）</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绩效目标内容</w:t>
            </w:r>
          </w:p>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（三级）</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绩效目标值</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91万元</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91万元</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3006"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表彰2016年度36项龙岩市对我市绩效管理考评指标在龙岩前3名的单位</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24个</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24个</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推进政府职能转变和管理创新</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转变机关作风</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转变机关作风</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社会效益</w:t>
            </w:r>
          </w:p>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调动干部积极性、进一步做好服务工作</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提高政府执行力和公信力</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提高政府执行力和公信力</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可持续影响目标</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有效推动市委市政府工作落实</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有效开展工作</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有效开展工作</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28"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服务对象满意度目标</w:t>
            </w:r>
          </w:p>
        </w:tc>
        <w:tc>
          <w:tcPr>
            <w:tcW w:w="300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干部职工满意度</w:t>
            </w:r>
          </w:p>
        </w:tc>
        <w:tc>
          <w:tcPr>
            <w:tcW w:w="1444"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2195"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1732"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年度绩效目标总体完成情况</w:t>
            </w:r>
          </w:p>
        </w:tc>
        <w:tc>
          <w:tcPr>
            <w:tcW w:w="1232"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完成</w:t>
            </w:r>
          </w:p>
        </w:tc>
        <w:tc>
          <w:tcPr>
            <w:tcW w:w="1976"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未完成目标的</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原因</w:t>
            </w:r>
          </w:p>
        </w:tc>
        <w:tc>
          <w:tcPr>
            <w:tcW w:w="4669"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无</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2964"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r>
              <w:rPr>
                <w:rFonts w:hint="eastAsia" w:ascii="宋体" w:hAnsi="宋体" w:cs="宋体"/>
                <w:b/>
                <w:bCs/>
                <w:sz w:val="22"/>
                <w:szCs w:val="22"/>
                <w:lang w:eastAsia="zh-CN" w:bidi="ar-SA"/>
              </w:rPr>
              <w:t>项目评价方法</w:t>
            </w:r>
          </w:p>
        </w:tc>
        <w:tc>
          <w:tcPr>
            <w:tcW w:w="6645"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成本效益分析法□ </w:t>
            </w:r>
            <w:r>
              <w:rPr>
                <w:rFonts w:ascii="Arial" w:hAnsi="Arial" w:cs="Arial"/>
                <w:sz w:val="22"/>
                <w:szCs w:val="22"/>
                <w:lang w:eastAsia="zh-CN" w:bidi="ar-SA"/>
              </w:rPr>
              <w:t>√</w:t>
            </w:r>
            <w:r>
              <w:rPr>
                <w:rFonts w:hint="eastAsia" w:ascii="宋体" w:hAnsi="宋体" w:cs="宋体"/>
                <w:sz w:val="22"/>
                <w:szCs w:val="22"/>
                <w:lang w:eastAsia="zh-CN" w:bidi="ar-SA"/>
              </w:rPr>
              <w:t xml:space="preserve">　　 比较法□  因素分析法□  最低成本法□  公众评判法□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bCs/>
                <w:lang w:eastAsia="zh-CN" w:bidi="ar-SA"/>
              </w:rPr>
            </w:pPr>
          </w:p>
        </w:tc>
        <w:tc>
          <w:tcPr>
            <w:tcW w:w="2964"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645"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其他评价方法:</w:t>
            </w:r>
            <w:r>
              <w:rPr>
                <w:rFonts w:hint="eastAsia" w:ascii="宋体" w:hAnsi="宋体" w:cs="宋体"/>
                <w:sz w:val="22"/>
                <w:szCs w:val="22"/>
                <w:u w:val="single"/>
                <w:lang w:eastAsia="zh-CN" w:bidi="ar-SA"/>
              </w:rPr>
              <w:t xml:space="preserve">                   </w:t>
            </w:r>
            <w:r>
              <w:rPr>
                <w:rFonts w:hint="eastAsia" w:ascii="宋体" w:hAnsi="宋体" w:cs="宋体"/>
                <w:sz w:val="22"/>
                <w:szCs w:val="22"/>
                <w:lang w:eastAsia="zh-CN" w:bidi="ar-SA"/>
              </w:rPr>
              <w:t xml:space="preserve">□  </w:t>
            </w:r>
            <w:r>
              <w:rPr>
                <w:rFonts w:hint="eastAsia" w:ascii="宋体" w:hAnsi="宋体" w:cs="宋体"/>
                <w:b/>
                <w:bCs/>
                <w:sz w:val="22"/>
                <w:szCs w:val="22"/>
                <w:lang w:eastAsia="zh-CN" w:bidi="ar-SA"/>
              </w:rPr>
              <w:t xml:space="preserve"> </w:t>
            </w:r>
            <w:r>
              <w:rPr>
                <w:rFonts w:hint="eastAsia" w:ascii="宋体" w:hAnsi="宋体" w:cs="宋体"/>
                <w:sz w:val="22"/>
                <w:szCs w:val="22"/>
                <w:lang w:eastAsia="zh-CN" w:bidi="ar-SA"/>
              </w:rPr>
              <w:t xml:space="preserve">            </w:t>
            </w:r>
          </w:p>
        </w:tc>
      </w:tr>
      <w:tr>
        <w:tblPrEx>
          <w:tblLayout w:type="fixed"/>
          <w:tblCellMar>
            <w:top w:w="0" w:type="dxa"/>
            <w:left w:w="28" w:type="dxa"/>
            <w:bottom w:w="0" w:type="dxa"/>
            <w:right w:w="28" w:type="dxa"/>
          </w:tblCellMar>
        </w:tblPrEx>
        <w:trPr>
          <w:trHeight w:val="284" w:hRule="atLeast"/>
          <w:jc w:val="center"/>
        </w:trPr>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lang w:eastAsia="zh-CN" w:bidi="ar-SA"/>
              </w:rPr>
            </w:pPr>
            <w:r>
              <w:rPr>
                <w:rFonts w:hint="eastAsia" w:ascii="宋体" w:hAnsi="宋体" w:cs="宋体"/>
                <w:b/>
                <w:bCs/>
                <w:lang w:eastAsia="zh-CN" w:bidi="ar-SA"/>
              </w:rPr>
              <w:t xml:space="preserve">    项目资金安排和使用情况 </w:t>
            </w:r>
          </w:p>
        </w:tc>
        <w:tc>
          <w:tcPr>
            <w:tcW w:w="173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项目安排</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资金</w:t>
            </w:r>
          </w:p>
        </w:tc>
        <w:tc>
          <w:tcPr>
            <w:tcW w:w="6645"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本年度情况</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预算安排</w:t>
            </w:r>
          </w:p>
        </w:tc>
        <w:tc>
          <w:tcPr>
            <w:tcW w:w="2108"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实际到位</w:t>
            </w:r>
          </w:p>
        </w:tc>
        <w:tc>
          <w:tcPr>
            <w:tcW w:w="22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实际支出</w:t>
            </w:r>
          </w:p>
        </w:tc>
        <w:tc>
          <w:tcPr>
            <w:tcW w:w="11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本年度结余金额       （万元）   （=⑨-⑩）</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⑧</w:t>
            </w:r>
          </w:p>
        </w:tc>
        <w:tc>
          <w:tcPr>
            <w:tcW w:w="10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Times New Roman" w:hAnsi="Times New Roman"/>
                <w:sz w:val="22"/>
                <w:szCs w:val="22"/>
                <w:lang w:eastAsia="zh-CN" w:bidi="ar-SA"/>
              </w:rPr>
            </w:pPr>
            <w:r>
              <w:rPr>
                <w:rFonts w:hint="eastAsia" w:ascii="宋体" w:hAnsi="宋体" w:cs="宋体"/>
                <w:sz w:val="22"/>
                <w:szCs w:val="22"/>
                <w:lang w:eastAsia="zh-CN" w:bidi="ar-SA"/>
              </w:rPr>
              <w:t>金额</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（万元）⑨</w:t>
            </w:r>
          </w:p>
        </w:tc>
        <w:tc>
          <w:tcPr>
            <w:tcW w:w="1068" w:type="dxa"/>
            <w:gridSpan w:val="2"/>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到位率（％）</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（=⑨/⑧）</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⑩</w:t>
            </w:r>
          </w:p>
        </w:tc>
        <w:tc>
          <w:tcPr>
            <w:tcW w:w="128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支出实现率（％）</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（=⑩/⑨）</w:t>
            </w: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cs="宋体"/>
                <w:b/>
                <w:bCs/>
                <w:sz w:val="22"/>
                <w:szCs w:val="22"/>
                <w:lang w:eastAsia="zh-CN" w:bidi="ar-SA"/>
              </w:rPr>
            </w:pPr>
          </w:p>
        </w:tc>
        <w:tc>
          <w:tcPr>
            <w:tcW w:w="173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068" w:type="dxa"/>
            <w:gridSpan w:val="2"/>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992"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28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合　计（=1+2）</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1.财政资金小计（=①+②+③+④）</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①中央财政资金</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②省财政资金</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③市财政资金</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④其他财政资金</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2.其他资金小计（=⑤+⑥+⑦）</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⑤银行贷款</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⑥自筹资金</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⑦其他</w:t>
            </w:r>
          </w:p>
        </w:tc>
        <w:tc>
          <w:tcPr>
            <w:tcW w:w="123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6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财政资金实际支出情况</w:t>
            </w:r>
          </w:p>
        </w:tc>
        <w:tc>
          <w:tcPr>
            <w:tcW w:w="56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序号</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具体支出内容</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金额(万元)</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在龙岩排位第1名奖金</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72</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2</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在龙岩排位第2名奖金</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14</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在龙岩排位第3名奖金</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4</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6</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7</w:t>
            </w:r>
          </w:p>
        </w:tc>
        <w:tc>
          <w:tcPr>
            <w:tcW w:w="5452"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425"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515" w:type="dxa"/>
            <w:vMerge w:val="continue"/>
            <w:tcBorders>
              <w:top w:val="nil"/>
              <w:left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71" w:type="dxa"/>
            <w:gridSpan w:val="2"/>
            <w:vMerge w:val="continue"/>
            <w:tcBorders>
              <w:top w:val="single" w:color="auto" w:sz="4" w:space="0"/>
              <w:left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1" w:type="dxa"/>
            <w:tcBorders>
              <w:top w:val="nil"/>
              <w:left w:val="nil"/>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合计</w:t>
            </w:r>
          </w:p>
        </w:tc>
        <w:tc>
          <w:tcPr>
            <w:tcW w:w="5452" w:type="dxa"/>
            <w:gridSpan w:val="7"/>
            <w:tcBorders>
              <w:top w:val="single" w:color="auto" w:sz="4" w:space="0"/>
              <w:left w:val="nil"/>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2425" w:type="dxa"/>
            <w:gridSpan w:val="3"/>
            <w:tcBorders>
              <w:top w:val="single" w:color="auto" w:sz="4" w:space="0"/>
              <w:left w:val="nil"/>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91</w:t>
            </w:r>
          </w:p>
        </w:tc>
      </w:tr>
    </w:tbl>
    <w:p>
      <w:pPr>
        <w:spacing w:line="200" w:lineRule="exact"/>
        <w:jc w:val="both"/>
        <w:rPr>
          <w:rFonts w:hint="eastAsia" w:ascii="Times New Roman" w:hAnsi="Times New Roman" w:eastAsia="黑体"/>
          <w:color w:val="000000"/>
          <w:sz w:val="32"/>
          <w:szCs w:val="32"/>
          <w:lang w:eastAsia="zh-CN"/>
        </w:rPr>
      </w:pPr>
    </w:p>
    <w:tbl>
      <w:tblPr>
        <w:tblStyle w:val="3"/>
        <w:tblW w:w="10286" w:type="dxa"/>
        <w:jc w:val="center"/>
        <w:tblInd w:w="0" w:type="dxa"/>
        <w:tblLayout w:type="fixed"/>
        <w:tblCellMar>
          <w:top w:w="0" w:type="dxa"/>
          <w:left w:w="28" w:type="dxa"/>
          <w:bottom w:w="0" w:type="dxa"/>
          <w:right w:w="28" w:type="dxa"/>
        </w:tblCellMar>
      </w:tblPr>
      <w:tblGrid>
        <w:gridCol w:w="499"/>
        <w:gridCol w:w="1975"/>
        <w:gridCol w:w="1352"/>
        <w:gridCol w:w="1752"/>
        <w:gridCol w:w="3715"/>
        <w:gridCol w:w="536"/>
        <w:gridCol w:w="457"/>
      </w:tblGrid>
      <w:tr>
        <w:tblPrEx>
          <w:tblLayout w:type="fixed"/>
          <w:tblCellMar>
            <w:top w:w="0" w:type="dxa"/>
            <w:left w:w="28" w:type="dxa"/>
            <w:bottom w:w="0" w:type="dxa"/>
            <w:right w:w="28" w:type="dxa"/>
          </w:tblCellMar>
        </w:tblPrEx>
        <w:trPr>
          <w:trHeight w:val="664" w:hRule="atLeast"/>
          <w:jc w:val="center"/>
        </w:trPr>
        <w:tc>
          <w:tcPr>
            <w:tcW w:w="499" w:type="dxa"/>
            <w:tcBorders>
              <w:top w:val="single" w:color="auto" w:sz="4" w:space="0"/>
              <w:left w:val="single" w:color="auto" w:sz="4" w:space="0"/>
              <w:bottom w:val="nil"/>
              <w:right w:val="single" w:color="auto" w:sz="4" w:space="0"/>
            </w:tcBorders>
            <w:shd w:val="clear" w:color="auto" w:fill="auto"/>
            <w:vAlign w:val="center"/>
          </w:tcPr>
          <w:p>
            <w:pPr>
              <w:spacing w:line="240" w:lineRule="exact"/>
              <w:jc w:val="center"/>
              <w:rPr>
                <w:rFonts w:ascii="宋体" w:hAnsi="宋体" w:cs="宋体"/>
                <w:b/>
                <w:bCs/>
                <w:sz w:val="28"/>
                <w:szCs w:val="28"/>
                <w:lang w:eastAsia="zh-CN" w:bidi="ar-SA"/>
              </w:rPr>
            </w:pPr>
          </w:p>
        </w:tc>
        <w:tc>
          <w:tcPr>
            <w:tcW w:w="197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240" w:lineRule="exact"/>
              <w:jc w:val="center"/>
              <w:rPr>
                <w:rFonts w:ascii="宋体" w:hAnsi="宋体" w:cs="宋体"/>
                <w:b/>
                <w:bCs/>
                <w:lang w:eastAsia="zh-CN" w:bidi="ar-SA"/>
              </w:rPr>
            </w:pPr>
            <w:r>
              <w:rPr>
                <w:rFonts w:hint="eastAsia" w:ascii="宋体" w:hAnsi="宋体" w:cs="宋体"/>
                <w:sz w:val="20"/>
                <w:szCs w:val="20"/>
                <w:lang w:eastAsia="zh-CN" w:bidi="ar-SA"/>
              </w:rPr>
              <w:t>（目标分类）</w:t>
            </w:r>
          </w:p>
        </w:tc>
        <w:tc>
          <w:tcPr>
            <w:tcW w:w="13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二级指标</w:t>
            </w:r>
          </w:p>
          <w:p>
            <w:pPr>
              <w:spacing w:line="240" w:lineRule="exact"/>
              <w:jc w:val="center"/>
              <w:rPr>
                <w:rFonts w:ascii="宋体" w:hAnsi="宋体" w:cs="宋体"/>
                <w:b/>
                <w:bCs/>
                <w:lang w:eastAsia="zh-CN" w:bidi="ar-SA"/>
              </w:rPr>
            </w:pPr>
            <w:r>
              <w:rPr>
                <w:rFonts w:hint="eastAsia" w:ascii="宋体" w:hAnsi="宋体" w:cs="宋体"/>
                <w:sz w:val="20"/>
                <w:szCs w:val="20"/>
                <w:lang w:eastAsia="zh-CN" w:bidi="ar-SA"/>
              </w:rPr>
              <w:t>（分类细化）</w:t>
            </w: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三级指标</w:t>
            </w:r>
          </w:p>
          <w:p>
            <w:pPr>
              <w:spacing w:line="240" w:lineRule="exact"/>
              <w:jc w:val="center"/>
              <w:rPr>
                <w:rFonts w:ascii="宋体" w:hAnsi="宋体" w:cs="宋体"/>
                <w:b/>
                <w:bCs/>
                <w:lang w:eastAsia="zh-CN" w:bidi="ar-SA"/>
              </w:rPr>
            </w:pPr>
            <w:r>
              <w:rPr>
                <w:rFonts w:hint="eastAsia" w:ascii="宋体" w:hAnsi="宋体" w:cs="宋体"/>
                <w:sz w:val="20"/>
                <w:szCs w:val="20"/>
                <w:lang w:eastAsia="zh-CN" w:bidi="ar-SA"/>
              </w:rPr>
              <w:t>（绩效目标内容）</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b/>
                <w:bCs/>
                <w:lang w:eastAsia="zh-CN" w:bidi="ar-SA"/>
              </w:rPr>
            </w:pPr>
            <w:r>
              <w:rPr>
                <w:rFonts w:hint="eastAsia" w:ascii="宋体" w:hAnsi="宋体" w:cs="宋体"/>
                <w:b/>
                <w:bCs/>
                <w:lang w:eastAsia="zh-CN" w:bidi="ar-SA"/>
              </w:rPr>
              <w:t>评分标准</w:t>
            </w:r>
          </w:p>
          <w:p>
            <w:pPr>
              <w:spacing w:line="240" w:lineRule="exact"/>
              <w:jc w:val="center"/>
              <w:rPr>
                <w:rFonts w:ascii="宋体" w:hAnsi="宋体" w:cs="宋体"/>
                <w:b/>
                <w:bCs/>
                <w:lang w:eastAsia="zh-CN" w:bidi="ar-SA"/>
              </w:rPr>
            </w:pPr>
            <w:r>
              <w:rPr>
                <w:rFonts w:hint="eastAsia" w:ascii="宋体" w:hAnsi="宋体" w:cs="宋体"/>
                <w:sz w:val="20"/>
                <w:szCs w:val="20"/>
                <w:lang w:eastAsia="zh-CN" w:bidi="ar-SA"/>
              </w:rPr>
              <w:t>（绩效目标值）</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权重</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28" w:type="dxa"/>
            <w:bottom w:w="0" w:type="dxa"/>
            <w:right w:w="28" w:type="dxa"/>
          </w:tblCellMar>
        </w:tblPrEx>
        <w:trPr>
          <w:trHeight w:val="885" w:hRule="atLeast"/>
          <w:jc w:val="center"/>
        </w:trPr>
        <w:tc>
          <w:tcPr>
            <w:tcW w:w="499"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r>
              <w:rPr>
                <w:rFonts w:hint="eastAsia" w:ascii="宋体" w:hAnsi="宋体" w:cs="宋体"/>
                <w:b/>
                <w:bCs/>
                <w:sz w:val="20"/>
                <w:szCs w:val="20"/>
                <w:lang w:eastAsia="zh-CN" w:bidi="ar-SA"/>
              </w:rPr>
              <w:t>投入（30%）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3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项目实际实施月份是否晚于计划月份。实际实施月份不晚于计划月份的得满分，比计划月份晚1个月以内扣1分，比计划月份晚1个月以上不得分。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900"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项目</w:t>
            </w:r>
          </w:p>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立项</w:t>
            </w: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绩效目标合理性</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①是否与项目年度任务数或计划数相对应；</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②是否与预算确定的项目投资额或资金量相匹配。</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825"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绩效指标明确性</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①是否将项目绩效目标细化分解为具体的绩效指标；②是否通过清晰、可衡量的指标值予以体现。</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660"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绩效指标完成率</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①目标完成率E=目标实际完成数/期初目标编制数，本指标得分为指标权重×E。</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140"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项目立项规范性</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260"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资金落实</w:t>
            </w: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成本控制率A=截至年末累计支出数/项目概算或当年预算数。A≦100%得满分；100%﹤A≦105%时，得分为此项指标满分值-100×（A-100%）（如：A=102.8%，此项指标权重4分，则得分为4-2.8=1.2分），A＞105%时不得分。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365"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①资金使用率=（实际使用资金/实际到位资金）×100%。资金使用率大于95%的得满分，每少5个百分点扣1分，扣完为止。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实际使用资金：一定时期（本年度或项目期）内项目实施单位实际使用的资金总额。</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1800"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①资金到位率=（实际到位资金/计划投入资金）×100%。资金到位率大于90%的得满分，每少5个百分点扣1分，扣完为止。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实际到位资金：一定时期（本年度或项目期）内实际落实到项目实施单位的资金总额。</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计划投入资金：一定时期（本年度或项目期）内计划投入到项目实施单位的资金总额。</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825"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业务管理</w:t>
            </w: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管理制度健全性</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①是否已制定或具有相应的业务管理制度；</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②业务管理制度是否合法、合规、完整。一项不符合扣一分，严重的此项完全不得分。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290" w:hRule="atLeast"/>
          <w:jc w:val="center"/>
        </w:trPr>
        <w:tc>
          <w:tcPr>
            <w:tcW w:w="4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制度执行有效性</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855" w:hRule="atLeast"/>
          <w:jc w:val="center"/>
        </w:trPr>
        <w:tc>
          <w:tcPr>
            <w:tcW w:w="499" w:type="dxa"/>
            <w:vMerge w:val="continue"/>
            <w:tcBorders>
              <w:left w:val="single" w:color="auto" w:sz="4" w:space="0"/>
              <w:bottom w:val="nil"/>
              <w:right w:val="single" w:color="auto" w:sz="4" w:space="0"/>
            </w:tcBorders>
            <w:shd w:val="clear" w:color="auto" w:fill="auto"/>
            <w:vAlign w:val="center"/>
          </w:tcPr>
          <w:p>
            <w:pPr>
              <w:spacing w:line="240" w:lineRule="exact"/>
              <w:rPr>
                <w:rFonts w:ascii="宋体" w:hAnsi="宋体" w:cs="宋体"/>
                <w:b/>
                <w:bCs/>
                <w:sz w:val="28"/>
                <w:szCs w:val="28"/>
                <w:lang w:eastAsia="zh-CN" w:bidi="ar-SA"/>
              </w:rPr>
            </w:pPr>
          </w:p>
        </w:tc>
        <w:tc>
          <w:tcPr>
            <w:tcW w:w="1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0"/>
                <w:szCs w:val="20"/>
                <w:lang w:eastAsia="zh-CN" w:bidi="ar-SA"/>
              </w:rPr>
            </w:pPr>
          </w:p>
        </w:tc>
        <w:tc>
          <w:tcPr>
            <w:tcW w:w="13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0"/>
                <w:szCs w:val="20"/>
                <w:lang w:eastAsia="zh-CN" w:bidi="ar-SA"/>
              </w:rPr>
            </w:pPr>
          </w:p>
        </w:tc>
        <w:tc>
          <w:tcPr>
            <w:tcW w:w="175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项目质量可控性</w:t>
            </w:r>
          </w:p>
        </w:tc>
        <w:tc>
          <w:tcPr>
            <w:tcW w:w="371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①是否具有或制定了相应的项目质量要求或标准；②是否采取了必需的控制措施或手段。一项不符合扣一分，严重的此项完全不得分。</w:t>
            </w:r>
          </w:p>
        </w:tc>
        <w:tc>
          <w:tcPr>
            <w:tcW w:w="53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bl>
    <w:p>
      <w:pPr>
        <w:spacing w:line="200" w:lineRule="exact"/>
        <w:jc w:val="both"/>
        <w:rPr>
          <w:rFonts w:hint="eastAsia" w:ascii="Times New Roman" w:hAnsi="Times New Roman" w:eastAsia="黑体"/>
          <w:color w:val="000000"/>
          <w:sz w:val="32"/>
          <w:szCs w:val="32"/>
          <w:lang w:eastAsia="zh-CN"/>
        </w:rPr>
      </w:pPr>
    </w:p>
    <w:tbl>
      <w:tblPr>
        <w:tblStyle w:val="3"/>
        <w:tblW w:w="10190" w:type="dxa"/>
        <w:jc w:val="center"/>
        <w:tblInd w:w="0" w:type="dxa"/>
        <w:tblLayout w:type="fixed"/>
        <w:tblCellMar>
          <w:top w:w="0" w:type="dxa"/>
          <w:left w:w="28" w:type="dxa"/>
          <w:bottom w:w="0" w:type="dxa"/>
          <w:right w:w="28" w:type="dxa"/>
        </w:tblCellMar>
      </w:tblPr>
      <w:tblGrid>
        <w:gridCol w:w="562"/>
        <w:gridCol w:w="834"/>
        <w:gridCol w:w="1177"/>
        <w:gridCol w:w="1377"/>
        <w:gridCol w:w="1308"/>
        <w:gridCol w:w="3157"/>
        <w:gridCol w:w="826"/>
        <w:gridCol w:w="949"/>
      </w:tblGrid>
      <w:tr>
        <w:tblPrEx>
          <w:tblLayout w:type="fixed"/>
          <w:tblCellMar>
            <w:top w:w="0" w:type="dxa"/>
            <w:left w:w="28" w:type="dxa"/>
            <w:bottom w:w="0" w:type="dxa"/>
            <w:right w:w="28" w:type="dxa"/>
          </w:tblCellMar>
        </w:tblPrEx>
        <w:trPr>
          <w:trHeight w:val="664" w:hRule="atLeast"/>
          <w:jc w:val="center"/>
        </w:trPr>
        <w:tc>
          <w:tcPr>
            <w:tcW w:w="562"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b/>
                <w:bCs/>
                <w:sz w:val="28"/>
                <w:szCs w:val="28"/>
                <w:lang w:eastAsia="zh-CN" w:bidi="ar-SA"/>
              </w:rPr>
            </w:pPr>
          </w:p>
        </w:tc>
        <w:tc>
          <w:tcPr>
            <w:tcW w:w="2011"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260" w:lineRule="exact"/>
              <w:jc w:val="center"/>
              <w:rPr>
                <w:rFonts w:ascii="宋体" w:hAnsi="宋体" w:cs="宋体"/>
                <w:b/>
                <w:bCs/>
                <w:lang w:eastAsia="zh-CN" w:bidi="ar-SA"/>
              </w:rPr>
            </w:pPr>
            <w:r>
              <w:rPr>
                <w:rFonts w:hint="eastAsia" w:ascii="宋体" w:hAnsi="宋体" w:cs="宋体"/>
                <w:sz w:val="20"/>
                <w:szCs w:val="20"/>
                <w:lang w:eastAsia="zh-CN" w:bidi="ar-SA"/>
              </w:rPr>
              <w:t>（目标分类）</w:t>
            </w:r>
          </w:p>
        </w:tc>
        <w:tc>
          <w:tcPr>
            <w:tcW w:w="137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cs="宋体"/>
                <w:b/>
                <w:bCs/>
                <w:lang w:eastAsia="zh-CN" w:bidi="ar-SA"/>
              </w:rPr>
            </w:pPr>
            <w:r>
              <w:rPr>
                <w:rFonts w:hint="eastAsia" w:ascii="宋体" w:hAnsi="宋体" w:cs="宋体"/>
                <w:b/>
                <w:bCs/>
                <w:lang w:eastAsia="zh-CN" w:bidi="ar-SA"/>
              </w:rPr>
              <w:t>二级指标</w:t>
            </w:r>
          </w:p>
          <w:p>
            <w:pPr>
              <w:spacing w:line="260" w:lineRule="exact"/>
              <w:jc w:val="center"/>
              <w:rPr>
                <w:rFonts w:ascii="宋体" w:hAnsi="宋体" w:cs="宋体"/>
                <w:b/>
                <w:bCs/>
                <w:lang w:eastAsia="zh-CN" w:bidi="ar-SA"/>
              </w:rPr>
            </w:pPr>
            <w:r>
              <w:rPr>
                <w:rFonts w:hint="eastAsia" w:ascii="宋体" w:hAnsi="宋体" w:cs="宋体"/>
                <w:sz w:val="20"/>
                <w:szCs w:val="20"/>
                <w:lang w:eastAsia="zh-CN" w:bidi="ar-SA"/>
              </w:rPr>
              <w:t>（分类细化）</w:t>
            </w:r>
          </w:p>
        </w:tc>
        <w:tc>
          <w:tcPr>
            <w:tcW w:w="130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cs="宋体"/>
                <w:b/>
                <w:bCs/>
                <w:lang w:eastAsia="zh-CN" w:bidi="ar-SA"/>
              </w:rPr>
            </w:pPr>
            <w:r>
              <w:rPr>
                <w:rFonts w:hint="eastAsia" w:ascii="宋体" w:hAnsi="宋体" w:cs="宋体"/>
                <w:b/>
                <w:bCs/>
                <w:lang w:eastAsia="zh-CN" w:bidi="ar-SA"/>
              </w:rPr>
              <w:t>三级指标</w:t>
            </w:r>
          </w:p>
          <w:p>
            <w:pPr>
              <w:spacing w:line="260" w:lineRule="exact"/>
              <w:jc w:val="center"/>
              <w:rPr>
                <w:rFonts w:ascii="宋体" w:hAnsi="宋体" w:cs="宋体"/>
                <w:b/>
                <w:bCs/>
                <w:lang w:eastAsia="zh-CN" w:bidi="ar-SA"/>
              </w:rPr>
            </w:pPr>
            <w:r>
              <w:rPr>
                <w:rFonts w:hint="eastAsia" w:ascii="宋体" w:hAnsi="宋体" w:cs="宋体"/>
                <w:sz w:val="20"/>
                <w:szCs w:val="20"/>
                <w:lang w:eastAsia="zh-CN" w:bidi="ar-SA"/>
              </w:rPr>
              <w:t>（绩效目标内容）</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cs="宋体"/>
                <w:b/>
                <w:bCs/>
                <w:lang w:eastAsia="zh-CN" w:bidi="ar-SA"/>
              </w:rPr>
            </w:pPr>
            <w:r>
              <w:rPr>
                <w:rFonts w:hint="eastAsia" w:ascii="宋体" w:hAnsi="宋体" w:cs="宋体"/>
                <w:b/>
                <w:bCs/>
                <w:lang w:eastAsia="zh-CN" w:bidi="ar-SA"/>
              </w:rPr>
              <w:t>评分标准</w:t>
            </w:r>
          </w:p>
          <w:p>
            <w:pPr>
              <w:spacing w:line="260" w:lineRule="exact"/>
              <w:jc w:val="center"/>
              <w:rPr>
                <w:rFonts w:ascii="宋体" w:hAnsi="宋体" w:cs="宋体"/>
                <w:b/>
                <w:bCs/>
                <w:lang w:eastAsia="zh-CN" w:bidi="ar-SA"/>
              </w:rPr>
            </w:pPr>
            <w:r>
              <w:rPr>
                <w:rFonts w:hint="eastAsia" w:ascii="宋体" w:hAnsi="宋体" w:cs="宋体"/>
                <w:sz w:val="20"/>
                <w:szCs w:val="20"/>
                <w:lang w:eastAsia="zh-CN" w:bidi="ar-SA"/>
              </w:rPr>
              <w:t>（绩效目标值）</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权重</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108" w:type="dxa"/>
            <w:bottom w:w="0" w:type="dxa"/>
            <w:right w:w="108" w:type="dxa"/>
          </w:tblCellMar>
        </w:tblPrEx>
        <w:trPr>
          <w:trHeight w:val="840" w:hRule="atLeast"/>
          <w:jc w:val="cent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效自评指标体系</w:t>
            </w:r>
          </w:p>
        </w:tc>
        <w:tc>
          <w:tcPr>
            <w:tcW w:w="20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资金使用管理</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财务管理制度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健全性</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①是否有专门的项目资金管理办法；②项目资金管理办法是否符合相关财务会计制度的规定。一项不符合扣一分，严重的此项完全不得分。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4%</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129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308"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资金使用合规性</w:t>
            </w:r>
          </w:p>
        </w:tc>
        <w:tc>
          <w:tcPr>
            <w:tcW w:w="3157"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①资金的使用是否符合有关专项资金管理办法的规定；</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②资金的拨付是否有完整的审批程序和手续；</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③项目的重大开支是否经过评估认证。一项不符合扣一分，严重的此项完全不得分。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4%</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93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308"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项目资金安全性</w:t>
            </w:r>
          </w:p>
        </w:tc>
        <w:tc>
          <w:tcPr>
            <w:tcW w:w="3157"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①是否符合项目预算批复或合同规定的用途；②是否存在截留、挤占、挪用等情况。一项不符合扣一分，严重的此项完全不得分。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4%</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108" w:type="dxa"/>
            <w:bottom w:w="0" w:type="dxa"/>
            <w:right w:w="108" w:type="dxa"/>
          </w:tblCellMar>
        </w:tblPrEx>
        <w:trPr>
          <w:trHeight w:val="93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信息规范性</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①项目相关的会计核算是否规范。规范的得满分，有1项不规范扣0.5分，扣完为止。</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93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信息完整性</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lang w:eastAsia="zh-CN" w:bidi="ar-SA"/>
              </w:rPr>
            </w:pPr>
            <w:r>
              <w:rPr>
                <w:rFonts w:hint="eastAsia" w:ascii="宋体" w:hAnsi="宋体" w:cs="宋体"/>
                <w:sz w:val="18"/>
                <w:szCs w:val="18"/>
                <w:lang w:eastAsia="zh-CN" w:bidi="ar-SA"/>
              </w:rPr>
              <w:t>①项目会计核算相关资料是否完整。完整的得满分，否则不得分。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120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2.单项指标权重最高不得超过10%。</w:t>
            </w:r>
          </w:p>
        </w:tc>
        <w:tc>
          <w:tcPr>
            <w:tcW w:w="1377"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308"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表彰2016年度36项龙岩市对我市绩效管理考评指标在龙岩前3名的单位</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完成表彰36项绩效评估指标排名龙岩前3名的24个单位，完成得满分，未完成不得分。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25"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308"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推进政府职能转变和管理创新</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推进政府职能转变和管理创新，确实转变机关作风得满分，否则不得分。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96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308"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调动干部积极性、进一步做好服务工作</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确实调动干部积极性、进一步做好服务工作，提高政府执行力和公信力，得满分，否则不得分。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25"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308"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有效推动市委市政府工作落实</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有效开展工作，得满分，未执行1次扣1分，扣完为止。</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25"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服务对象满意度</w:t>
            </w:r>
          </w:p>
        </w:tc>
        <w:tc>
          <w:tcPr>
            <w:tcW w:w="1308"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干部职工满意度</w:t>
            </w:r>
          </w:p>
        </w:tc>
        <w:tc>
          <w:tcPr>
            <w:tcW w:w="315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干部职工满意，得满分，比较满意得6分，一般得3分，不满意不得分。</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60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7853"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总权重、评价总分 （S）</w:t>
            </w:r>
          </w:p>
        </w:tc>
        <w:tc>
          <w:tcPr>
            <w:tcW w:w="82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100%</w:t>
            </w:r>
          </w:p>
        </w:tc>
        <w:tc>
          <w:tcPr>
            <w:tcW w:w="94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 xml:space="preserve">100.00 </w:t>
            </w:r>
          </w:p>
        </w:tc>
      </w:tr>
      <w:tr>
        <w:tblPrEx>
          <w:tblLayout w:type="fixed"/>
          <w:tblCellMar>
            <w:top w:w="0" w:type="dxa"/>
            <w:left w:w="108" w:type="dxa"/>
            <w:bottom w:w="0" w:type="dxa"/>
            <w:right w:w="108" w:type="dxa"/>
          </w:tblCellMar>
        </w:tblPrEx>
        <w:trPr>
          <w:trHeight w:val="720" w:hRule="atLeast"/>
          <w:jc w:val="center"/>
        </w:trPr>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834"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 xml:space="preserve">评价 等级 </w:t>
            </w:r>
          </w:p>
        </w:tc>
        <w:tc>
          <w:tcPr>
            <w:tcW w:w="8794" w:type="dxa"/>
            <w:gridSpan w:val="6"/>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 xml:space="preserve">优秀（S≧90）      □良好（90﹥S≧75）     □合格（75﹥S≧60）      □不合格（60&lt;S）  </w:t>
            </w:r>
          </w:p>
        </w:tc>
      </w:tr>
    </w:tbl>
    <w:p>
      <w:pPr>
        <w:spacing w:line="200" w:lineRule="exact"/>
        <w:jc w:val="both"/>
        <w:rPr>
          <w:rFonts w:hint="eastAsia" w:ascii="黑体" w:hAnsi="黑体" w:eastAsia="黑体"/>
          <w:color w:val="000000"/>
          <w:sz w:val="28"/>
          <w:szCs w:val="28"/>
          <w:lang w:eastAsia="zh-CN"/>
        </w:rPr>
      </w:pPr>
    </w:p>
    <w:tbl>
      <w:tblPr>
        <w:tblStyle w:val="3"/>
        <w:tblW w:w="9843" w:type="dxa"/>
        <w:jc w:val="center"/>
        <w:tblInd w:w="0" w:type="dxa"/>
        <w:tblLayout w:type="fixed"/>
        <w:tblCellMar>
          <w:top w:w="0" w:type="dxa"/>
          <w:left w:w="108" w:type="dxa"/>
          <w:bottom w:w="0" w:type="dxa"/>
          <w:right w:w="108" w:type="dxa"/>
        </w:tblCellMar>
      </w:tblPr>
      <w:tblGrid>
        <w:gridCol w:w="563"/>
        <w:gridCol w:w="497"/>
        <w:gridCol w:w="1214"/>
        <w:gridCol w:w="3720"/>
        <w:gridCol w:w="1563"/>
        <w:gridCol w:w="1112"/>
        <w:gridCol w:w="1174"/>
      </w:tblGrid>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专</w:t>
            </w:r>
          </w:p>
          <w:p>
            <w:pPr>
              <w:jc w:val="center"/>
              <w:rPr>
                <w:rFonts w:hint="eastAsia" w:ascii="宋体" w:hAnsi="宋体" w:cs="宋体"/>
                <w:b/>
                <w:bCs/>
                <w:lang w:eastAsia="zh-CN" w:bidi="ar-SA"/>
              </w:rPr>
            </w:pPr>
            <w:r>
              <w:rPr>
                <w:rFonts w:hint="eastAsia" w:ascii="宋体" w:hAnsi="宋体" w:cs="宋体"/>
                <w:b/>
                <w:bCs/>
                <w:lang w:eastAsia="zh-CN" w:bidi="ar-SA"/>
              </w:rPr>
              <w:t>家</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hint="eastAsia" w:ascii="宋体" w:hAnsi="宋体" w:cs="宋体"/>
                <w:b/>
                <w:bCs/>
                <w:lang w:eastAsia="zh-CN" w:bidi="ar-SA"/>
              </w:rPr>
            </w:pPr>
            <w:r>
              <w:rPr>
                <w:rFonts w:hint="eastAsia" w:ascii="宋体" w:hAnsi="宋体" w:cs="宋体"/>
                <w:b/>
                <w:bCs/>
                <w:lang w:eastAsia="zh-CN" w:bidi="ar-SA"/>
              </w:rPr>
              <w:t>︵</w:t>
            </w:r>
          </w:p>
          <w:p>
            <w:pPr>
              <w:jc w:val="center"/>
              <w:rPr>
                <w:rFonts w:hint="eastAsia" w:ascii="宋体" w:hAnsi="宋体" w:cs="宋体"/>
                <w:b/>
                <w:bCs/>
                <w:lang w:eastAsia="zh-CN" w:bidi="ar-SA"/>
              </w:rPr>
            </w:pPr>
            <w:r>
              <w:rPr>
                <w:rFonts w:hint="eastAsia" w:ascii="宋体" w:hAnsi="宋体" w:cs="宋体"/>
                <w:b/>
                <w:bCs/>
                <w:lang w:eastAsia="zh-CN" w:bidi="ar-SA"/>
              </w:rPr>
              <w:t>评</w:t>
            </w:r>
          </w:p>
          <w:p>
            <w:pPr>
              <w:jc w:val="center"/>
              <w:rPr>
                <w:rFonts w:hint="eastAsia" w:ascii="宋体" w:hAnsi="宋体" w:cs="宋体"/>
                <w:b/>
                <w:bCs/>
                <w:lang w:eastAsia="zh-CN" w:bidi="ar-SA"/>
              </w:rPr>
            </w:pPr>
            <w:r>
              <w:rPr>
                <w:rFonts w:hint="eastAsia" w:ascii="宋体" w:hAnsi="宋体" w:cs="宋体"/>
                <w:b/>
                <w:bCs/>
                <w:lang w:eastAsia="zh-CN" w:bidi="ar-SA"/>
              </w:rPr>
              <w:t>价</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ascii="宋体" w:hAnsi="宋体" w:cs="宋体"/>
                <w:b/>
                <w:bCs/>
                <w:lang w:eastAsia="zh-CN" w:bidi="ar-SA"/>
              </w:rPr>
            </w:pPr>
            <w:r>
              <w:rPr>
                <w:rFonts w:hint="eastAsia" w:ascii="宋体" w:hAnsi="宋体" w:cs="宋体"/>
                <w:b/>
                <w:bCs/>
                <w:lang w:eastAsia="zh-CN" w:bidi="ar-SA"/>
              </w:rPr>
              <w:t>︶</w:t>
            </w:r>
          </w:p>
        </w:tc>
        <w:tc>
          <w:tcPr>
            <w:tcW w:w="121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姓名</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单位</w:t>
            </w:r>
          </w:p>
        </w:tc>
        <w:tc>
          <w:tcPr>
            <w:tcW w:w="1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职务</w:t>
            </w:r>
          </w:p>
        </w:tc>
        <w:tc>
          <w:tcPr>
            <w:tcW w:w="11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职称</w:t>
            </w:r>
          </w:p>
        </w:tc>
        <w:tc>
          <w:tcPr>
            <w:tcW w:w="11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签字</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专家组（评价组）意见：</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01"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nil"/>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专家组（评价组）组长（签字）：           年   月  日</w:t>
            </w:r>
          </w:p>
        </w:tc>
      </w:tr>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中</w:t>
            </w:r>
          </w:p>
          <w:p>
            <w:pPr>
              <w:jc w:val="center"/>
              <w:rPr>
                <w:rFonts w:hint="eastAsia" w:ascii="宋体" w:hAnsi="宋体" w:cs="宋体"/>
                <w:b/>
                <w:bCs/>
                <w:lang w:eastAsia="zh-CN" w:bidi="ar-SA"/>
              </w:rPr>
            </w:pPr>
            <w:r>
              <w:rPr>
                <w:rFonts w:hint="eastAsia" w:ascii="宋体" w:hAnsi="宋体" w:cs="宋体"/>
                <w:b/>
                <w:bCs/>
                <w:lang w:eastAsia="zh-CN" w:bidi="ar-SA"/>
              </w:rPr>
              <w:t>介</w:t>
            </w:r>
          </w:p>
          <w:p>
            <w:pPr>
              <w:jc w:val="center"/>
              <w:rPr>
                <w:rFonts w:hint="eastAsia" w:ascii="宋体" w:hAnsi="宋体" w:cs="宋体"/>
                <w:b/>
                <w:bCs/>
                <w:lang w:eastAsia="zh-CN" w:bidi="ar-SA"/>
              </w:rPr>
            </w:pPr>
            <w:r>
              <w:rPr>
                <w:rFonts w:hint="eastAsia" w:ascii="宋体" w:hAnsi="宋体" w:cs="宋体"/>
                <w:b/>
                <w:bCs/>
                <w:lang w:eastAsia="zh-CN" w:bidi="ar-SA"/>
              </w:rPr>
              <w:t>机</w:t>
            </w:r>
          </w:p>
          <w:p>
            <w:pPr>
              <w:jc w:val="center"/>
              <w:rPr>
                <w:rFonts w:ascii="宋体" w:hAnsi="宋体" w:cs="宋体"/>
                <w:b/>
                <w:bCs/>
                <w:lang w:eastAsia="zh-CN" w:bidi="ar-SA"/>
              </w:rPr>
            </w:pPr>
            <w:r>
              <w:rPr>
                <w:rFonts w:hint="eastAsia" w:ascii="宋体" w:hAnsi="宋体" w:cs="宋体"/>
                <w:b/>
                <w:bCs/>
                <w:lang w:eastAsia="zh-CN" w:bidi="ar-SA"/>
              </w:rPr>
              <w:t>构</w:t>
            </w: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中介机构名称：</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76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bottom"/>
          </w:tcPr>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t xml:space="preserve">                                          公章：</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 xml:space="preserve">中介机构意见：                                  </w:t>
            </w:r>
          </w:p>
          <w:p>
            <w:pPr>
              <w:rPr>
                <w:rFonts w:hint="eastAsia" w:ascii="宋体" w:hAnsi="宋体" w:cs="宋体"/>
                <w:lang w:eastAsia="zh-CN" w:bidi="ar-SA"/>
              </w:rPr>
            </w:pP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1"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中介机构负责人（签字）：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主</w:t>
            </w:r>
          </w:p>
          <w:p>
            <w:pPr>
              <w:jc w:val="center"/>
              <w:rPr>
                <w:rFonts w:hint="eastAsia" w:ascii="宋体" w:hAnsi="宋体" w:cs="宋体"/>
                <w:b/>
                <w:bCs/>
                <w:lang w:eastAsia="zh-CN" w:bidi="ar-SA"/>
              </w:rPr>
            </w:pPr>
            <w:r>
              <w:rPr>
                <w:rFonts w:hint="eastAsia" w:ascii="宋体" w:hAnsi="宋体" w:cs="宋体"/>
                <w:b/>
                <w:bCs/>
                <w:lang w:eastAsia="zh-CN" w:bidi="ar-SA"/>
              </w:rPr>
              <w:t>管</w:t>
            </w:r>
          </w:p>
          <w:p>
            <w:pPr>
              <w:jc w:val="center"/>
              <w:rPr>
                <w:rFonts w:hint="eastAsia" w:ascii="宋体" w:hAnsi="宋体" w:cs="宋体"/>
                <w:b/>
                <w:bCs/>
                <w:lang w:eastAsia="zh-CN" w:bidi="ar-SA"/>
              </w:rPr>
            </w:pPr>
            <w:r>
              <w:rPr>
                <w:rFonts w:hint="eastAsia" w:ascii="宋体" w:hAnsi="宋体" w:cs="宋体"/>
                <w:b/>
                <w:bCs/>
                <w:lang w:eastAsia="zh-CN" w:bidi="ar-SA"/>
              </w:rPr>
              <w:t>部</w:t>
            </w:r>
          </w:p>
          <w:p>
            <w:pPr>
              <w:jc w:val="center"/>
              <w:rPr>
                <w:rFonts w:hint="eastAsia" w:ascii="宋体" w:hAnsi="宋体" w:cs="宋体"/>
                <w:b/>
                <w:bCs/>
                <w:lang w:eastAsia="zh-CN" w:bidi="ar-SA"/>
              </w:rPr>
            </w:pPr>
            <w:r>
              <w:rPr>
                <w:rFonts w:hint="eastAsia" w:ascii="宋体" w:hAnsi="宋体" w:cs="宋体"/>
                <w:b/>
                <w:bCs/>
                <w:lang w:eastAsia="zh-CN" w:bidi="ar-SA"/>
              </w:rPr>
              <w:t>门</w:t>
            </w:r>
          </w:p>
          <w:p>
            <w:pPr>
              <w:jc w:val="center"/>
              <w:rPr>
                <w:rFonts w:hint="eastAsia" w:ascii="宋体" w:hAnsi="宋体" w:cs="宋体"/>
                <w:b/>
                <w:bCs/>
                <w:lang w:eastAsia="zh-CN" w:bidi="ar-SA"/>
              </w:rPr>
            </w:pPr>
            <w:r>
              <w:rPr>
                <w:rFonts w:hint="eastAsia" w:ascii="宋体" w:hAnsi="宋体" w:cs="宋体"/>
                <w:b/>
                <w:bCs/>
                <w:lang w:eastAsia="zh-CN" w:bidi="ar-SA"/>
              </w:rPr>
              <w:t>意</w:t>
            </w:r>
          </w:p>
          <w:p>
            <w:pPr>
              <w:jc w:val="center"/>
              <w:rPr>
                <w:rFonts w:ascii="宋体" w:hAnsi="宋体" w:cs="宋体"/>
                <w:b/>
                <w:bCs/>
                <w:lang w:eastAsia="zh-CN" w:bidi="ar-SA"/>
              </w:rPr>
            </w:pPr>
            <w:r>
              <w:rPr>
                <w:rFonts w:hint="eastAsia" w:ascii="宋体" w:hAnsi="宋体" w:cs="宋体"/>
                <w:b/>
                <w:bCs/>
                <w:lang w:eastAsia="zh-CN" w:bidi="ar-SA"/>
              </w:rPr>
              <w:t>见</w:t>
            </w:r>
          </w:p>
        </w:tc>
        <w:tc>
          <w:tcPr>
            <w:tcW w:w="8783"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br w:type="textWrapping"/>
            </w:r>
            <w:r>
              <w:rPr>
                <w:rFonts w:hint="eastAsia" w:ascii="宋体" w:hAnsi="宋体" w:cs="宋体"/>
                <w:lang w:eastAsia="zh-CN" w:bidi="ar-SA"/>
              </w:rPr>
              <w:t xml:space="preserve">          主管部门负责人（签章）：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312"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bl>
    <w:p>
      <w:pPr>
        <w:spacing w:line="594"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填表时间：2018年4月30日   联系电话：13507522895</w:t>
      </w:r>
    </w:p>
    <w:p>
      <w:pPr>
        <w:spacing w:line="594"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C0221"/>
    <w:rsid w:val="0B1C02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2018-06-04T02:30:00Z</dcterms:created>
  <dc:creator>admin</dc:creator>
  <cp:lastModifiedBy>admin</cp:lastModifiedBy>
  <dcterms:modified xsi:type="dcterms:W3CDTF">2018-06-04T02:32:10Z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