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Cs w:val="32"/>
        </w:rPr>
      </w:pPr>
      <w:r>
        <w:rPr>
          <w:rFonts w:hint="eastAsia" w:ascii="黑体" w:eastAsia="黑体"/>
          <w:szCs w:val="32"/>
        </w:rPr>
        <w:t>附件4</w:t>
      </w:r>
    </w:p>
    <w:p>
      <w:pPr>
        <w:spacing w:line="600" w:lineRule="exact"/>
        <w:jc w:val="center"/>
        <w:rPr>
          <w:rFonts w:hint="eastAsia" w:ascii="方正小标宋简体" w:eastAsia="方正小标宋简体"/>
          <w:kern w:val="0"/>
          <w:sz w:val="42"/>
          <w:szCs w:val="42"/>
        </w:rPr>
      </w:pPr>
      <w:r>
        <w:rPr>
          <w:rFonts w:hint="eastAsia" w:ascii="方正小标宋简体" w:eastAsia="方正小标宋简体"/>
          <w:kern w:val="0"/>
          <w:sz w:val="42"/>
          <w:szCs w:val="42"/>
        </w:rPr>
        <w:t>漳平市住建局</w:t>
      </w:r>
    </w:p>
    <w:p>
      <w:pPr>
        <w:spacing w:line="600" w:lineRule="exact"/>
        <w:jc w:val="center"/>
        <w:rPr>
          <w:rFonts w:ascii="方正小标宋简体" w:eastAsia="方正小标宋简体"/>
          <w:kern w:val="0"/>
          <w:sz w:val="42"/>
          <w:szCs w:val="42"/>
        </w:rPr>
      </w:pPr>
      <w:r>
        <w:rPr>
          <w:rFonts w:hint="eastAsia" w:ascii="方正小标宋简体" w:eastAsia="方正小标宋简体"/>
          <w:kern w:val="0"/>
          <w:sz w:val="42"/>
          <w:szCs w:val="42"/>
        </w:rPr>
        <w:t>2023年度</w:t>
      </w:r>
      <w:bookmarkStart w:id="0" w:name="_GoBack"/>
      <w:bookmarkEnd w:id="0"/>
      <w:r>
        <w:rPr>
          <w:rFonts w:hint="eastAsia" w:ascii="方正小标宋简体" w:eastAsia="方正小标宋简体"/>
          <w:kern w:val="0"/>
          <w:sz w:val="42"/>
          <w:szCs w:val="42"/>
          <w:lang w:eastAsia="zh-CN"/>
        </w:rPr>
        <w:t>“双随机、一公开”</w:t>
      </w:r>
      <w:r>
        <w:rPr>
          <w:rFonts w:hint="eastAsia" w:ascii="方正小标宋简体" w:eastAsia="方正小标宋简体"/>
          <w:kern w:val="0"/>
          <w:sz w:val="42"/>
          <w:szCs w:val="42"/>
        </w:rPr>
        <w:t>监管工作计划</w:t>
      </w:r>
    </w:p>
    <w:p>
      <w:pPr>
        <w:spacing w:line="600" w:lineRule="exact"/>
        <w:jc w:val="center"/>
        <w:rPr>
          <w:szCs w:val="32"/>
        </w:rPr>
      </w:pPr>
    </w:p>
    <w:p>
      <w:pPr>
        <w:spacing w:line="600" w:lineRule="exact"/>
        <w:ind w:firstLine="640" w:firstLineChars="200"/>
        <w:rPr>
          <w:szCs w:val="32"/>
        </w:rPr>
      </w:pPr>
      <w:r>
        <w:rPr>
          <w:rFonts w:hint="eastAsia"/>
          <w:szCs w:val="32"/>
        </w:rPr>
        <w:t>为进一步贯彻落实全国、全省推行</w:t>
      </w:r>
      <w:r>
        <w:rPr>
          <w:rFonts w:hint="eastAsia"/>
          <w:szCs w:val="32"/>
          <w:lang w:eastAsia="zh-CN"/>
        </w:rPr>
        <w:t>“双随机、一公开”</w:t>
      </w:r>
      <w:r>
        <w:rPr>
          <w:rFonts w:hint="eastAsia"/>
          <w:szCs w:val="32"/>
        </w:rPr>
        <w:t>监管工作会议精神，全面推行</w:t>
      </w:r>
      <w:r>
        <w:rPr>
          <w:rFonts w:hint="eastAsia"/>
          <w:szCs w:val="32"/>
          <w:lang w:eastAsia="zh-CN"/>
        </w:rPr>
        <w:t>“双随机、一公开”</w:t>
      </w:r>
      <w:r>
        <w:rPr>
          <w:rFonts w:hint="eastAsia"/>
          <w:szCs w:val="32"/>
        </w:rPr>
        <w:t>监管模式，规范随机抽</w:t>
      </w:r>
      <w:r>
        <w:rPr>
          <w:rFonts w:hint="eastAsia"/>
          <w:spacing w:val="6"/>
          <w:szCs w:val="32"/>
        </w:rPr>
        <w:t>查监管行为，提高监管效能</w:t>
      </w:r>
      <w:r>
        <w:rPr>
          <w:rFonts w:hint="eastAsia"/>
          <w:szCs w:val="32"/>
        </w:rPr>
        <w:t>，结合本局实际，制定工作计划。</w:t>
      </w:r>
    </w:p>
    <w:p>
      <w:pPr>
        <w:spacing w:line="600" w:lineRule="exact"/>
        <w:ind w:firstLine="640" w:firstLineChars="200"/>
        <w:rPr>
          <w:rFonts w:ascii="黑体" w:eastAsia="黑体"/>
          <w:szCs w:val="32"/>
        </w:rPr>
      </w:pPr>
      <w:r>
        <w:rPr>
          <w:rFonts w:hint="eastAsia" w:ascii="黑体" w:eastAsia="黑体"/>
          <w:szCs w:val="32"/>
        </w:rPr>
        <w:t>一、检查范围和对象</w:t>
      </w:r>
    </w:p>
    <w:p>
      <w:pPr>
        <w:spacing w:line="600" w:lineRule="exact"/>
        <w:ind w:firstLine="640" w:firstLineChars="200"/>
        <w:rPr>
          <w:szCs w:val="32"/>
        </w:rPr>
      </w:pPr>
      <w:r>
        <w:rPr>
          <w:rFonts w:hint="eastAsia"/>
          <w:szCs w:val="32"/>
        </w:rPr>
        <w:t>本年度的检查范围包括已公布的权责清单中所有的监督检查事项。检查对象包括各事项的所有需监管对象。</w:t>
      </w:r>
    </w:p>
    <w:p>
      <w:pPr>
        <w:spacing w:line="600" w:lineRule="exact"/>
        <w:ind w:firstLine="640" w:firstLineChars="200"/>
        <w:rPr>
          <w:rFonts w:ascii="黑体" w:eastAsia="黑体"/>
          <w:szCs w:val="32"/>
        </w:rPr>
      </w:pPr>
      <w:r>
        <w:rPr>
          <w:rFonts w:hint="eastAsia" w:ascii="黑体" w:eastAsia="黑体"/>
          <w:szCs w:val="32"/>
        </w:rPr>
        <w:t>二、检查要求</w:t>
      </w:r>
    </w:p>
    <w:p>
      <w:pPr>
        <w:spacing w:line="600" w:lineRule="exact"/>
        <w:ind w:firstLine="640" w:firstLineChars="200"/>
        <w:rPr>
          <w:szCs w:val="32"/>
        </w:rPr>
      </w:pPr>
      <w:r>
        <w:rPr>
          <w:szCs w:val="32"/>
        </w:rPr>
        <w:t>1</w:t>
      </w:r>
      <w:r>
        <w:rPr>
          <w:rFonts w:hint="eastAsia"/>
          <w:szCs w:val="32"/>
        </w:rPr>
        <w:t>．所有监督检查事项和所有监管对象都需纳入检查范围，对无需进行双随机抽查或无法进行抽查的，需提出充分的理由；</w:t>
      </w:r>
    </w:p>
    <w:p>
      <w:pPr>
        <w:spacing w:line="600" w:lineRule="exact"/>
        <w:ind w:firstLine="640" w:firstLineChars="200"/>
        <w:rPr>
          <w:szCs w:val="32"/>
        </w:rPr>
      </w:pPr>
      <w:r>
        <w:rPr>
          <w:szCs w:val="32"/>
        </w:rPr>
        <w:t>2</w:t>
      </w:r>
      <w:r>
        <w:rPr>
          <w:rFonts w:hint="eastAsia"/>
          <w:szCs w:val="32"/>
        </w:rPr>
        <w:t>．各事项的检查内容需严格按相关规定执行；</w:t>
      </w:r>
    </w:p>
    <w:p>
      <w:pPr>
        <w:spacing w:line="600" w:lineRule="exact"/>
        <w:ind w:firstLine="640" w:firstLineChars="200"/>
        <w:rPr>
          <w:szCs w:val="32"/>
        </w:rPr>
      </w:pPr>
      <w:r>
        <w:rPr>
          <w:szCs w:val="32"/>
        </w:rPr>
        <w:t>3</w:t>
      </w:r>
      <w:r>
        <w:rPr>
          <w:rFonts w:hint="eastAsia"/>
          <w:szCs w:val="32"/>
        </w:rPr>
        <w:t>．检查对象和检查人员必须采用随机抽取方式进行；</w:t>
      </w:r>
    </w:p>
    <w:p>
      <w:pPr>
        <w:spacing w:line="600" w:lineRule="exact"/>
        <w:ind w:firstLine="640" w:firstLineChars="200"/>
        <w:rPr>
          <w:szCs w:val="32"/>
        </w:rPr>
      </w:pPr>
      <w:r>
        <w:rPr>
          <w:szCs w:val="32"/>
        </w:rPr>
        <w:t>4</w:t>
      </w:r>
      <w:r>
        <w:rPr>
          <w:rFonts w:hint="eastAsia"/>
          <w:szCs w:val="32"/>
        </w:rPr>
        <w:t>．检查过程要做到公平、公正、公开，做到全程留痕、过程有记录、责任可追溯。</w:t>
      </w:r>
    </w:p>
    <w:p>
      <w:pPr>
        <w:spacing w:line="600" w:lineRule="exact"/>
        <w:ind w:firstLine="640" w:firstLineChars="200"/>
        <w:rPr>
          <w:rFonts w:ascii="黑体" w:eastAsia="黑体"/>
          <w:szCs w:val="32"/>
        </w:rPr>
      </w:pPr>
      <w:r>
        <w:rPr>
          <w:rFonts w:hint="eastAsia" w:ascii="黑体" w:eastAsia="黑体"/>
          <w:szCs w:val="32"/>
        </w:rPr>
        <w:t>三、抽查比例和频次</w:t>
      </w:r>
    </w:p>
    <w:p>
      <w:pPr>
        <w:spacing w:line="600" w:lineRule="exact"/>
        <w:ind w:firstLine="640" w:firstLineChars="200"/>
        <w:rPr>
          <w:szCs w:val="32"/>
        </w:rPr>
      </w:pPr>
      <w:r>
        <w:rPr>
          <w:rFonts w:hint="eastAsia"/>
          <w:szCs w:val="32"/>
        </w:rPr>
        <w:t>各</w:t>
      </w:r>
      <w:r>
        <w:rPr>
          <w:rFonts w:hint="eastAsia"/>
          <w:spacing w:val="6"/>
          <w:szCs w:val="32"/>
        </w:rPr>
        <w:t>事项的抽查比例和频次有法律法规规定的，按规定</w:t>
      </w:r>
      <w:r>
        <w:rPr>
          <w:rFonts w:hint="eastAsia"/>
          <w:spacing w:val="4"/>
          <w:szCs w:val="32"/>
        </w:rPr>
        <w:t>执行；没有规定的抽查比例不低于</w:t>
      </w:r>
      <w:r>
        <w:rPr>
          <w:spacing w:val="4"/>
          <w:szCs w:val="32"/>
        </w:rPr>
        <w:t>5%</w:t>
      </w:r>
      <w:r>
        <w:rPr>
          <w:rFonts w:hint="eastAsia"/>
          <w:spacing w:val="4"/>
          <w:szCs w:val="32"/>
        </w:rPr>
        <w:t>，频次原则上需进行</w:t>
      </w:r>
      <w:r>
        <w:rPr>
          <w:spacing w:val="4"/>
          <w:szCs w:val="32"/>
        </w:rPr>
        <w:t>2</w:t>
      </w:r>
      <w:r>
        <w:rPr>
          <w:rFonts w:hint="eastAsia"/>
          <w:szCs w:val="32"/>
        </w:rPr>
        <w:t>次，采取</w:t>
      </w:r>
      <w:r>
        <w:rPr>
          <w:rFonts w:hint="eastAsia"/>
          <w:spacing w:val="-6"/>
          <w:szCs w:val="32"/>
        </w:rPr>
        <w:t>区域定向与行业定向相结合方式抽取检查对象的，可以结合实</w:t>
      </w:r>
      <w:r>
        <w:rPr>
          <w:rFonts w:hint="eastAsia"/>
          <w:szCs w:val="32"/>
        </w:rPr>
        <w:t>际适当提高比例。</w:t>
      </w:r>
    </w:p>
    <w:p>
      <w:pPr>
        <w:spacing w:line="600" w:lineRule="exact"/>
        <w:ind w:firstLine="640" w:firstLineChars="200"/>
        <w:rPr>
          <w:rFonts w:ascii="黑体" w:eastAsia="黑体"/>
          <w:szCs w:val="32"/>
        </w:rPr>
      </w:pPr>
      <w:r>
        <w:rPr>
          <w:rFonts w:hint="eastAsia" w:ascii="黑体" w:eastAsia="黑体"/>
          <w:szCs w:val="32"/>
        </w:rPr>
        <w:t>四、抽查时间</w:t>
      </w:r>
    </w:p>
    <w:p>
      <w:pPr>
        <w:spacing w:line="600" w:lineRule="exact"/>
        <w:ind w:firstLine="640" w:firstLineChars="200"/>
        <w:rPr>
          <w:szCs w:val="32"/>
        </w:rPr>
      </w:pPr>
      <w:r>
        <w:rPr>
          <w:rFonts w:hint="eastAsia"/>
          <w:szCs w:val="32"/>
        </w:rPr>
        <w:t>监</w:t>
      </w:r>
      <w:r>
        <w:rPr>
          <w:rFonts w:hint="eastAsia"/>
          <w:spacing w:val="-6"/>
          <w:szCs w:val="32"/>
        </w:rPr>
        <w:t>管股室根据所监管事项的监管需要合理制定工作计</w:t>
      </w:r>
      <w:r>
        <w:rPr>
          <w:rFonts w:hint="eastAsia"/>
          <w:szCs w:val="32"/>
        </w:rPr>
        <w:t>划，安排抽查时间，在年底前需全部完成抽查工作。</w:t>
      </w:r>
    </w:p>
    <w:p>
      <w:pPr>
        <w:spacing w:line="600" w:lineRule="exact"/>
        <w:ind w:firstLine="640" w:firstLineChars="200"/>
        <w:rPr>
          <w:rFonts w:ascii="黑体" w:eastAsia="黑体"/>
          <w:szCs w:val="32"/>
        </w:rPr>
      </w:pPr>
      <w:r>
        <w:rPr>
          <w:rFonts w:hint="eastAsia" w:ascii="黑体" w:eastAsia="黑体"/>
          <w:szCs w:val="32"/>
        </w:rPr>
        <w:t>五、检查步骤措施</w:t>
      </w:r>
    </w:p>
    <w:p>
      <w:pPr>
        <w:spacing w:line="600" w:lineRule="exact"/>
        <w:ind w:firstLine="640" w:firstLineChars="200"/>
        <w:rPr>
          <w:szCs w:val="32"/>
        </w:rPr>
      </w:pPr>
      <w:r>
        <w:rPr>
          <w:szCs w:val="32"/>
        </w:rPr>
        <w:t>1</w:t>
      </w:r>
      <w:r>
        <w:rPr>
          <w:rFonts w:hint="eastAsia"/>
          <w:szCs w:val="32"/>
        </w:rPr>
        <w:t>．由事项监管股室根据已公布的权责清单，梳理需开展双随机的事项清单，对无需进行双随机抽查或无法进行抽查的，提出充分的理由；</w:t>
      </w:r>
    </w:p>
    <w:p>
      <w:pPr>
        <w:spacing w:line="600" w:lineRule="exact"/>
        <w:ind w:firstLine="640" w:firstLineChars="200"/>
        <w:rPr>
          <w:szCs w:val="32"/>
        </w:rPr>
      </w:pPr>
      <w:r>
        <w:rPr>
          <w:szCs w:val="32"/>
        </w:rPr>
        <w:t>2</w:t>
      </w:r>
      <w:r>
        <w:rPr>
          <w:rFonts w:hint="eastAsia"/>
          <w:szCs w:val="32"/>
        </w:rPr>
        <w:t>．由事项监管股室梳理建立市场主体名录库；</w:t>
      </w:r>
    </w:p>
    <w:p>
      <w:pPr>
        <w:spacing w:line="600" w:lineRule="exact"/>
        <w:ind w:firstLine="640" w:firstLineChars="200"/>
        <w:rPr>
          <w:szCs w:val="32"/>
        </w:rPr>
      </w:pPr>
      <w:r>
        <w:rPr>
          <w:szCs w:val="32"/>
        </w:rPr>
        <w:t>3</w:t>
      </w:r>
      <w:r>
        <w:rPr>
          <w:rFonts w:hint="eastAsia"/>
          <w:szCs w:val="32"/>
        </w:rPr>
        <w:t>．由事项监管股室组织，在局监察部门的监督下进行检查对象和执法人员的随机抽取，并做好过程记录；</w:t>
      </w:r>
    </w:p>
    <w:p>
      <w:pPr>
        <w:spacing w:line="600" w:lineRule="exact"/>
        <w:ind w:firstLine="640" w:firstLineChars="200"/>
        <w:rPr>
          <w:szCs w:val="32"/>
        </w:rPr>
      </w:pPr>
      <w:r>
        <w:rPr>
          <w:szCs w:val="32"/>
        </w:rPr>
        <w:t>4</w:t>
      </w:r>
      <w:r>
        <w:rPr>
          <w:rFonts w:hint="eastAsia"/>
          <w:szCs w:val="32"/>
        </w:rPr>
        <w:t>．监管股室将双随机事项清单、市场主体名录库和随机抽取的检查对象及执法人员名单提交综合股进行检查前的公开，不能事前公开的需说明理由；</w:t>
      </w:r>
    </w:p>
    <w:p>
      <w:pPr>
        <w:spacing w:line="600" w:lineRule="exact"/>
        <w:ind w:firstLine="640" w:firstLineChars="200"/>
        <w:rPr>
          <w:szCs w:val="32"/>
        </w:rPr>
      </w:pPr>
      <w:r>
        <w:rPr>
          <w:szCs w:val="32"/>
        </w:rPr>
        <w:t>5</w:t>
      </w:r>
      <w:r>
        <w:rPr>
          <w:rFonts w:hint="eastAsia"/>
          <w:szCs w:val="32"/>
        </w:rPr>
        <w:t>．事项监管股室组织相关人员，按工作计划确定的时间开展检查工作，做好检查过程记录；</w:t>
      </w:r>
    </w:p>
    <w:p>
      <w:pPr>
        <w:spacing w:line="600" w:lineRule="exact"/>
        <w:ind w:firstLine="640" w:firstLineChars="200"/>
        <w:rPr>
          <w:szCs w:val="32"/>
        </w:rPr>
      </w:pPr>
      <w:r>
        <w:rPr>
          <w:szCs w:val="32"/>
        </w:rPr>
        <w:t>6</w:t>
      </w:r>
      <w:r>
        <w:rPr>
          <w:rFonts w:hint="eastAsia"/>
          <w:szCs w:val="32"/>
        </w:rPr>
        <w:t>．分事项汇总检查结果，提出检查意见，需要时移交执法部门处理，并将汇总结果提交法规股进行公开；</w:t>
      </w:r>
    </w:p>
    <w:p>
      <w:pPr>
        <w:spacing w:line="600" w:lineRule="exact"/>
        <w:ind w:firstLine="640" w:firstLineChars="200"/>
        <w:rPr>
          <w:szCs w:val="32"/>
        </w:rPr>
      </w:pPr>
      <w:r>
        <w:rPr>
          <w:szCs w:val="32"/>
        </w:rPr>
        <w:t>7</w:t>
      </w:r>
      <w:r>
        <w:rPr>
          <w:rFonts w:hint="eastAsia"/>
          <w:szCs w:val="32"/>
        </w:rPr>
        <w:t>．移交执法部门处理的，在规定时间内需做出处理结果，并将处理结果提交法规股进行公开。</w:t>
      </w:r>
    </w:p>
    <w:p>
      <w:pPr>
        <w:spacing w:line="600" w:lineRule="exact"/>
        <w:ind w:firstLine="640" w:firstLineChars="200"/>
        <w:rPr>
          <w:rFonts w:ascii="黑体" w:eastAsia="黑体"/>
          <w:szCs w:val="32"/>
        </w:rPr>
      </w:pPr>
      <w:r>
        <w:rPr>
          <w:rFonts w:hint="eastAsia" w:ascii="黑体" w:eastAsia="黑体"/>
          <w:szCs w:val="32"/>
        </w:rPr>
        <w:t>六、结果应用</w:t>
      </w:r>
    </w:p>
    <w:p>
      <w:r>
        <w:rPr>
          <w:rFonts w:hint="eastAsia"/>
          <w:szCs w:val="32"/>
        </w:rPr>
        <w:t>对双随机抽查的事项清单、主体名录库、检查对象名录库及执法人员、检查结果、整改或处罚结果通过市政府网站住建窗口向社会公开，涉企事项需将抽查结果在国家企业信用信息公示系统（福建）进行公开。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zQ5NjUxZTZhOTFiZWQ2NTBiMTY0NmMwMWFmMmYifQ=="/>
  </w:docVars>
  <w:rsids>
    <w:rsidRoot w:val="00000000"/>
    <w:rsid w:val="1D9751A0"/>
    <w:rsid w:val="2B230A1F"/>
    <w:rsid w:val="40204729"/>
    <w:rsid w:val="63283F14"/>
    <w:rsid w:val="713A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1390</Words>
  <Characters>1400</Characters>
  <Lines>0</Lines>
  <Paragraphs>0</Paragraphs>
  <TotalTime>0</TotalTime>
  <ScaleCrop>false</ScaleCrop>
  <LinksUpToDate>false</LinksUpToDate>
  <CharactersWithSpaces>1429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Sananmi</cp:lastModifiedBy>
  <dcterms:modified xsi:type="dcterms:W3CDTF">2024-03-07T07:20:30Z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FF83F729F00E498E814F84137E5D584D_13</vt:lpwstr>
  </property>
</Properties>
</file>