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9C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320" w:firstLineChars="300"/>
        <w:jc w:val="both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《漳平市建筑垃圾处置管理办法</w:t>
      </w:r>
    </w:p>
    <w:p w14:paraId="246A47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（修订）》起草说明</w:t>
      </w:r>
    </w:p>
    <w:p w14:paraId="3B884447">
      <w:pPr>
        <w:spacing w:line="600" w:lineRule="exact"/>
        <w:jc w:val="center"/>
        <w:rPr>
          <w:rFonts w:ascii="楷体_GB2312" w:hAnsi="仿宋" w:eastAsia="楷体_GB2312" w:cs="仿宋"/>
          <w:color w:val="000000"/>
          <w:sz w:val="32"/>
          <w:szCs w:val="32"/>
        </w:rPr>
      </w:pPr>
      <w:r>
        <w:rPr>
          <w:rFonts w:hint="eastAsia" w:ascii="楷体_GB2312" w:hAnsi="仿宋" w:eastAsia="楷体_GB2312" w:cs="仿宋"/>
          <w:color w:val="000000"/>
          <w:sz w:val="32"/>
          <w:szCs w:val="32"/>
          <w:lang w:val="en-US" w:eastAsia="zh-CN"/>
        </w:rPr>
        <w:t xml:space="preserve"> 漳平</w:t>
      </w:r>
      <w:r>
        <w:rPr>
          <w:rFonts w:hint="eastAsia" w:ascii="楷体_GB2312" w:hAnsi="仿宋" w:eastAsia="楷体_GB2312" w:cs="仿宋"/>
          <w:color w:val="000000"/>
          <w:sz w:val="32"/>
          <w:szCs w:val="32"/>
        </w:rPr>
        <w:t>市城市管理</w:t>
      </w:r>
      <w:r>
        <w:rPr>
          <w:rFonts w:hint="eastAsia" w:ascii="楷体_GB2312" w:hAnsi="仿宋" w:eastAsia="楷体_GB2312" w:cs="仿宋"/>
          <w:color w:val="000000"/>
          <w:sz w:val="32"/>
          <w:szCs w:val="32"/>
          <w:lang w:val="en-US" w:eastAsia="zh-CN"/>
        </w:rPr>
        <w:t>和综合执法</w:t>
      </w:r>
      <w:r>
        <w:rPr>
          <w:rFonts w:hint="eastAsia" w:ascii="楷体_GB2312" w:hAnsi="仿宋" w:eastAsia="楷体_GB2312" w:cs="仿宋"/>
          <w:color w:val="000000"/>
          <w:sz w:val="32"/>
          <w:szCs w:val="32"/>
        </w:rPr>
        <w:t>局</w:t>
      </w:r>
    </w:p>
    <w:p w14:paraId="4A4ABE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</w:p>
    <w:p w14:paraId="73C3AB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进一步规范我市建筑垃圾处置秩序，加强扬尘污染防治，健全建筑垃圾全过程监管机制，依据国家、省、市有关法律法规和政策规定，结合我市实际，对《漳平市建筑垃圾处置管理办法》进行修订。现将有关起草情况说明如下：</w:t>
      </w:r>
    </w:p>
    <w:p w14:paraId="49DE9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一、起草背景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</w:p>
    <w:p w14:paraId="7FB861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《中华人民共和国生态环境法典》颁布实施，原有管理依据、执法条款需要衔接更新；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我市城市建设加快，建筑垃圾量持续增长，非法倾倒、沿途遗撒、扬尘污染等问题突出；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三是《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龙岩市扬尘污染防治条例》实施后，规划区内外扬尘执法主体需进一步明确；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现行办法部分条款不适应新形势，亟需修订完善。</w:t>
      </w:r>
    </w:p>
    <w:p w14:paraId="36C5E6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二、起草必要性</w:t>
      </w:r>
    </w:p>
    <w:p w14:paraId="04CFBD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一是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落实上位法要求，确保执法依据合法合规；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二是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解决建筑垃圾处置突出问题，提升城市精细化管理水平；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三是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厘清城管、住建、交通、公安交管等部门职责，健全协同监管机制；</w:t>
      </w:r>
      <w:r>
        <w:rPr>
          <w:rFonts w:hint="eastAsia" w:ascii="楷体_GB2312" w:hAnsi="楷体" w:eastAsia="楷体_GB2312" w:cs="楷体"/>
          <w:b/>
          <w:bCs/>
          <w:color w:val="000000"/>
          <w:kern w:val="2"/>
          <w:sz w:val="32"/>
          <w:szCs w:val="32"/>
          <w:lang w:val="en-US" w:eastAsia="zh-CN" w:bidi="ar-SA"/>
        </w:rPr>
        <w:t>四是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强化扬尘治理，推进建筑垃圾减量化、资源化、无害化利用，改善人居环境。</w:t>
      </w:r>
    </w:p>
    <w:p w14:paraId="7222484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三、起草依据</w:t>
      </w:r>
    </w:p>
    <w:p w14:paraId="55A074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要依据《中华人民共和国生态环境法典》《城市市容和环境卫生管理条例》《城市建筑垃圾管理规定》《龙岩市扬尘污染防治条例》《福建省城市市容和环境卫生管理办法》等国家、省、市法律法规及政策文件。</w:t>
      </w:r>
    </w:p>
    <w:p w14:paraId="1C2F985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四、修订的主要内容</w:t>
      </w:r>
    </w:p>
    <w:p w14:paraId="0D97F4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1.更新立法依据与核心定义。在第一条增加《中华人民共和国生态环境法典》作为立法依据；第二条第二款建筑垃圾定义直接引用《生态环境法典》表述，保持上位法一致。</w:t>
      </w:r>
    </w:p>
    <w:p w14:paraId="03CB1D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2.调整执法依据与扬尘管控条款。</w:t>
      </w:r>
    </w:p>
    <w:p w14:paraId="7C3C50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第三十九条：城管部门执法依据由《大气污染防治法》调整为《中华人民共和国生态环境法典》、《龙岩市扬尘污染防治条例》；将“未密闭防遗撒”修改为“城市规划区内未采取扬尘污染防治措施”。</w:t>
      </w:r>
    </w:p>
    <w:p w14:paraId="60A335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第四十一条：交通运输部门新增处罚情形，明确“城市规划区外运输建筑垃圾未采取扬尘污染防治措施”的监管责任，依据《龙岩市扬尘污染防治条例》划分执法权限。</w:t>
      </w:r>
    </w:p>
    <w:p w14:paraId="7D5892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规范施工扬尘违法情形与依据。第四十条：住建部门执法依据调整为《生态环境法典》；将“各类建筑垃圾未清运、未遮盖”修改为“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建筑土方未及时清运，或者在场地内堆存时未采用密闭式防尘网遮盖”</w:t>
      </w: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，与上位法处罚情形完全一致。</w:t>
      </w:r>
      <w:bookmarkStart w:id="0" w:name="_GoBack"/>
      <w:bookmarkEnd w:id="0"/>
    </w:p>
    <w:p w14:paraId="36A5B1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4.健全全链条管理机制。完善核准制、全程监管、台账管理；强化工地源头围挡、冲洗、监控接入；规范运输准入、密闭、路线、信用考核；明确消纳场规划、审批、运营、封场及资源化利用要求。</w:t>
      </w:r>
    </w:p>
    <w:p w14:paraId="791BF7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5.完善监督与法律责任。建立信息共享、联合执法、失信惩戒、公众举报机制；按部门、按规划区内外细化违法情形与处罚条款，增强可操作性。</w:t>
      </w:r>
    </w:p>
    <w:p w14:paraId="722502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6D106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40" w:firstLineChars="200"/>
        <w:jc w:val="both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82061"/>
    <w:rsid w:val="3EBE7624"/>
    <w:rsid w:val="5D382DE5"/>
    <w:rsid w:val="67C3769D"/>
    <w:rsid w:val="71141ED0"/>
    <w:rsid w:val="79776DF8"/>
    <w:rsid w:val="7EE9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line="481" w:lineRule="atLeast"/>
      <w:ind w:firstLine="623"/>
      <w:textAlignment w:val="baseline"/>
    </w:pPr>
    <w:rPr>
      <w:rFonts w:ascii="Times New Roman" w:eastAsia="仿宋_GB2312"/>
      <w:color w:val="000000"/>
      <w:sz w:val="3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1012</Words>
  <Characters>1017</Characters>
  <Lines>0</Lines>
  <Paragraphs>0</Paragraphs>
  <TotalTime>2</TotalTime>
  <ScaleCrop>false</ScaleCrop>
  <LinksUpToDate>false</LinksUpToDate>
  <CharactersWithSpaces>1020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2026-05-26T00:56:00Z</dcterms:created>
  <dc:creator>Administrator</dc:creator>
  <cp:lastModifiedBy>宏辉</cp:lastModifiedBy>
  <dcterms:modified xsi:type="dcterms:W3CDTF">2026-06-12T03:02:38Z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eyJoZGlkIjoiYWFkZDJjZDRlYzU4YjFkMzI2ZTE0OTdkZjhiMTM4MDYiLCJ1c2VySWQiOiIxMDg0NzM1ODY1In0=</vt:lpwstr>
  </property>
  <property fmtid="{D5CDD505-2E9C-101B-9397-08002B2CF9AE}" pid="4" name="ICV">
    <vt:lpwstr>2CDFE5CB15F84719B7C5C8F8DB35E9F3_12</vt:lpwstr>
  </property>
</Properties>
</file>