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4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60"/>
        <w:gridCol w:w="252"/>
        <w:gridCol w:w="2520"/>
        <w:gridCol w:w="204"/>
        <w:gridCol w:w="1985"/>
        <w:gridCol w:w="3211"/>
        <w:gridCol w:w="616"/>
        <w:gridCol w:w="2639"/>
        <w:gridCol w:w="621"/>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jc w:val="center"/>
        </w:trPr>
        <w:tc>
          <w:tcPr>
            <w:tcW w:w="1412" w:type="dxa"/>
            <w:gridSpan w:val="2"/>
            <w:vAlign w:val="center"/>
          </w:tcPr>
          <w:p>
            <w:pPr>
              <w:keepNext w:val="0"/>
              <w:keepLines w:val="0"/>
              <w:pageBreakBefore w:val="0"/>
              <w:widowControl/>
              <w:kinsoku/>
              <w:wordWrap/>
              <w:overflowPunct/>
              <w:topLinePunct w:val="0"/>
              <w:autoSpaceDE/>
              <w:autoSpaceDN/>
              <w:bidi w:val="0"/>
              <w:adjustRightInd/>
              <w:snapToGrid/>
              <w:spacing w:after="0" w:line="360" w:lineRule="exact"/>
              <w:jc w:val="left"/>
              <w:textAlignment w:val="center"/>
              <w:rPr>
                <w:rFonts w:hint="default" w:ascii="黑体" w:hAnsi="宋体" w:eastAsia="黑体"/>
                <w:color w:val="000000"/>
                <w:sz w:val="32"/>
              </w:rPr>
            </w:pPr>
            <w:r>
              <w:rPr>
                <w:rFonts w:hint="eastAsia" w:ascii="黑体" w:hAnsi="宋体" w:eastAsia="黑体"/>
                <w:color w:val="000000"/>
                <w:kern w:val="0"/>
                <w:sz w:val="32"/>
              </w:rPr>
              <w:t>附件1</w:t>
            </w:r>
          </w:p>
        </w:tc>
        <w:tc>
          <w:tcPr>
            <w:tcW w:w="2520" w:type="dxa"/>
            <w:vAlign w:val="center"/>
          </w:tcPr>
          <w:p>
            <w:pPr>
              <w:keepNext w:val="0"/>
              <w:keepLines w:val="0"/>
              <w:pageBreakBefore w:val="0"/>
              <w:widowControl/>
              <w:kinsoku/>
              <w:wordWrap/>
              <w:overflowPunct/>
              <w:topLinePunct w:val="0"/>
              <w:autoSpaceDE/>
              <w:autoSpaceDN/>
              <w:bidi w:val="0"/>
              <w:adjustRightInd/>
              <w:snapToGrid/>
              <w:spacing w:after="0" w:line="360" w:lineRule="exact"/>
              <w:rPr>
                <w:rFonts w:hint="eastAsia"/>
                <w:color w:val="000000"/>
                <w:sz w:val="32"/>
              </w:rPr>
            </w:pPr>
          </w:p>
        </w:tc>
        <w:tc>
          <w:tcPr>
            <w:tcW w:w="5400" w:type="dxa"/>
            <w:gridSpan w:val="3"/>
            <w:vAlign w:val="center"/>
          </w:tcPr>
          <w:p>
            <w:pPr>
              <w:keepNext w:val="0"/>
              <w:keepLines w:val="0"/>
              <w:pageBreakBefore w:val="0"/>
              <w:widowControl/>
              <w:kinsoku/>
              <w:wordWrap/>
              <w:overflowPunct/>
              <w:topLinePunct w:val="0"/>
              <w:autoSpaceDE/>
              <w:autoSpaceDN/>
              <w:bidi w:val="0"/>
              <w:adjustRightInd/>
              <w:snapToGrid/>
              <w:spacing w:after="0" w:line="360" w:lineRule="exact"/>
              <w:rPr>
                <w:rFonts w:hint="eastAsia"/>
                <w:color w:val="000000"/>
                <w:sz w:val="32"/>
              </w:rPr>
            </w:pPr>
          </w:p>
        </w:tc>
        <w:tc>
          <w:tcPr>
            <w:tcW w:w="3255" w:type="dxa"/>
            <w:gridSpan w:val="2"/>
            <w:vAlign w:val="center"/>
          </w:tcPr>
          <w:p>
            <w:pPr>
              <w:keepNext w:val="0"/>
              <w:keepLines w:val="0"/>
              <w:pageBreakBefore w:val="0"/>
              <w:widowControl/>
              <w:kinsoku/>
              <w:wordWrap/>
              <w:overflowPunct/>
              <w:topLinePunct w:val="0"/>
              <w:autoSpaceDE/>
              <w:autoSpaceDN/>
              <w:bidi w:val="0"/>
              <w:adjustRightInd/>
              <w:snapToGrid/>
              <w:spacing w:after="0" w:line="360" w:lineRule="exact"/>
              <w:rPr>
                <w:rFonts w:hint="eastAsia"/>
                <w:color w:val="000000"/>
                <w:sz w:val="32"/>
              </w:rPr>
            </w:pPr>
          </w:p>
        </w:tc>
        <w:tc>
          <w:tcPr>
            <w:tcW w:w="1815" w:type="dxa"/>
            <w:gridSpan w:val="2"/>
            <w:vAlign w:val="center"/>
          </w:tcPr>
          <w:p>
            <w:pPr>
              <w:keepNext w:val="0"/>
              <w:keepLines w:val="0"/>
              <w:pageBreakBefore w:val="0"/>
              <w:widowControl/>
              <w:kinsoku/>
              <w:wordWrap/>
              <w:overflowPunct/>
              <w:topLinePunct w:val="0"/>
              <w:autoSpaceDE/>
              <w:autoSpaceDN/>
              <w:bidi w:val="0"/>
              <w:adjustRightInd/>
              <w:snapToGrid/>
              <w:spacing w:after="0" w:line="360" w:lineRule="exact"/>
              <w:rPr>
                <w:rFonts w:hint="eastAsia"/>
                <w:color w:val="000000"/>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jc w:val="center"/>
        </w:trPr>
        <w:tc>
          <w:tcPr>
            <w:tcW w:w="14402" w:type="dxa"/>
            <w:gridSpan w:val="10"/>
            <w:vAlign w:val="center"/>
          </w:tcPr>
          <w:p>
            <w:pPr>
              <w:keepNext w:val="0"/>
              <w:keepLines w:val="0"/>
              <w:pageBreakBefore w:val="0"/>
              <w:widowControl/>
              <w:kinsoku/>
              <w:wordWrap/>
              <w:overflowPunct/>
              <w:topLinePunct w:val="0"/>
              <w:autoSpaceDE/>
              <w:autoSpaceDN/>
              <w:bidi w:val="0"/>
              <w:adjustRightInd/>
              <w:snapToGrid/>
              <w:spacing w:after="0" w:line="500" w:lineRule="exact"/>
              <w:jc w:val="center"/>
              <w:textAlignment w:val="center"/>
              <w:rPr>
                <w:rFonts w:hint="default" w:ascii="方正小标宋简体" w:hAnsi="方正小标宋简体" w:eastAsia="方正小标宋简体"/>
                <w:color w:val="000000"/>
                <w:sz w:val="44"/>
              </w:rPr>
            </w:pPr>
            <w:r>
              <w:rPr>
                <w:rFonts w:hint="eastAsia" w:ascii="方正小标宋简体" w:hAnsi="方正小标宋简体" w:eastAsia="方正小标宋简体"/>
                <w:color w:val="000000"/>
                <w:kern w:val="0"/>
                <w:sz w:val="44"/>
              </w:rPr>
              <w:t>不予处罚事项清单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jc w:val="center"/>
        </w:trPr>
        <w:tc>
          <w:tcPr>
            <w:tcW w:w="4136" w:type="dxa"/>
            <w:gridSpan w:val="4"/>
            <w:tcBorders>
              <w:bottom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left"/>
              <w:textAlignment w:val="center"/>
              <w:rPr>
                <w:rFonts w:hint="eastAsia" w:ascii="黑体" w:hAnsi="宋体" w:eastAsia="黑体"/>
                <w:color w:val="000000"/>
                <w:sz w:val="28"/>
                <w:lang w:eastAsia="zh-CN"/>
              </w:rPr>
            </w:pPr>
            <w:r>
              <w:rPr>
                <w:rFonts w:hint="eastAsia" w:ascii="黑体" w:hAnsi="宋体" w:eastAsia="黑体"/>
                <w:color w:val="000000"/>
                <w:kern w:val="0"/>
                <w:sz w:val="28"/>
              </w:rPr>
              <w:t>单位：（公章）</w:t>
            </w:r>
            <w:r>
              <w:rPr>
                <w:rFonts w:hint="eastAsia" w:ascii="黑体" w:hAnsi="宋体" w:eastAsia="黑体"/>
                <w:color w:val="000000"/>
                <w:kern w:val="0"/>
                <w:sz w:val="28"/>
                <w:lang w:eastAsia="zh-CN"/>
              </w:rPr>
              <w:t>漳平市卫生健康局</w:t>
            </w:r>
          </w:p>
        </w:tc>
        <w:tc>
          <w:tcPr>
            <w:tcW w:w="5812" w:type="dxa"/>
            <w:gridSpan w:val="3"/>
            <w:tcBorders>
              <w:bottom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rPr>
                <w:rFonts w:hint="eastAsia"/>
                <w:color w:val="000000"/>
                <w:sz w:val="24"/>
              </w:rPr>
            </w:pPr>
          </w:p>
        </w:tc>
        <w:tc>
          <w:tcPr>
            <w:tcW w:w="3260" w:type="dxa"/>
            <w:gridSpan w:val="2"/>
            <w:tcBorders>
              <w:bottom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rPr>
                <w:rFonts w:hint="eastAsia"/>
                <w:color w:val="000000"/>
                <w:sz w:val="24"/>
              </w:rPr>
            </w:pPr>
          </w:p>
        </w:tc>
        <w:tc>
          <w:tcPr>
            <w:tcW w:w="1194" w:type="dxa"/>
            <w:tcBorders>
              <w:bottom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rPr>
                <w:rFonts w:hint="eastAsia"/>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4402" w:type="dxa"/>
            <w:gridSpan w:val="10"/>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left"/>
              <w:textAlignment w:val="center"/>
              <w:rPr>
                <w:rFonts w:hint="default" w:ascii="黑体" w:hAnsi="黑体" w:eastAsia="黑体"/>
                <w:color w:val="000000"/>
                <w:sz w:val="28"/>
                <w:szCs w:val="28"/>
              </w:rPr>
            </w:pPr>
            <w:r>
              <w:rPr>
                <w:rFonts w:hint="eastAsia" w:ascii="黑体" w:hAnsi="黑体" w:eastAsia="黑体"/>
                <w:sz w:val="28"/>
                <w:szCs w:val="28"/>
              </w:rPr>
              <w:t>一、下列违法行为轻微并及时改正，没有造成危害后果的，不予行政处罚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color w:val="000000"/>
                <w:sz w:val="28"/>
                <w:szCs w:val="28"/>
              </w:rPr>
            </w:pPr>
            <w:r>
              <w:rPr>
                <w:rFonts w:hint="eastAsia" w:ascii="黑体" w:hAnsi="宋体" w:eastAsia="黑体"/>
                <w:color w:val="000000"/>
                <w:kern w:val="0"/>
                <w:sz w:val="28"/>
                <w:szCs w:val="28"/>
              </w:rPr>
              <w:t>序号</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color w:val="000000"/>
                <w:sz w:val="28"/>
                <w:szCs w:val="28"/>
              </w:rPr>
            </w:pPr>
            <w:r>
              <w:rPr>
                <w:rFonts w:hint="eastAsia" w:ascii="黑体" w:hAnsi="宋体" w:eastAsia="黑体"/>
                <w:color w:val="000000"/>
                <w:kern w:val="0"/>
                <w:sz w:val="28"/>
                <w:szCs w:val="28"/>
              </w:rPr>
              <w:t>行政处罚事项</w:t>
            </w:r>
          </w:p>
        </w:tc>
        <w:tc>
          <w:tcPr>
            <w:tcW w:w="1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color w:val="000000"/>
                <w:sz w:val="28"/>
                <w:szCs w:val="28"/>
              </w:rPr>
            </w:pPr>
            <w:r>
              <w:rPr>
                <w:rFonts w:hint="eastAsia" w:ascii="黑体" w:hAnsi="宋体" w:eastAsia="黑体"/>
                <w:color w:val="000000"/>
                <w:sz w:val="28"/>
                <w:szCs w:val="28"/>
              </w:rPr>
              <w:t>实施机关</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color w:val="000000"/>
                <w:sz w:val="28"/>
                <w:szCs w:val="28"/>
              </w:rPr>
            </w:pPr>
            <w:r>
              <w:rPr>
                <w:rFonts w:hint="eastAsia" w:ascii="黑体" w:hAnsi="宋体" w:eastAsia="黑体"/>
                <w:color w:val="000000"/>
                <w:kern w:val="0"/>
                <w:sz w:val="28"/>
                <w:szCs w:val="28"/>
              </w:rPr>
              <w:t>不予处罚适用条件</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color w:val="000000"/>
                <w:sz w:val="28"/>
                <w:szCs w:val="28"/>
              </w:rPr>
            </w:pPr>
            <w:r>
              <w:rPr>
                <w:rFonts w:hint="eastAsia" w:ascii="黑体" w:hAnsi="宋体" w:eastAsia="黑体"/>
                <w:color w:val="000000"/>
                <w:kern w:val="0"/>
                <w:sz w:val="28"/>
                <w:szCs w:val="28"/>
              </w:rPr>
              <w:t>法律依据</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color w:val="000000"/>
                <w:sz w:val="28"/>
                <w:szCs w:val="28"/>
              </w:rPr>
            </w:pPr>
            <w:r>
              <w:rPr>
                <w:rFonts w:hint="eastAsia" w:ascii="黑体" w:hAnsi="宋体" w:eastAsia="黑体"/>
                <w:color w:val="000000"/>
                <w:kern w:val="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6"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1</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pStyle w:val="3"/>
              <w:widowControl/>
              <w:spacing w:before="156" w:beforeAutospacing="0" w:after="156" w:afterAutospacing="0" w:line="240" w:lineRule="auto"/>
              <w:ind w:firstLine="0" w:firstLineChars="0"/>
              <w:jc w:val="both"/>
              <w:rPr>
                <w:rFonts w:hint="eastAsia" w:ascii="仿宋_GB2312" w:hAnsi="仿宋_GB2312" w:eastAsia="仿宋_GB2312" w:cs="仿宋_GB2312"/>
                <w:kern w:val="2"/>
                <w:sz w:val="21"/>
                <w:szCs w:val="22"/>
                <w:lang w:val="en-US" w:eastAsia="en-US" w:bidi="en-US"/>
              </w:rPr>
            </w:pPr>
            <w:r>
              <w:rPr>
                <w:rFonts w:hint="eastAsia" w:ascii="仿宋_GB2312" w:hAnsi="仿宋_GB2312" w:eastAsia="仿宋_GB2312" w:cs="仿宋_GB2312"/>
                <w:kern w:val="2"/>
                <w:sz w:val="21"/>
                <w:szCs w:val="22"/>
              </w:rPr>
              <w:t>首次发现安排一名未取得体检合格证的人员从事直接供、管水工作或安排患有有碍饮用水卫生疾病的或病原携带者从事直接供、管水工作的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zh-CN" w:bidi="en-US"/>
              </w:rPr>
            </w:pPr>
            <w:r>
              <w:rPr>
                <w:rFonts w:hint="eastAsia" w:ascii="仿宋_GB2312" w:hAnsi="仿宋_GB2312" w:eastAsia="仿宋_GB2312" w:cs="仿宋_GB2312"/>
              </w:rPr>
              <w:t>《生活饮用水卫生监督管理办法》第二十五条</w:t>
            </w:r>
          </w:p>
        </w:tc>
        <w:tc>
          <w:tcPr>
            <w:tcW w:w="1194" w:type="dxa"/>
            <w:tcBorders>
              <w:top w:val="single" w:color="000000" w:sz="6" w:space="0"/>
              <w:left w:val="single" w:color="000000" w:sz="6" w:space="0"/>
              <w:bottom w:val="single" w:color="000000" w:sz="6" w:space="0"/>
              <w:right w:val="single" w:color="000000" w:sz="6" w:space="0"/>
            </w:tcBorders>
            <w:vAlign w:val="center"/>
          </w:tcPr>
          <w:p>
            <w:pPr>
              <w:spacing w:before="120" w:after="120"/>
              <w:ind w:firstLine="560" w:firstLineChars="0"/>
              <w:jc w:val="both"/>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2</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pStyle w:val="3"/>
              <w:widowControl/>
              <w:spacing w:before="156" w:beforeAutospacing="0" w:after="156" w:afterAutospacing="0" w:line="240" w:lineRule="auto"/>
              <w:ind w:firstLine="0" w:firstLineChars="0"/>
              <w:jc w:val="both"/>
              <w:rPr>
                <w:rFonts w:hint="eastAsia" w:ascii="仿宋_GB2312" w:hAnsi="仿宋_GB2312" w:eastAsia="仿宋_GB2312" w:cs="仿宋_GB2312"/>
                <w:kern w:val="2"/>
                <w:sz w:val="21"/>
                <w:szCs w:val="22"/>
                <w:lang w:val="en-US" w:eastAsia="en-US" w:bidi="en-US"/>
              </w:rPr>
            </w:pPr>
            <w:r>
              <w:rPr>
                <w:rFonts w:hint="eastAsia" w:ascii="仿宋_GB2312" w:hAnsi="仿宋_GB2312" w:eastAsia="仿宋_GB2312" w:cs="仿宋_GB2312"/>
                <w:kern w:val="2"/>
                <w:sz w:val="21"/>
                <w:szCs w:val="22"/>
              </w:rPr>
              <w:t>首次发现在饮用水水源保护区修建危害水源水质卫生的设施或进行有碍水源水质卫生的作业，持续时间1个月以下且能够立即停止违法行为的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《生活饮用水卫生监督管理办法》第二十六条第（一）项</w:t>
            </w:r>
          </w:p>
        </w:tc>
        <w:tc>
          <w:tcPr>
            <w:tcW w:w="1194" w:type="dxa"/>
            <w:tcBorders>
              <w:top w:val="single" w:color="000000" w:sz="6" w:space="0"/>
              <w:left w:val="single" w:color="000000" w:sz="6" w:space="0"/>
              <w:bottom w:val="single" w:color="000000" w:sz="6" w:space="0"/>
              <w:right w:val="single" w:color="000000" w:sz="6" w:space="0"/>
            </w:tcBorders>
            <w:vAlign w:val="center"/>
          </w:tcPr>
          <w:p>
            <w:pPr>
              <w:spacing w:before="120" w:after="120"/>
              <w:ind w:firstLine="560" w:firstLineChars="0"/>
              <w:jc w:val="both"/>
              <w:rPr>
                <w:rFonts w:hint="eastAsia" w:asciiTheme="minorHAnsi" w:hAnsiTheme="minorHAnsi" w:eastAsiaTheme="minorHAnsi" w:cstheme="minorBidi"/>
                <w:sz w:val="22"/>
                <w:szCs w:val="22"/>
                <w:lang w:val="en-US" w:eastAsia="en-US" w:bidi="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4"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3</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pStyle w:val="3"/>
              <w:widowControl/>
              <w:spacing w:before="156" w:beforeAutospacing="0" w:after="156" w:afterAutospacing="0" w:line="240" w:lineRule="auto"/>
              <w:ind w:firstLine="0" w:firstLineChars="0"/>
              <w:jc w:val="both"/>
              <w:rPr>
                <w:rFonts w:hint="eastAsia" w:ascii="仿宋_GB2312" w:hAnsi="仿宋_GB2312" w:eastAsia="仿宋_GB2312" w:cs="仿宋_GB2312"/>
                <w:kern w:val="2"/>
                <w:sz w:val="21"/>
                <w:szCs w:val="22"/>
                <w:lang w:val="en-US" w:eastAsia="en-US" w:bidi="en-US"/>
              </w:rPr>
            </w:pPr>
            <w:r>
              <w:rPr>
                <w:rFonts w:hint="eastAsia" w:ascii="仿宋_GB2312" w:hAnsi="仿宋_GB2312" w:eastAsia="仿宋_GB2312" w:cs="仿宋_GB2312"/>
                <w:kern w:val="2"/>
                <w:sz w:val="21"/>
                <w:szCs w:val="22"/>
              </w:rPr>
              <w:t>首次发现新建、改建、扩建的饮用水供水项目虽未经卫生行政部门参加选址、设计审查和竣工验收而擅自供水，但各项设施完善、供水水质符合国家卫生标准且能够立即停止违法行为的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《生活饮用水卫生监督管理办法》第二十六条第（二）项</w:t>
            </w:r>
          </w:p>
        </w:tc>
        <w:tc>
          <w:tcPr>
            <w:tcW w:w="1194" w:type="dxa"/>
            <w:tcBorders>
              <w:top w:val="single" w:color="000000" w:sz="6" w:space="0"/>
              <w:left w:val="single" w:color="000000" w:sz="6" w:space="0"/>
              <w:bottom w:val="single" w:color="000000" w:sz="6" w:space="0"/>
              <w:right w:val="single" w:color="000000" w:sz="6" w:space="0"/>
            </w:tcBorders>
            <w:vAlign w:val="center"/>
          </w:tcPr>
          <w:p>
            <w:pPr>
              <w:spacing w:before="120" w:after="120"/>
              <w:ind w:firstLine="560" w:firstLineChars="0"/>
              <w:jc w:val="both"/>
              <w:rPr>
                <w:rFonts w:hint="eastAsia" w:asciiTheme="minorHAnsi" w:hAnsiTheme="minorHAnsi" w:eastAsiaTheme="minorHAnsi" w:cstheme="minorBidi"/>
                <w:sz w:val="22"/>
                <w:szCs w:val="22"/>
                <w:lang w:val="en-US" w:eastAsia="en-US" w:bidi="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4</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pStyle w:val="3"/>
              <w:widowControl/>
              <w:spacing w:before="156" w:beforeAutospacing="0" w:after="156" w:afterAutospacing="0" w:line="240" w:lineRule="auto"/>
              <w:ind w:firstLine="0" w:firstLineChars="0"/>
              <w:jc w:val="both"/>
              <w:rPr>
                <w:rFonts w:hint="eastAsia" w:ascii="仿宋_GB2312" w:hAnsi="仿宋_GB2312" w:eastAsia="仿宋_GB2312" w:cs="仿宋_GB2312"/>
                <w:kern w:val="2"/>
                <w:sz w:val="21"/>
                <w:szCs w:val="22"/>
                <w:lang w:val="en-US" w:eastAsia="en-US" w:bidi="en-US"/>
              </w:rPr>
            </w:pPr>
            <w:r>
              <w:rPr>
                <w:rFonts w:hint="eastAsia" w:ascii="仿宋_GB2312" w:hAnsi="仿宋_GB2312" w:eastAsia="仿宋_GB2312" w:cs="仿宋_GB2312"/>
                <w:spacing w:val="-6"/>
                <w:kern w:val="2"/>
                <w:sz w:val="21"/>
                <w:szCs w:val="22"/>
              </w:rPr>
              <w:t>首次发现供水单位未取得卫生许可证而擅自供水持续时间1个月（含）以下且能够立即停止违法行为的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《生活饮用水卫生监督管理办法》第二十六条第（三）项</w:t>
            </w:r>
          </w:p>
        </w:tc>
        <w:tc>
          <w:tcPr>
            <w:tcW w:w="1194" w:type="dxa"/>
            <w:tcBorders>
              <w:top w:val="single" w:color="000000" w:sz="6" w:space="0"/>
              <w:left w:val="single" w:color="000000" w:sz="6" w:space="0"/>
              <w:bottom w:val="single" w:color="000000" w:sz="6" w:space="0"/>
              <w:right w:val="single" w:color="000000" w:sz="6" w:space="0"/>
            </w:tcBorders>
            <w:vAlign w:val="center"/>
          </w:tcPr>
          <w:p>
            <w:pPr>
              <w:spacing w:before="120" w:after="120"/>
              <w:ind w:firstLine="560" w:firstLineChars="0"/>
              <w:jc w:val="both"/>
              <w:rPr>
                <w:rFonts w:hint="eastAsia" w:asciiTheme="minorHAnsi" w:hAnsiTheme="minorHAnsi" w:eastAsiaTheme="minorHAnsi" w:cstheme="minorBidi"/>
                <w:sz w:val="22"/>
                <w:szCs w:val="22"/>
                <w:lang w:val="en-US" w:eastAsia="en-US" w:bidi="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5</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pStyle w:val="3"/>
              <w:widowControl/>
              <w:spacing w:before="156" w:beforeAutospacing="0" w:after="156" w:afterAutospacing="0" w:line="240" w:lineRule="auto"/>
              <w:ind w:firstLine="0" w:firstLineChars="0"/>
              <w:jc w:val="both"/>
              <w:rPr>
                <w:rFonts w:hint="eastAsia" w:ascii="仿宋_GB2312" w:hAnsi="仿宋_GB2312" w:eastAsia="仿宋_GB2312" w:cs="仿宋_GB2312"/>
                <w:kern w:val="2"/>
                <w:sz w:val="21"/>
                <w:szCs w:val="22"/>
                <w:lang w:val="en-US" w:eastAsia="en-US" w:bidi="en-US"/>
              </w:rPr>
            </w:pPr>
            <w:r>
              <w:rPr>
                <w:rFonts w:hint="eastAsia" w:ascii="仿宋_GB2312" w:hAnsi="仿宋_GB2312" w:eastAsia="仿宋_GB2312" w:cs="仿宋_GB2312"/>
                <w:kern w:val="2"/>
                <w:sz w:val="21"/>
                <w:szCs w:val="22"/>
              </w:rPr>
              <w:t>首次发现生活饮用水指标检测项目超标项目 1 项且能够立即停止违法行为的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《生活饮用水卫生监督管理办法》第二十六条第（四）项</w:t>
            </w:r>
          </w:p>
        </w:tc>
        <w:tc>
          <w:tcPr>
            <w:tcW w:w="1194" w:type="dxa"/>
            <w:tcBorders>
              <w:top w:val="single" w:color="000000" w:sz="6" w:space="0"/>
              <w:left w:val="single" w:color="000000" w:sz="6" w:space="0"/>
              <w:bottom w:val="single" w:color="000000" w:sz="6" w:space="0"/>
              <w:right w:val="single" w:color="000000" w:sz="6" w:space="0"/>
            </w:tcBorders>
            <w:vAlign w:val="center"/>
          </w:tcPr>
          <w:p>
            <w:pPr>
              <w:spacing w:before="120" w:after="120"/>
              <w:ind w:firstLine="560" w:firstLineChars="0"/>
              <w:jc w:val="both"/>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6</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实验室未依照规定在明显位置标示国务院卫生主管部门规定的生物危险标识和生物安全实验室级别标志的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《病原微生物实验室生物安全管理条例》 第六十条第（一）项</w:t>
            </w:r>
          </w:p>
        </w:tc>
        <w:tc>
          <w:tcPr>
            <w:tcW w:w="1194" w:type="dxa"/>
            <w:tcBorders>
              <w:top w:val="single" w:color="000000" w:sz="6" w:space="0"/>
              <w:left w:val="single" w:color="000000" w:sz="6" w:space="0"/>
              <w:bottom w:val="single" w:color="000000" w:sz="6" w:space="0"/>
              <w:right w:val="single" w:color="000000" w:sz="6" w:space="0"/>
            </w:tcBorders>
            <w:vAlign w:val="center"/>
          </w:tcPr>
          <w:p>
            <w:pPr>
              <w:spacing w:before="120" w:after="120"/>
              <w:ind w:firstLine="560" w:firstLineChars="0"/>
              <w:jc w:val="both"/>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7</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未依照规定制定实验室感染应急处置预案并备案的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《病原微生物实验室生物安全管理条例》 第六十条第（八）项</w:t>
            </w:r>
          </w:p>
        </w:tc>
        <w:tc>
          <w:tcPr>
            <w:tcW w:w="1194" w:type="dxa"/>
            <w:tcBorders>
              <w:top w:val="single" w:color="000000" w:sz="6" w:space="0"/>
              <w:left w:val="single" w:color="000000" w:sz="6" w:space="0"/>
              <w:bottom w:val="single" w:color="000000" w:sz="6" w:space="0"/>
              <w:right w:val="single" w:color="000000" w:sz="6" w:space="0"/>
            </w:tcBorders>
            <w:vAlign w:val="center"/>
          </w:tcPr>
          <w:p>
            <w:pPr>
              <w:spacing w:before="120" w:after="120"/>
              <w:ind w:firstLine="560" w:firstLineChars="0"/>
              <w:jc w:val="both"/>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8</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医疗机构无专职或者兼职人员负责本单位药品不良反应监测工作的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《药品不良反应报告和监测管理办法》第六十条第（一）项</w:t>
            </w:r>
          </w:p>
        </w:tc>
        <w:tc>
          <w:tcPr>
            <w:tcW w:w="1194" w:type="dxa"/>
            <w:tcBorders>
              <w:top w:val="single" w:color="000000" w:sz="6" w:space="0"/>
              <w:left w:val="single" w:color="000000" w:sz="6" w:space="0"/>
              <w:bottom w:val="single" w:color="000000" w:sz="6" w:space="0"/>
              <w:right w:val="single" w:color="000000" w:sz="6" w:space="0"/>
            </w:tcBorders>
            <w:vAlign w:val="center"/>
          </w:tcPr>
          <w:p>
            <w:pPr>
              <w:spacing w:before="120" w:after="120"/>
              <w:ind w:firstLine="560" w:firstLineChars="0"/>
              <w:jc w:val="both"/>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spacing w:before="120" w:after="120"/>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9</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未建立、健全医疗废物管理制度，或者未设置监控部门或者专(兼)职人员的;</w:t>
            </w:r>
          </w:p>
        </w:tc>
        <w:tc>
          <w:tcPr>
            <w:tcW w:w="1985" w:type="dxa"/>
            <w:tcBorders>
              <w:top w:val="single" w:color="000000" w:sz="6" w:space="0"/>
              <w:left w:val="single" w:color="000000" w:sz="6" w:space="0"/>
              <w:bottom w:val="single" w:color="000000" w:sz="6" w:space="0"/>
              <w:right w:val="single" w:color="000000" w:sz="6" w:space="0"/>
            </w:tcBorders>
            <w:vAlign w:val="center"/>
          </w:tcPr>
          <w:p>
            <w:pPr>
              <w:spacing w:before="120" w:after="120"/>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《医疗废物管理条例》第四十五条第（一）项</w:t>
            </w:r>
          </w:p>
        </w:tc>
        <w:tc>
          <w:tcPr>
            <w:tcW w:w="1194" w:type="dxa"/>
            <w:tcBorders>
              <w:top w:val="single" w:color="000000" w:sz="6" w:space="0"/>
              <w:left w:val="single" w:color="000000" w:sz="6" w:space="0"/>
              <w:bottom w:val="single" w:color="000000" w:sz="6" w:space="0"/>
              <w:right w:val="single" w:color="000000" w:sz="6" w:space="0"/>
            </w:tcBorders>
            <w:vAlign w:val="center"/>
          </w:tcPr>
          <w:p>
            <w:pPr>
              <w:spacing w:before="120" w:after="120"/>
              <w:ind w:firstLine="560" w:firstLineChars="0"/>
              <w:jc w:val="both"/>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spacing w:before="120" w:after="120"/>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10</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未按照规定建立医疗器械临床使用管理工作制度的</w:t>
            </w:r>
          </w:p>
        </w:tc>
        <w:tc>
          <w:tcPr>
            <w:tcW w:w="1985" w:type="dxa"/>
            <w:tcBorders>
              <w:top w:val="single" w:color="000000" w:sz="6" w:space="0"/>
              <w:left w:val="single" w:color="000000" w:sz="6" w:space="0"/>
              <w:bottom w:val="single" w:color="000000" w:sz="6" w:space="0"/>
              <w:right w:val="single" w:color="000000" w:sz="6" w:space="0"/>
            </w:tcBorders>
            <w:vAlign w:val="center"/>
          </w:tcPr>
          <w:p>
            <w:pPr>
              <w:spacing w:before="120" w:after="120"/>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《医疗器械临床使用管理办法》第四十五条第（一）项</w:t>
            </w:r>
          </w:p>
        </w:tc>
        <w:tc>
          <w:tcPr>
            <w:tcW w:w="1194" w:type="dxa"/>
            <w:tcBorders>
              <w:top w:val="single" w:color="000000" w:sz="6" w:space="0"/>
              <w:left w:val="single" w:color="000000" w:sz="6" w:space="0"/>
              <w:bottom w:val="single" w:color="000000" w:sz="6" w:space="0"/>
              <w:right w:val="single" w:color="000000" w:sz="6" w:space="0"/>
            </w:tcBorders>
            <w:vAlign w:val="center"/>
          </w:tcPr>
          <w:p>
            <w:pPr>
              <w:spacing w:before="120" w:after="120"/>
              <w:ind w:firstLine="560" w:firstLineChars="0"/>
              <w:jc w:val="both"/>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spacing w:before="120" w:after="120"/>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11</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未按照规定设立医疗器械临床使用管理委员会或者配备专（兼）职人员负责本机构医疗器械临床使用管理工作的</w:t>
            </w:r>
          </w:p>
        </w:tc>
        <w:tc>
          <w:tcPr>
            <w:tcW w:w="1985" w:type="dxa"/>
            <w:tcBorders>
              <w:top w:val="single" w:color="000000" w:sz="6" w:space="0"/>
              <w:left w:val="single" w:color="000000" w:sz="6" w:space="0"/>
              <w:bottom w:val="single" w:color="000000" w:sz="6" w:space="0"/>
              <w:right w:val="single" w:color="000000" w:sz="6" w:space="0"/>
            </w:tcBorders>
            <w:vAlign w:val="center"/>
          </w:tcPr>
          <w:p>
            <w:pPr>
              <w:spacing w:before="120" w:after="120"/>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《医疗器械临床使用管理办法》第四十五条第（二）项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spacing w:before="120" w:after="120"/>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12</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放射单位未给从事放射工作的人员办理《放射工作人员证》</w:t>
            </w:r>
          </w:p>
        </w:tc>
        <w:tc>
          <w:tcPr>
            <w:tcW w:w="1985" w:type="dxa"/>
            <w:tcBorders>
              <w:top w:val="single" w:color="000000" w:sz="6" w:space="0"/>
              <w:left w:val="single" w:color="000000" w:sz="6" w:space="0"/>
              <w:bottom w:val="single" w:color="000000" w:sz="6" w:space="0"/>
              <w:right w:val="single" w:color="000000" w:sz="6" w:space="0"/>
            </w:tcBorders>
            <w:vAlign w:val="center"/>
          </w:tcPr>
          <w:p>
            <w:pPr>
              <w:spacing w:before="120" w:after="120"/>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危害后果轻微并及时改正的或违法行为轻微并及时改正</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《放射工作人员职业健康管理办法》第三十九条</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4402" w:type="dxa"/>
            <w:gridSpan w:val="10"/>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left"/>
              <w:textAlignment w:val="center"/>
              <w:rPr>
                <w:rFonts w:hint="default" w:ascii="黑体" w:hAnsi="黑体" w:eastAsia="黑体"/>
                <w:sz w:val="28"/>
                <w:szCs w:val="28"/>
              </w:rPr>
            </w:pPr>
            <w:r>
              <w:rPr>
                <w:rFonts w:hint="eastAsia" w:ascii="黑体" w:hAnsi="黑体" w:eastAsia="黑体"/>
                <w:sz w:val="28"/>
                <w:szCs w:val="28"/>
              </w:rPr>
              <w:t>二、下列违法行为初次违法且危害后果轻微并及时改正的，不予行政处罚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color w:val="000000"/>
                <w:sz w:val="28"/>
                <w:szCs w:val="28"/>
              </w:rPr>
            </w:pPr>
            <w:r>
              <w:rPr>
                <w:rFonts w:hint="eastAsia" w:ascii="黑体" w:hAnsi="宋体" w:eastAsia="黑体"/>
                <w:color w:val="000000"/>
                <w:kern w:val="0"/>
                <w:sz w:val="28"/>
                <w:szCs w:val="28"/>
              </w:rPr>
              <w:t>序号</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color w:val="000000"/>
                <w:sz w:val="28"/>
                <w:szCs w:val="28"/>
              </w:rPr>
            </w:pPr>
            <w:r>
              <w:rPr>
                <w:rFonts w:hint="eastAsia" w:ascii="黑体" w:hAnsi="宋体" w:eastAsia="黑体"/>
                <w:color w:val="000000"/>
                <w:kern w:val="0"/>
                <w:sz w:val="28"/>
                <w:szCs w:val="28"/>
              </w:rPr>
              <w:t>行政处罚事项</w:t>
            </w:r>
          </w:p>
        </w:tc>
        <w:tc>
          <w:tcPr>
            <w:tcW w:w="1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color w:val="000000"/>
                <w:sz w:val="28"/>
                <w:szCs w:val="28"/>
              </w:rPr>
            </w:pPr>
            <w:r>
              <w:rPr>
                <w:rFonts w:hint="eastAsia" w:ascii="黑体" w:hAnsi="宋体" w:eastAsia="黑体"/>
                <w:color w:val="000000"/>
                <w:sz w:val="28"/>
                <w:szCs w:val="28"/>
              </w:rPr>
              <w:t>实施机关</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color w:val="000000"/>
                <w:sz w:val="28"/>
                <w:szCs w:val="28"/>
              </w:rPr>
            </w:pPr>
            <w:r>
              <w:rPr>
                <w:rFonts w:hint="eastAsia" w:ascii="黑体" w:hAnsi="宋体" w:eastAsia="黑体"/>
                <w:color w:val="000000"/>
                <w:kern w:val="0"/>
                <w:sz w:val="28"/>
                <w:szCs w:val="28"/>
              </w:rPr>
              <w:t>不予处罚适用条件</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color w:val="000000"/>
                <w:sz w:val="28"/>
                <w:szCs w:val="28"/>
              </w:rPr>
            </w:pPr>
            <w:r>
              <w:rPr>
                <w:rFonts w:hint="eastAsia" w:ascii="黑体" w:hAnsi="宋体" w:eastAsia="黑体"/>
                <w:color w:val="000000"/>
                <w:kern w:val="0"/>
                <w:sz w:val="28"/>
                <w:szCs w:val="28"/>
              </w:rPr>
              <w:t>法律依据</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color w:val="000000"/>
                <w:sz w:val="28"/>
                <w:szCs w:val="28"/>
              </w:rPr>
            </w:pPr>
            <w:r>
              <w:rPr>
                <w:rFonts w:hint="eastAsia" w:ascii="黑体" w:hAnsi="宋体" w:eastAsia="黑体"/>
                <w:color w:val="000000"/>
                <w:kern w:val="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1</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发现建设单位未按照规定对建设项目进行职业病危害预评价的（初次）</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《中华人民共和国职业病防治法》第六十九条第（一）项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2</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建设项目的职业病防护设施未按照规定与主体工程同时设计、同时施工、同时投入生产和使用的（初次）</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《中华人民共和国职业病防治法》第六十九条第（三）项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3</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未按照规定对职业病防护设施进行职业病危害控制效果评价的（初次）</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《中华人民共和国职业病防治法》第六十九条第（五）项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4</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建设项目竣工投入生产和使用前，职业病防护设施未按照规定验收合格的（初次）</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《中华人民共和国职业病防治法》第六十九条第（六）项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5</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工作场所职业病危害因素检测、评价结果没有存档、上报、公布的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《中华人民共和国职业病防治法》第七十条第（一）项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6</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未采取规定的职业病防治管理措施的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both"/>
              <w:rPr>
                <w:rFonts w:hint="eastAsia" w:ascii="仿宋_GB2312" w:hAnsi="仿宋_GB2312" w:eastAsia="仿宋_GB2312" w:cs="仿宋_GB2312"/>
              </w:rPr>
            </w:pPr>
            <w:r>
              <w:rPr>
                <w:rFonts w:hint="eastAsia" w:ascii="仿宋_GB2312" w:hAnsi="仿宋_GB2312" w:eastAsia="仿宋_GB2312" w:cs="仿宋_GB2312"/>
              </w:rPr>
              <w:t>卫生健康</w:t>
            </w:r>
          </w:p>
          <w:p>
            <w:pPr>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《中华人民共和国职业病防治法》第七十条第（二）项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7</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未按照规定公布有关职业病防治的规章制度、操作规程、职业病危害事故应急救援措施的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《中华人民共和国职业病防治法》第七十条第（三）项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8</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未按照规定组织劳动者进行职业卫生培训，或者未对劳动者个人职业病防护采取指导、督促措施的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《中华人民共和国职业病防治法》第七十条第（四）项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9</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未按照规定及时、如实向卫生行政部门申报产生职业病危害的项目的（时间不超过三个月的）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《中华人民共和国职业病防治法》第七十一条第（一）项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10</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未实施由专人负责的职业病危害因素日常监测，或者监测系统不能正常监测的（时间不超过三个月的）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《中华人民共和国职业病防治法》第七十一条第（二）项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11</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在订立或者变更劳动合同时，未告知劳动者职业病危害真实情况（涉及人数在 3 人以下的）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《中华人民共和国职业病防治法》第七十一条第（三）项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12</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未按照规定组织职业健康检查，建立职业健康监护档案或者未将检查结果书面告知劳动者（涉及人数在3人以下的）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《中华人民共和国职业病防治法》第七十一条第（四）项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13</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用人单位未依照本法规定在劳动者离开用人单位时提供职业健康监护档案复印件的（涉及人数在3人以下的）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《中华人民共和国职业病防治法》第七十一条第（五）项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14</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医疗卫生机构未按照规定备案开展职业病诊断 1 次的，且诊断结果没有造成不良后果的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《职业病诊断与鉴定管理办法》第五十四条</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15</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职业健康检查机构未按规定备案开展职业健康检查 1 次，且没有造成不良后果的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《职业健康检查管理办法》第二十五条第（一）项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16</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职业健康检查机构未按规定告知疑似职业病，涉及人数 1 人，且没有造成不良后果的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《职业健康检查管理办法》第二十五条第（二）项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17</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职业健康检查机构未按要求建立职业健康检查档案的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《职业健康检查管理办法》第二十七条第（二）项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18</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职业健康检查机构未履行职业健康检查信息报告义务的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《职业健康检查管理办法》第二十七条第（三）项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19</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职业健康检查机构未按照相关职业健康监护技术规范规定开展工作的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《职业健康检查管理办法》第二十七条第（四）项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20</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医疗机构未办理诊疗科目登记或者未按照规定进行校验（持续时间 1 个月以内的）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 xml:space="preserve">首次违法且危害后果轻微并及时改正的或违法行为轻微并及时改正，没有造成危害后果的                                                                                                                                                                                                                                                                                                                                                                                                                       </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《放射诊疗管理规定》第三十八条第（二）项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21</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医疗机构未经批准擅自变更放射诊疗项目或者超出批准范围从事放射诊疗工作（持续时间 1 个月以内的）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《放射诊疗管理规定》第三十八条第（三）项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22</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职业卫生技术服务机构未按标准规范开展职业卫生技术服务，或者擅自更改、简化服务程序和相关内容（累计违法所得 5000 元以下的）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《职业卫生技术服务机构管理办法》第四十四条第（一）项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23</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职业卫生技术服务机构安排未达到技术评审考核评估要求的专业技术人员参与职业卫生技术服务（累计 1 人次的）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《职业卫生技术服务机构管理办法》第四十四条第（六）项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24</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未经县级卫生行政部门核准，村卫生室、诊所、社区卫生服务站擅自使用抗菌药物开展静脉输注活动的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《抗菌药物临床应用管理办法》第五十四条</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25</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用人单位未按照规定实行有害作业与无害作业分开、工作场所与生活场所分开（累计未分开的数量 1 个的）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《工作场所职业卫生管理规定》第四十七条</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26</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用人单位的主要负责人、职业卫生管理人员未接受职业卫生培训（累计 1 人的）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《工作场所职业卫生管理规定》第四十七条</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27</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医疗卫生机构违反本条例规定，护士的配备数量低于国务院卫生主管部门规定的护士配备标准的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《护士条例》第二十八条第（一）项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28</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医疗卫生机构允许未取得护士执业证书的人员或者允许未依照本条例规定办理执业地点变更手续、延续执业注册有效期的护士在本机构从事诊疗技术规范规定的护理活动的。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《护士条例》第二十八条第（二）项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29</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消毒后的物品未达到卫生标准和要求的(不超过两项指标)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jc w:val="left"/>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《消毒管理办法》第四十四条</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30</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违反医疗文书相关管理规定的 中药饮片处方是否单独开具（西药、中成药、中药饮片方剂之间隔行书写中药饮片方剂为伤寒论、金匮经方）</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120" w:after="120" w:line="300" w:lineRule="exact"/>
              <w:jc w:val="left"/>
              <w:textAlignment w:val="auto"/>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《处方管理办法》第六条第（六）项</w:t>
            </w:r>
            <w:r>
              <w:rPr>
                <w:rFonts w:hint="eastAsia" w:ascii="仿宋_GB2312" w:hAnsi="仿宋_GB2312" w:eastAsia="仿宋_GB2312" w:cs="仿宋_GB2312"/>
                <w:lang w:eastAsia="zh-CN"/>
              </w:rPr>
              <w:t>；</w:t>
            </w:r>
            <w:r>
              <w:rPr>
                <w:rFonts w:hint="eastAsia" w:ascii="仿宋_GB2312" w:hAnsi="仿宋_GB2312" w:eastAsia="仿宋_GB2312" w:cs="仿宋_GB2312"/>
              </w:rPr>
              <w:t>《处方管理办法》第五十七条第（二）项</w:t>
            </w:r>
            <w:r>
              <w:rPr>
                <w:rFonts w:hint="eastAsia" w:ascii="仿宋_GB2312" w:hAnsi="仿宋_GB2312" w:eastAsia="仿宋_GB2312" w:cs="仿宋_GB2312"/>
                <w:lang w:eastAsia="zh-CN"/>
              </w:rPr>
              <w:t>；</w:t>
            </w:r>
            <w:r>
              <w:rPr>
                <w:rFonts w:hint="eastAsia" w:ascii="仿宋_GB2312" w:hAnsi="仿宋_GB2312" w:eastAsia="仿宋_GB2312" w:cs="仿宋_GB2312"/>
              </w:rPr>
              <w:t>《执业医师法》第三十七条</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spacing w:before="120" w:after="120"/>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31</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违反医疗废物处置相关规定 医疗卫生机构内医疗废物产生地点无医疗废物分类收集方法的示意图或者文字说明。</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《医疗废物管理条例》第四十六条第（二）项；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spacing w:before="120" w:after="120"/>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32</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违反医疗废物处置相关规定 医疗废物露天存放医疗废物</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《医疗废物管理条例》第四十六条第（一）项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spacing w:before="120" w:after="120"/>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33</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医疗卫生机构未对有关人员进行相关法律和专业技术、安全防护以及紧急处理等知识培训的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首次违法且危害后果轻微并及时改正的或违法行为轻微并及时改正，没有造成危害后果的</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《医疗废物管理条例》第四十五条第（二）项</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4402" w:type="dxa"/>
            <w:gridSpan w:val="10"/>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left"/>
              <w:textAlignment w:val="center"/>
              <w:rPr>
                <w:rFonts w:hint="default" w:ascii="黑体" w:hAnsi="黑体" w:eastAsia="黑体"/>
                <w:sz w:val="28"/>
                <w:szCs w:val="28"/>
              </w:rPr>
            </w:pPr>
            <w:r>
              <w:rPr>
                <w:rFonts w:hint="eastAsia" w:ascii="黑体" w:hAnsi="黑体" w:eastAsia="黑体"/>
                <w:sz w:val="28"/>
                <w:szCs w:val="28"/>
              </w:rPr>
              <w:t>三、下列违法行为当事人有证据足以证明没有主观过错的，不予行政处罚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color w:val="000000"/>
                <w:sz w:val="28"/>
                <w:szCs w:val="28"/>
              </w:rPr>
            </w:pPr>
            <w:r>
              <w:rPr>
                <w:rFonts w:hint="eastAsia" w:ascii="黑体" w:hAnsi="宋体" w:eastAsia="黑体"/>
                <w:color w:val="000000"/>
                <w:kern w:val="0"/>
                <w:sz w:val="28"/>
                <w:szCs w:val="28"/>
              </w:rPr>
              <w:t>序号</w:t>
            </w:r>
          </w:p>
        </w:tc>
        <w:tc>
          <w:tcPr>
            <w:tcW w:w="2976" w:type="dxa"/>
            <w:gridSpan w:val="3"/>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color w:val="000000"/>
                <w:sz w:val="28"/>
                <w:szCs w:val="28"/>
              </w:rPr>
            </w:pPr>
            <w:r>
              <w:rPr>
                <w:rFonts w:hint="eastAsia" w:ascii="黑体" w:hAnsi="宋体" w:eastAsia="黑体"/>
                <w:color w:val="000000"/>
                <w:kern w:val="0"/>
                <w:sz w:val="28"/>
                <w:szCs w:val="28"/>
              </w:rPr>
              <w:t>行政处罚事项</w:t>
            </w:r>
          </w:p>
        </w:tc>
        <w:tc>
          <w:tcPr>
            <w:tcW w:w="1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color w:val="000000"/>
                <w:sz w:val="28"/>
                <w:szCs w:val="28"/>
              </w:rPr>
            </w:pPr>
            <w:r>
              <w:rPr>
                <w:rFonts w:hint="eastAsia" w:ascii="黑体" w:hAnsi="宋体" w:eastAsia="黑体"/>
                <w:color w:val="000000"/>
                <w:sz w:val="28"/>
                <w:szCs w:val="28"/>
              </w:rPr>
              <w:t>实施机关</w:t>
            </w:r>
          </w:p>
        </w:tc>
        <w:tc>
          <w:tcPr>
            <w:tcW w:w="382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color w:val="000000"/>
                <w:sz w:val="28"/>
                <w:szCs w:val="28"/>
              </w:rPr>
            </w:pPr>
            <w:r>
              <w:rPr>
                <w:rFonts w:hint="eastAsia" w:ascii="黑体" w:hAnsi="宋体" w:eastAsia="黑体"/>
                <w:color w:val="000000"/>
                <w:kern w:val="0"/>
                <w:sz w:val="28"/>
                <w:szCs w:val="28"/>
              </w:rPr>
              <w:t>不予处罚适用条件</w:t>
            </w:r>
          </w:p>
        </w:tc>
        <w:tc>
          <w:tcPr>
            <w:tcW w:w="326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color w:val="000000"/>
                <w:sz w:val="28"/>
                <w:szCs w:val="28"/>
              </w:rPr>
            </w:pPr>
            <w:r>
              <w:rPr>
                <w:rFonts w:hint="eastAsia" w:ascii="黑体" w:hAnsi="宋体" w:eastAsia="黑体"/>
                <w:color w:val="000000"/>
                <w:kern w:val="0"/>
                <w:sz w:val="28"/>
                <w:szCs w:val="28"/>
              </w:rPr>
              <w:t>法律依据</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color w:val="000000"/>
                <w:sz w:val="28"/>
                <w:szCs w:val="28"/>
              </w:rPr>
            </w:pPr>
            <w:r>
              <w:rPr>
                <w:rFonts w:hint="eastAsia" w:ascii="黑体" w:hAnsi="宋体" w:eastAsia="黑体"/>
                <w:color w:val="000000"/>
                <w:kern w:val="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eastAsia="宋体"/>
                <w:color w:val="000000"/>
                <w:sz w:val="28"/>
                <w:szCs w:val="28"/>
                <w:lang w:val="en-US" w:eastAsia="zh-CN"/>
              </w:rPr>
            </w:pPr>
            <w:r>
              <w:rPr>
                <w:rFonts w:hint="eastAsia" w:eastAsia="宋体"/>
                <w:color w:val="000000"/>
                <w:sz w:val="28"/>
                <w:szCs w:val="28"/>
                <w:lang w:val="en-US" w:eastAsia="zh-CN"/>
              </w:rPr>
              <w:t>1</w:t>
            </w:r>
          </w:p>
        </w:tc>
        <w:tc>
          <w:tcPr>
            <w:tcW w:w="2976" w:type="dxa"/>
            <w:gridSpan w:val="3"/>
            <w:tcBorders>
              <w:top w:val="single" w:color="000000" w:sz="6" w:space="0"/>
              <w:left w:val="single" w:color="000000" w:sz="6" w:space="0"/>
              <w:bottom w:val="single" w:color="000000" w:sz="6" w:space="0"/>
              <w:right w:val="single" w:color="000000" w:sz="6" w:space="0"/>
            </w:tcBorders>
            <w:vAlign w:val="top"/>
          </w:tcPr>
          <w:p>
            <w:pPr>
              <w:spacing w:before="120" w:after="120"/>
              <w:rPr>
                <w:rFonts w:hint="eastAsia" w:ascii="仿宋_GB2312" w:hAnsi="仿宋_GB2312" w:eastAsia="仿宋_GB2312" w:cs="仿宋_GB2312"/>
              </w:rPr>
            </w:pPr>
            <w:r>
              <w:rPr>
                <w:rFonts w:hint="eastAsia" w:ascii="仿宋_GB2312" w:hAnsi="仿宋_GB2312" w:eastAsia="仿宋_GB2312" w:cs="仿宋_GB2312"/>
              </w:rPr>
              <w:t xml:space="preserve">医疗机构感染性疾病科或分诊点设置情况和预检、分诊落实情况 </w:t>
            </w:r>
          </w:p>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二级以上综合医院应当设立感染性疾病科，具体负责本医疗机构传染病的分诊工作，并对本医疗机构的传染病预检、分诊工作进行组织管理；</w:t>
            </w:r>
          </w:p>
        </w:tc>
        <w:tc>
          <w:tcPr>
            <w:tcW w:w="1985" w:type="dxa"/>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gridSpan w:val="2"/>
            <w:tcBorders>
              <w:top w:val="single" w:color="000000" w:sz="6" w:space="0"/>
              <w:left w:val="single" w:color="000000" w:sz="6" w:space="0"/>
              <w:bottom w:val="single" w:color="000000" w:sz="6" w:space="0"/>
              <w:right w:val="single" w:color="000000" w:sz="6" w:space="0"/>
            </w:tcBorders>
            <w:vAlign w:val="top"/>
          </w:tcPr>
          <w:p>
            <w:pPr>
              <w:spacing w:before="120" w:after="120"/>
              <w:rPr>
                <w:rFonts w:hint="eastAsia" w:ascii="仿宋_GB2312" w:hAnsi="仿宋_GB2312" w:eastAsia="仿宋_GB2312" w:cs="仿宋_GB2312"/>
              </w:rPr>
            </w:pPr>
            <w:r>
              <w:rPr>
                <w:rFonts w:hint="eastAsia" w:ascii="仿宋_GB2312" w:hAnsi="仿宋_GB2312" w:eastAsia="仿宋_GB2312" w:cs="仿宋_GB2312"/>
              </w:rPr>
              <w:t>二级以上综合医院经专家评估确无合理场地条件设置感染性疾病科、分诊点</w:t>
            </w:r>
          </w:p>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二级以上综合医院经专家评估设置了有合理的预检转诊制度、场所</w:t>
            </w:r>
          </w:p>
        </w:tc>
        <w:tc>
          <w:tcPr>
            <w:tcW w:w="3260" w:type="dxa"/>
            <w:gridSpan w:val="2"/>
            <w:tcBorders>
              <w:top w:val="single" w:color="000000" w:sz="6" w:space="0"/>
              <w:left w:val="single" w:color="000000" w:sz="6" w:space="0"/>
              <w:bottom w:val="single" w:color="000000" w:sz="6" w:space="0"/>
              <w:right w:val="single" w:color="000000" w:sz="6" w:space="0"/>
            </w:tcBorders>
            <w:vAlign w:val="top"/>
          </w:tcPr>
          <w:p>
            <w:pPr>
              <w:spacing w:before="120" w:after="120"/>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 xml:space="preserve">《医疗机构传染病预检分诊管理办法》第二条第二款、第三款 </w:t>
            </w:r>
          </w:p>
        </w:tc>
        <w:tc>
          <w:tcPr>
            <w:tcW w:w="119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rPr>
                <w:rFonts w:hint="eastAsia"/>
                <w:color w:val="000000"/>
                <w:sz w:val="28"/>
                <w:szCs w:val="28"/>
              </w:rPr>
            </w:pPr>
          </w:p>
        </w:tc>
      </w:tr>
    </w:tbl>
    <w:p>
      <w:pPr>
        <w:rPr>
          <w:rFonts w:hint="default"/>
        </w:rPr>
      </w:pPr>
      <w:r>
        <w:rPr>
          <w:rFonts w:hint="default"/>
        </w:rPr>
        <w:br w:type="page"/>
      </w:r>
    </w:p>
    <w:tbl>
      <w:tblPr>
        <w:tblStyle w:val="4"/>
        <w:tblW w:w="144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60"/>
        <w:gridCol w:w="2976"/>
        <w:gridCol w:w="1985"/>
        <w:gridCol w:w="3827"/>
        <w:gridCol w:w="3260"/>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1160" w:type="dxa"/>
            <w:vAlign w:val="center"/>
          </w:tcPr>
          <w:p>
            <w:pPr>
              <w:widowControl/>
              <w:jc w:val="left"/>
              <w:textAlignment w:val="center"/>
              <w:rPr>
                <w:rFonts w:hint="default" w:ascii="黑体" w:hAnsi="宋体" w:eastAsia="黑体"/>
                <w:color w:val="000000"/>
                <w:sz w:val="32"/>
              </w:rPr>
            </w:pPr>
            <w:r>
              <w:rPr>
                <w:rFonts w:hint="eastAsia" w:ascii="黑体" w:hAnsi="宋体" w:eastAsia="黑体"/>
                <w:color w:val="000000"/>
                <w:kern w:val="0"/>
                <w:sz w:val="32"/>
              </w:rPr>
              <w:t>附件2</w:t>
            </w:r>
          </w:p>
        </w:tc>
        <w:tc>
          <w:tcPr>
            <w:tcW w:w="2976" w:type="dxa"/>
            <w:vAlign w:val="center"/>
          </w:tcPr>
          <w:p>
            <w:pPr>
              <w:rPr>
                <w:rFonts w:hint="eastAsia"/>
                <w:color w:val="000000"/>
                <w:sz w:val="24"/>
              </w:rPr>
            </w:pPr>
          </w:p>
        </w:tc>
        <w:tc>
          <w:tcPr>
            <w:tcW w:w="5812" w:type="dxa"/>
            <w:gridSpan w:val="2"/>
            <w:vAlign w:val="center"/>
          </w:tcPr>
          <w:p>
            <w:pPr>
              <w:rPr>
                <w:rFonts w:hint="eastAsia"/>
                <w:color w:val="000000"/>
                <w:sz w:val="24"/>
              </w:rPr>
            </w:pPr>
          </w:p>
        </w:tc>
        <w:tc>
          <w:tcPr>
            <w:tcW w:w="3260" w:type="dxa"/>
            <w:vAlign w:val="center"/>
          </w:tcPr>
          <w:p>
            <w:pPr>
              <w:rPr>
                <w:rFonts w:hint="eastAsia"/>
                <w:color w:val="000000"/>
                <w:sz w:val="24"/>
              </w:rPr>
            </w:pPr>
          </w:p>
        </w:tc>
        <w:tc>
          <w:tcPr>
            <w:tcW w:w="1194" w:type="dxa"/>
            <w:vAlign w:val="center"/>
          </w:tcPr>
          <w:p>
            <w:pPr>
              <w:rPr>
                <w:rFonts w:hint="eastAsia"/>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jc w:val="center"/>
        </w:trPr>
        <w:tc>
          <w:tcPr>
            <w:tcW w:w="14402" w:type="dxa"/>
            <w:gridSpan w:val="6"/>
            <w:vAlign w:val="center"/>
          </w:tcPr>
          <w:p>
            <w:pPr>
              <w:widowControl/>
              <w:jc w:val="center"/>
              <w:textAlignment w:val="center"/>
              <w:rPr>
                <w:rFonts w:hint="default" w:ascii="方正小标宋简体" w:hAnsi="方正小标宋简体" w:eastAsia="方正小标宋简体"/>
                <w:color w:val="000000"/>
                <w:sz w:val="44"/>
              </w:rPr>
            </w:pPr>
            <w:r>
              <w:rPr>
                <w:rFonts w:hint="eastAsia" w:ascii="方正小标宋简体" w:hAnsi="方正小标宋简体" w:eastAsia="方正小标宋简体"/>
                <w:color w:val="000000"/>
                <w:kern w:val="0"/>
                <w:sz w:val="44"/>
              </w:rPr>
              <w:t>从轻处罚事项清单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136" w:type="dxa"/>
            <w:gridSpan w:val="2"/>
            <w:tcBorders>
              <w:bottom w:val="single" w:color="000000" w:sz="6" w:space="0"/>
            </w:tcBorders>
            <w:vAlign w:val="center"/>
          </w:tcPr>
          <w:p>
            <w:pPr>
              <w:widowControl/>
              <w:jc w:val="left"/>
              <w:textAlignment w:val="center"/>
              <w:rPr>
                <w:rFonts w:hint="default" w:ascii="黑体" w:hAnsi="宋体" w:eastAsia="黑体"/>
                <w:color w:val="000000"/>
                <w:sz w:val="28"/>
              </w:rPr>
            </w:pPr>
            <w:r>
              <w:rPr>
                <w:rFonts w:hint="eastAsia" w:ascii="黑体" w:hAnsi="宋体" w:eastAsia="黑体"/>
                <w:color w:val="000000"/>
                <w:kern w:val="0"/>
                <w:sz w:val="28"/>
              </w:rPr>
              <w:t>单位：（公章）</w:t>
            </w:r>
            <w:r>
              <w:rPr>
                <w:rFonts w:hint="eastAsia" w:ascii="黑体" w:hAnsi="宋体" w:eastAsia="黑体"/>
                <w:color w:val="000000"/>
                <w:kern w:val="0"/>
                <w:sz w:val="28"/>
                <w:lang w:eastAsia="zh-CN"/>
              </w:rPr>
              <w:t>漳平市卫生健康局</w:t>
            </w:r>
          </w:p>
        </w:tc>
        <w:tc>
          <w:tcPr>
            <w:tcW w:w="5812" w:type="dxa"/>
            <w:gridSpan w:val="2"/>
            <w:tcBorders>
              <w:bottom w:val="single" w:color="000000" w:sz="6" w:space="0"/>
            </w:tcBorders>
            <w:vAlign w:val="center"/>
          </w:tcPr>
          <w:p>
            <w:pPr>
              <w:rPr>
                <w:rFonts w:hint="eastAsia"/>
                <w:color w:val="000000"/>
                <w:sz w:val="24"/>
              </w:rPr>
            </w:pPr>
          </w:p>
        </w:tc>
        <w:tc>
          <w:tcPr>
            <w:tcW w:w="3260" w:type="dxa"/>
            <w:tcBorders>
              <w:bottom w:val="single" w:color="000000" w:sz="6" w:space="0"/>
            </w:tcBorders>
            <w:vAlign w:val="center"/>
          </w:tcPr>
          <w:p>
            <w:pPr>
              <w:rPr>
                <w:rFonts w:hint="eastAsia"/>
                <w:color w:val="000000"/>
                <w:sz w:val="24"/>
              </w:rPr>
            </w:pPr>
          </w:p>
        </w:tc>
        <w:tc>
          <w:tcPr>
            <w:tcW w:w="1194" w:type="dxa"/>
            <w:tcBorders>
              <w:bottom w:val="single" w:color="000000" w:sz="6" w:space="0"/>
            </w:tcBorders>
            <w:vAlign w:val="center"/>
          </w:tcPr>
          <w:p>
            <w:pPr>
              <w:rPr>
                <w:rFonts w:hint="eastAsia"/>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hint="default" w:ascii="黑体" w:hAnsi="宋体" w:eastAsia="黑体"/>
                <w:color w:val="000000"/>
                <w:sz w:val="28"/>
              </w:rPr>
            </w:pPr>
            <w:r>
              <w:rPr>
                <w:rFonts w:hint="eastAsia" w:ascii="黑体" w:hAnsi="宋体" w:eastAsia="黑体"/>
                <w:color w:val="000000"/>
                <w:kern w:val="0"/>
                <w:sz w:val="28"/>
              </w:rPr>
              <w:t>序号</w:t>
            </w:r>
          </w:p>
        </w:tc>
        <w:tc>
          <w:tcPr>
            <w:tcW w:w="2976"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hint="default" w:ascii="黑体" w:hAnsi="宋体" w:eastAsia="黑体"/>
                <w:color w:val="000000"/>
                <w:sz w:val="28"/>
              </w:rPr>
            </w:pPr>
            <w:r>
              <w:rPr>
                <w:rFonts w:hint="eastAsia" w:ascii="黑体" w:hAnsi="宋体" w:eastAsia="黑体"/>
                <w:color w:val="000000"/>
                <w:kern w:val="0"/>
                <w:sz w:val="28"/>
              </w:rPr>
              <w:t>行政处罚事项</w:t>
            </w:r>
          </w:p>
        </w:tc>
        <w:tc>
          <w:tcPr>
            <w:tcW w:w="1985"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hint="default" w:ascii="黑体" w:hAnsi="宋体" w:eastAsia="黑体"/>
                <w:color w:val="000000"/>
                <w:sz w:val="28"/>
              </w:rPr>
            </w:pPr>
            <w:r>
              <w:rPr>
                <w:rFonts w:hint="eastAsia" w:ascii="黑体" w:hAnsi="宋体" w:eastAsia="黑体"/>
                <w:color w:val="000000"/>
                <w:sz w:val="28"/>
              </w:rPr>
              <w:t>实施机关</w:t>
            </w:r>
          </w:p>
        </w:tc>
        <w:tc>
          <w:tcPr>
            <w:tcW w:w="3827"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黑体" w:hAnsi="宋体" w:eastAsia="黑体"/>
                <w:color w:val="000000"/>
                <w:sz w:val="28"/>
              </w:rPr>
            </w:pPr>
            <w:r>
              <w:rPr>
                <w:rFonts w:hint="eastAsia" w:ascii="黑体" w:hAnsi="宋体" w:eastAsia="黑体"/>
                <w:color w:val="000000"/>
                <w:kern w:val="0"/>
                <w:sz w:val="28"/>
              </w:rPr>
              <w:t>从轻处罚适用条件</w:t>
            </w:r>
          </w:p>
        </w:tc>
        <w:tc>
          <w:tcPr>
            <w:tcW w:w="326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hint="default" w:ascii="黑体" w:hAnsi="宋体" w:eastAsia="黑体"/>
                <w:color w:val="000000"/>
                <w:sz w:val="28"/>
              </w:rPr>
            </w:pPr>
            <w:r>
              <w:rPr>
                <w:rFonts w:hint="eastAsia" w:ascii="黑体" w:hAnsi="宋体" w:eastAsia="黑体"/>
                <w:color w:val="000000"/>
                <w:kern w:val="0"/>
                <w:sz w:val="28"/>
              </w:rPr>
              <w:t>法律依据</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hint="default" w:ascii="黑体" w:hAnsi="宋体" w:eastAsia="黑体"/>
                <w:color w:val="000000"/>
                <w:sz w:val="28"/>
              </w:rPr>
            </w:pPr>
            <w:r>
              <w:rPr>
                <w:rFonts w:hint="eastAsia" w:ascii="黑体" w:hAnsi="宋体" w:eastAsia="黑体"/>
                <w:color w:val="000000"/>
                <w:kern w:val="0"/>
                <w:sz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1</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未经县级卫生行政部门核准，村卫生室、诊所、社区卫生服务站擅自使用抗菌药物开展静脉输注活动的</w:t>
            </w:r>
          </w:p>
        </w:tc>
        <w:tc>
          <w:tcPr>
            <w:tcW w:w="198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首次发生，未造成严重后果</w:t>
            </w:r>
          </w:p>
        </w:tc>
        <w:tc>
          <w:tcPr>
            <w:tcW w:w="3260" w:type="dxa"/>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《抗菌药物临床应用管理办法》第五十四条</w:t>
            </w:r>
          </w:p>
        </w:tc>
        <w:tc>
          <w:tcPr>
            <w:tcW w:w="1194" w:type="dxa"/>
            <w:tcBorders>
              <w:top w:val="single" w:color="000000" w:sz="6" w:space="0"/>
              <w:left w:val="single" w:color="000000" w:sz="6" w:space="0"/>
              <w:bottom w:val="single" w:color="000000" w:sz="6" w:space="0"/>
              <w:right w:val="single" w:color="000000" w:sz="6" w:space="0"/>
            </w:tcBorders>
            <w:vAlign w:val="center"/>
          </w:tcPr>
          <w:p>
            <w:pPr>
              <w:spacing w:before="120" w:after="120"/>
              <w:rPr>
                <w:rFonts w:hint="eastAsia" w:asciiTheme="minorHAnsi" w:hAnsiTheme="minorHAnsi" w:eastAsiaTheme="minorHAnsi" w:cstheme="minorBidi"/>
                <w:sz w:val="22"/>
                <w:szCs w:val="22"/>
                <w:lang w:val="en-US" w:eastAsia="en-US" w:bidi="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2</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医疗卫生机构未定期对医疗废物处置设施的环境污染防治和卫生学效果进行检测、评价，或者未将检测、评价效果存档、报告的</w:t>
            </w:r>
          </w:p>
        </w:tc>
        <w:tc>
          <w:tcPr>
            <w:tcW w:w="1985" w:type="dxa"/>
            <w:tcBorders>
              <w:top w:val="single" w:color="000000" w:sz="6" w:space="0"/>
              <w:left w:val="single" w:color="000000" w:sz="6" w:space="0"/>
              <w:bottom w:val="single" w:color="000000" w:sz="6" w:space="0"/>
              <w:right w:val="single" w:color="000000" w:sz="6" w:space="0"/>
            </w:tcBorders>
            <w:vAlign w:val="center"/>
          </w:tcPr>
          <w:p>
            <w:pPr>
              <w:spacing w:before="120" w:after="120"/>
              <w:jc w:val="center"/>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卫生健康行政部门</w:t>
            </w:r>
          </w:p>
        </w:tc>
        <w:tc>
          <w:tcPr>
            <w:tcW w:w="3827" w:type="dxa"/>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首次发生，未造成严重后果</w:t>
            </w:r>
          </w:p>
        </w:tc>
        <w:tc>
          <w:tcPr>
            <w:tcW w:w="3260" w:type="dxa"/>
            <w:tcBorders>
              <w:top w:val="single" w:color="000000" w:sz="6" w:space="0"/>
              <w:left w:val="single" w:color="000000" w:sz="6" w:space="0"/>
              <w:bottom w:val="single" w:color="000000" w:sz="6" w:space="0"/>
              <w:right w:val="single" w:color="000000" w:sz="6" w:space="0"/>
            </w:tcBorders>
            <w:vAlign w:val="center"/>
          </w:tcPr>
          <w:p>
            <w:pPr>
              <w:spacing w:before="120" w:after="120"/>
              <w:jc w:val="both"/>
              <w:rPr>
                <w:rFonts w:hint="eastAsia" w:ascii="仿宋_GB2312" w:hAnsi="仿宋_GB2312" w:eastAsia="仿宋_GB2312" w:cs="仿宋_GB2312"/>
                <w:sz w:val="22"/>
                <w:szCs w:val="22"/>
                <w:lang w:val="en-US" w:eastAsia="en-US" w:bidi="en-US"/>
              </w:rPr>
            </w:pPr>
            <w:r>
              <w:rPr>
                <w:rFonts w:hint="eastAsia" w:ascii="仿宋_GB2312" w:hAnsi="仿宋_GB2312" w:eastAsia="仿宋_GB2312" w:cs="仿宋_GB2312"/>
              </w:rPr>
              <w:t>《医疗废物管理条例》第四十五条</w:t>
            </w:r>
          </w:p>
        </w:tc>
        <w:tc>
          <w:tcPr>
            <w:tcW w:w="1194" w:type="dxa"/>
            <w:tcBorders>
              <w:top w:val="single" w:color="000000" w:sz="6" w:space="0"/>
              <w:left w:val="single" w:color="000000" w:sz="6" w:space="0"/>
              <w:bottom w:val="single" w:color="000000" w:sz="6" w:space="0"/>
              <w:right w:val="single" w:color="000000" w:sz="6" w:space="0"/>
            </w:tcBorders>
            <w:vAlign w:val="top"/>
          </w:tcPr>
          <w:p>
            <w:pPr>
              <w:rPr>
                <w:rFonts w:hint="eastAsia" w:asciiTheme="minorHAnsi" w:hAnsiTheme="minorHAnsi" w:eastAsiaTheme="minorHAnsi" w:cstheme="minorBidi"/>
                <w:sz w:val="22"/>
                <w:szCs w:val="22"/>
                <w:lang w:val="en-US" w:eastAsia="en-US" w:bidi="en-US"/>
              </w:rPr>
            </w:pPr>
          </w:p>
        </w:tc>
      </w:tr>
    </w:tbl>
    <w:p>
      <w:pPr>
        <w:rPr>
          <w:rFonts w:hint="default"/>
        </w:rPr>
      </w:pPr>
      <w:r>
        <w:rPr>
          <w:rFonts w:hint="default"/>
        </w:rPr>
        <w:br w:type="page"/>
      </w:r>
    </w:p>
    <w:tbl>
      <w:tblPr>
        <w:tblStyle w:val="4"/>
        <w:tblW w:w="144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60"/>
        <w:gridCol w:w="2976"/>
        <w:gridCol w:w="1985"/>
        <w:gridCol w:w="3827"/>
        <w:gridCol w:w="3260"/>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1160" w:type="dxa"/>
            <w:vAlign w:val="center"/>
          </w:tcPr>
          <w:p>
            <w:pPr>
              <w:widowControl/>
              <w:jc w:val="left"/>
              <w:textAlignment w:val="center"/>
              <w:rPr>
                <w:rFonts w:hint="default" w:ascii="黑体" w:hAnsi="宋体" w:eastAsia="黑体"/>
                <w:color w:val="000000"/>
                <w:sz w:val="32"/>
              </w:rPr>
            </w:pPr>
            <w:r>
              <w:rPr>
                <w:rFonts w:hint="eastAsia" w:ascii="黑体" w:hAnsi="宋体" w:eastAsia="黑体"/>
                <w:color w:val="000000"/>
                <w:kern w:val="0"/>
                <w:sz w:val="32"/>
              </w:rPr>
              <w:t>附件3</w:t>
            </w:r>
          </w:p>
        </w:tc>
        <w:tc>
          <w:tcPr>
            <w:tcW w:w="2976" w:type="dxa"/>
            <w:vAlign w:val="center"/>
          </w:tcPr>
          <w:p>
            <w:pPr>
              <w:rPr>
                <w:rFonts w:hint="eastAsia"/>
                <w:color w:val="000000"/>
                <w:sz w:val="24"/>
              </w:rPr>
            </w:pPr>
          </w:p>
        </w:tc>
        <w:tc>
          <w:tcPr>
            <w:tcW w:w="5812" w:type="dxa"/>
            <w:gridSpan w:val="2"/>
            <w:vAlign w:val="center"/>
          </w:tcPr>
          <w:p>
            <w:pPr>
              <w:rPr>
                <w:rFonts w:hint="eastAsia"/>
                <w:color w:val="000000"/>
                <w:sz w:val="24"/>
              </w:rPr>
            </w:pPr>
          </w:p>
        </w:tc>
        <w:tc>
          <w:tcPr>
            <w:tcW w:w="3260" w:type="dxa"/>
            <w:vAlign w:val="center"/>
          </w:tcPr>
          <w:p>
            <w:pPr>
              <w:rPr>
                <w:rFonts w:hint="eastAsia"/>
                <w:color w:val="000000"/>
                <w:sz w:val="24"/>
              </w:rPr>
            </w:pPr>
          </w:p>
        </w:tc>
        <w:tc>
          <w:tcPr>
            <w:tcW w:w="1194" w:type="dxa"/>
            <w:vAlign w:val="center"/>
          </w:tcPr>
          <w:p>
            <w:pPr>
              <w:rPr>
                <w:rFonts w:hint="eastAsia"/>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14402" w:type="dxa"/>
            <w:gridSpan w:val="6"/>
            <w:vAlign w:val="center"/>
          </w:tcPr>
          <w:p>
            <w:pPr>
              <w:widowControl/>
              <w:jc w:val="center"/>
              <w:textAlignment w:val="center"/>
              <w:rPr>
                <w:rFonts w:hint="default" w:ascii="方正小标宋简体" w:hAnsi="方正小标宋简体" w:eastAsia="方正小标宋简体"/>
                <w:color w:val="000000"/>
                <w:sz w:val="44"/>
              </w:rPr>
            </w:pPr>
            <w:r>
              <w:rPr>
                <w:rFonts w:hint="eastAsia" w:ascii="方正小标宋简体" w:hAnsi="方正小标宋简体" w:eastAsia="方正小标宋简体"/>
                <w:color w:val="000000"/>
                <w:kern w:val="0"/>
                <w:sz w:val="44"/>
              </w:rPr>
              <w:t>减轻处罚事项清单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136" w:type="dxa"/>
            <w:gridSpan w:val="2"/>
            <w:tcBorders>
              <w:bottom w:val="single" w:color="000000" w:sz="6" w:space="0"/>
            </w:tcBorders>
            <w:vAlign w:val="center"/>
          </w:tcPr>
          <w:p>
            <w:pPr>
              <w:widowControl/>
              <w:jc w:val="left"/>
              <w:textAlignment w:val="center"/>
              <w:rPr>
                <w:rFonts w:hint="default" w:ascii="黑体" w:hAnsi="宋体" w:eastAsia="黑体"/>
                <w:color w:val="000000"/>
                <w:sz w:val="28"/>
              </w:rPr>
            </w:pPr>
            <w:r>
              <w:rPr>
                <w:rFonts w:hint="eastAsia" w:ascii="黑体" w:hAnsi="宋体" w:eastAsia="黑体"/>
                <w:color w:val="000000"/>
                <w:kern w:val="0"/>
                <w:sz w:val="28"/>
              </w:rPr>
              <w:t>单位：（公章）</w:t>
            </w:r>
            <w:r>
              <w:rPr>
                <w:rFonts w:hint="eastAsia" w:ascii="黑体" w:hAnsi="宋体" w:eastAsia="黑体"/>
                <w:color w:val="000000"/>
                <w:kern w:val="0"/>
                <w:sz w:val="28"/>
                <w:lang w:eastAsia="zh-CN"/>
              </w:rPr>
              <w:t>漳平市卫生健康局</w:t>
            </w:r>
          </w:p>
        </w:tc>
        <w:tc>
          <w:tcPr>
            <w:tcW w:w="5812" w:type="dxa"/>
            <w:gridSpan w:val="2"/>
            <w:tcBorders>
              <w:bottom w:val="single" w:color="000000" w:sz="6" w:space="0"/>
            </w:tcBorders>
            <w:vAlign w:val="center"/>
          </w:tcPr>
          <w:p>
            <w:pPr>
              <w:rPr>
                <w:rFonts w:hint="eastAsia"/>
                <w:color w:val="000000"/>
                <w:sz w:val="24"/>
              </w:rPr>
            </w:pPr>
          </w:p>
        </w:tc>
        <w:tc>
          <w:tcPr>
            <w:tcW w:w="3260" w:type="dxa"/>
            <w:tcBorders>
              <w:bottom w:val="single" w:color="000000" w:sz="6" w:space="0"/>
            </w:tcBorders>
            <w:vAlign w:val="center"/>
          </w:tcPr>
          <w:p>
            <w:pPr>
              <w:rPr>
                <w:rFonts w:hint="eastAsia"/>
                <w:color w:val="000000"/>
                <w:sz w:val="24"/>
              </w:rPr>
            </w:pPr>
          </w:p>
        </w:tc>
        <w:tc>
          <w:tcPr>
            <w:tcW w:w="1194" w:type="dxa"/>
            <w:tcBorders>
              <w:bottom w:val="single" w:color="000000" w:sz="6" w:space="0"/>
            </w:tcBorders>
            <w:vAlign w:val="center"/>
          </w:tcPr>
          <w:p>
            <w:pPr>
              <w:rPr>
                <w:rFonts w:hint="eastAsia"/>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hint="default" w:ascii="黑体" w:hAnsi="宋体" w:eastAsia="黑体"/>
                <w:color w:val="000000"/>
                <w:sz w:val="28"/>
              </w:rPr>
            </w:pPr>
            <w:r>
              <w:rPr>
                <w:rFonts w:hint="eastAsia" w:ascii="黑体" w:hAnsi="宋体" w:eastAsia="黑体"/>
                <w:color w:val="000000"/>
                <w:kern w:val="0"/>
                <w:sz w:val="28"/>
              </w:rPr>
              <w:t>序号</w:t>
            </w:r>
          </w:p>
        </w:tc>
        <w:tc>
          <w:tcPr>
            <w:tcW w:w="2976"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hint="default" w:ascii="黑体" w:hAnsi="宋体" w:eastAsia="黑体"/>
                <w:color w:val="000000"/>
                <w:sz w:val="28"/>
              </w:rPr>
            </w:pPr>
            <w:r>
              <w:rPr>
                <w:rFonts w:hint="eastAsia" w:ascii="黑体" w:hAnsi="宋体" w:eastAsia="黑体"/>
                <w:color w:val="000000"/>
                <w:kern w:val="0"/>
                <w:sz w:val="28"/>
              </w:rPr>
              <w:t>行政处罚事项</w:t>
            </w:r>
          </w:p>
        </w:tc>
        <w:tc>
          <w:tcPr>
            <w:tcW w:w="1985"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hint="default" w:ascii="黑体" w:hAnsi="宋体" w:eastAsia="黑体"/>
                <w:color w:val="000000"/>
                <w:sz w:val="28"/>
              </w:rPr>
            </w:pPr>
            <w:r>
              <w:rPr>
                <w:rFonts w:hint="eastAsia" w:ascii="黑体" w:hAnsi="宋体" w:eastAsia="黑体"/>
                <w:color w:val="000000"/>
                <w:sz w:val="28"/>
              </w:rPr>
              <w:t>实施机关</w:t>
            </w:r>
          </w:p>
        </w:tc>
        <w:tc>
          <w:tcPr>
            <w:tcW w:w="3827"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黑体" w:hAnsi="宋体" w:eastAsia="黑体"/>
                <w:color w:val="000000"/>
                <w:sz w:val="28"/>
              </w:rPr>
            </w:pPr>
            <w:r>
              <w:rPr>
                <w:rFonts w:hint="eastAsia" w:ascii="黑体" w:hAnsi="宋体" w:eastAsia="黑体"/>
                <w:color w:val="000000"/>
                <w:kern w:val="0"/>
                <w:sz w:val="28"/>
              </w:rPr>
              <w:t>减轻处罚适用条件</w:t>
            </w:r>
          </w:p>
        </w:tc>
        <w:tc>
          <w:tcPr>
            <w:tcW w:w="326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hint="default" w:ascii="黑体" w:hAnsi="宋体" w:eastAsia="黑体"/>
                <w:color w:val="000000"/>
                <w:sz w:val="28"/>
              </w:rPr>
            </w:pPr>
            <w:r>
              <w:rPr>
                <w:rFonts w:hint="eastAsia" w:ascii="黑体" w:hAnsi="宋体" w:eastAsia="黑体"/>
                <w:color w:val="000000"/>
                <w:kern w:val="0"/>
                <w:sz w:val="28"/>
              </w:rPr>
              <w:t>法律依据</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hint="default" w:ascii="黑体" w:hAnsi="宋体" w:eastAsia="黑体"/>
                <w:color w:val="000000"/>
                <w:sz w:val="28"/>
              </w:rPr>
            </w:pPr>
            <w:r>
              <w:rPr>
                <w:rFonts w:hint="eastAsia" w:ascii="黑体" w:hAnsi="宋体" w:eastAsia="黑体"/>
                <w:color w:val="000000"/>
                <w:kern w:val="0"/>
                <w:sz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rPr>
                <w:rFonts w:hint="eastAsia" w:eastAsia="宋体"/>
                <w:color w:val="000000"/>
                <w:sz w:val="24"/>
                <w:lang w:eastAsia="zh-CN"/>
              </w:rPr>
            </w:pPr>
            <w:r>
              <w:rPr>
                <w:rFonts w:hint="eastAsia" w:eastAsia="宋体"/>
                <w:color w:val="000000"/>
                <w:sz w:val="24"/>
                <w:lang w:eastAsia="zh-CN"/>
              </w:rPr>
              <w:t>无</w:t>
            </w:r>
          </w:p>
        </w:tc>
        <w:tc>
          <w:tcPr>
            <w:tcW w:w="2976"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985"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827"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194"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985"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827"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194"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985"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827"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194"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985"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827"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194"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985"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827"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194"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985"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827"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194"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985"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827"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194"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r>
    </w:tbl>
    <w:p>
      <w:pPr>
        <w:rPr>
          <w:rFonts w:hint="default"/>
        </w:rPr>
      </w:pPr>
      <w:r>
        <w:rPr>
          <w:rFonts w:hint="default"/>
        </w:rPr>
        <w:br w:type="page"/>
      </w:r>
    </w:p>
    <w:tbl>
      <w:tblPr>
        <w:tblStyle w:val="4"/>
        <w:tblW w:w="144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60"/>
        <w:gridCol w:w="2976"/>
        <w:gridCol w:w="1985"/>
        <w:gridCol w:w="3827"/>
        <w:gridCol w:w="3260"/>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160" w:type="dxa"/>
            <w:vAlign w:val="center"/>
          </w:tcPr>
          <w:p>
            <w:pPr>
              <w:widowControl/>
              <w:jc w:val="left"/>
              <w:textAlignment w:val="center"/>
              <w:rPr>
                <w:rFonts w:hint="default" w:ascii="黑体" w:hAnsi="宋体" w:eastAsia="黑体"/>
                <w:color w:val="000000"/>
                <w:sz w:val="32"/>
              </w:rPr>
            </w:pPr>
            <w:r>
              <w:rPr>
                <w:rFonts w:hint="eastAsia" w:ascii="黑体" w:hAnsi="宋体" w:eastAsia="黑体"/>
                <w:color w:val="000000"/>
                <w:kern w:val="0"/>
                <w:sz w:val="32"/>
              </w:rPr>
              <w:t>附件4</w:t>
            </w:r>
          </w:p>
        </w:tc>
        <w:tc>
          <w:tcPr>
            <w:tcW w:w="2976" w:type="dxa"/>
            <w:vAlign w:val="center"/>
          </w:tcPr>
          <w:p>
            <w:pPr>
              <w:rPr>
                <w:rFonts w:hint="eastAsia"/>
                <w:color w:val="000000"/>
                <w:sz w:val="24"/>
              </w:rPr>
            </w:pPr>
          </w:p>
        </w:tc>
        <w:tc>
          <w:tcPr>
            <w:tcW w:w="5812" w:type="dxa"/>
            <w:gridSpan w:val="2"/>
            <w:vAlign w:val="center"/>
          </w:tcPr>
          <w:p>
            <w:pPr>
              <w:rPr>
                <w:rFonts w:hint="eastAsia"/>
                <w:color w:val="000000"/>
                <w:sz w:val="24"/>
              </w:rPr>
            </w:pPr>
          </w:p>
        </w:tc>
        <w:tc>
          <w:tcPr>
            <w:tcW w:w="3260" w:type="dxa"/>
            <w:vAlign w:val="center"/>
          </w:tcPr>
          <w:p>
            <w:pPr>
              <w:rPr>
                <w:rFonts w:hint="eastAsia"/>
                <w:color w:val="000000"/>
                <w:sz w:val="24"/>
              </w:rPr>
            </w:pPr>
          </w:p>
        </w:tc>
        <w:tc>
          <w:tcPr>
            <w:tcW w:w="1194" w:type="dxa"/>
            <w:vAlign w:val="center"/>
          </w:tcPr>
          <w:p>
            <w:pPr>
              <w:rPr>
                <w:rFonts w:hint="eastAsia"/>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6" w:hRule="atLeast"/>
          <w:jc w:val="center"/>
        </w:trPr>
        <w:tc>
          <w:tcPr>
            <w:tcW w:w="14402" w:type="dxa"/>
            <w:gridSpan w:val="6"/>
            <w:vAlign w:val="center"/>
          </w:tcPr>
          <w:p>
            <w:pPr>
              <w:widowControl/>
              <w:jc w:val="center"/>
              <w:textAlignment w:val="center"/>
              <w:rPr>
                <w:rFonts w:hint="default" w:ascii="方正小标宋简体" w:hAnsi="方正小标宋简体" w:eastAsia="方正小标宋简体"/>
                <w:color w:val="000000"/>
                <w:sz w:val="44"/>
              </w:rPr>
            </w:pPr>
            <w:r>
              <w:rPr>
                <w:rFonts w:hint="eastAsia" w:ascii="方正小标宋简体" w:hAnsi="方正小标宋简体" w:eastAsia="方正小标宋简体"/>
                <w:color w:val="000000"/>
                <w:kern w:val="0"/>
                <w:sz w:val="44"/>
              </w:rPr>
              <w:t>免予行政强制事项清单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4136" w:type="dxa"/>
            <w:gridSpan w:val="2"/>
            <w:tcBorders>
              <w:bottom w:val="single" w:color="000000" w:sz="6" w:space="0"/>
            </w:tcBorders>
            <w:vAlign w:val="center"/>
          </w:tcPr>
          <w:p>
            <w:pPr>
              <w:widowControl/>
              <w:jc w:val="left"/>
              <w:textAlignment w:val="center"/>
              <w:rPr>
                <w:rFonts w:hint="default" w:ascii="黑体" w:hAnsi="宋体" w:eastAsia="黑体"/>
                <w:color w:val="000000"/>
                <w:sz w:val="28"/>
              </w:rPr>
            </w:pPr>
            <w:r>
              <w:rPr>
                <w:rFonts w:hint="eastAsia" w:ascii="黑体" w:hAnsi="宋体" w:eastAsia="黑体"/>
                <w:color w:val="000000"/>
                <w:kern w:val="0"/>
                <w:sz w:val="28"/>
              </w:rPr>
              <w:t>单位：（公章）</w:t>
            </w:r>
            <w:r>
              <w:rPr>
                <w:rFonts w:hint="eastAsia" w:ascii="黑体" w:hAnsi="宋体" w:eastAsia="黑体"/>
                <w:color w:val="000000"/>
                <w:kern w:val="0"/>
                <w:sz w:val="28"/>
                <w:lang w:eastAsia="zh-CN"/>
              </w:rPr>
              <w:t>漳平市卫生健康局</w:t>
            </w:r>
            <w:bookmarkStart w:id="0" w:name="_GoBack"/>
            <w:bookmarkEnd w:id="0"/>
          </w:p>
        </w:tc>
        <w:tc>
          <w:tcPr>
            <w:tcW w:w="5812" w:type="dxa"/>
            <w:gridSpan w:val="2"/>
            <w:tcBorders>
              <w:bottom w:val="single" w:color="000000" w:sz="6" w:space="0"/>
            </w:tcBorders>
            <w:vAlign w:val="center"/>
          </w:tcPr>
          <w:p>
            <w:pPr>
              <w:rPr>
                <w:rFonts w:hint="eastAsia"/>
                <w:color w:val="000000"/>
                <w:sz w:val="24"/>
              </w:rPr>
            </w:pPr>
          </w:p>
        </w:tc>
        <w:tc>
          <w:tcPr>
            <w:tcW w:w="3260" w:type="dxa"/>
            <w:tcBorders>
              <w:bottom w:val="single" w:color="000000" w:sz="6" w:space="0"/>
            </w:tcBorders>
            <w:vAlign w:val="center"/>
          </w:tcPr>
          <w:p>
            <w:pPr>
              <w:rPr>
                <w:rFonts w:hint="eastAsia"/>
                <w:color w:val="000000"/>
                <w:sz w:val="24"/>
              </w:rPr>
            </w:pPr>
          </w:p>
        </w:tc>
        <w:tc>
          <w:tcPr>
            <w:tcW w:w="1194" w:type="dxa"/>
            <w:tcBorders>
              <w:bottom w:val="single" w:color="000000" w:sz="6" w:space="0"/>
            </w:tcBorders>
            <w:vAlign w:val="center"/>
          </w:tcPr>
          <w:p>
            <w:pPr>
              <w:rPr>
                <w:rFonts w:hint="eastAsia"/>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hint="default" w:ascii="黑体" w:hAnsi="宋体" w:eastAsia="黑体"/>
                <w:color w:val="000000"/>
                <w:sz w:val="28"/>
              </w:rPr>
            </w:pPr>
            <w:r>
              <w:rPr>
                <w:rFonts w:hint="eastAsia" w:ascii="黑体" w:hAnsi="宋体" w:eastAsia="黑体"/>
                <w:color w:val="000000"/>
                <w:kern w:val="0"/>
                <w:sz w:val="28"/>
              </w:rPr>
              <w:t>序号</w:t>
            </w:r>
          </w:p>
        </w:tc>
        <w:tc>
          <w:tcPr>
            <w:tcW w:w="2976"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hint="default" w:ascii="黑体" w:hAnsi="宋体" w:eastAsia="黑体"/>
                <w:color w:val="000000"/>
                <w:sz w:val="28"/>
              </w:rPr>
            </w:pPr>
            <w:r>
              <w:rPr>
                <w:rFonts w:hint="eastAsia" w:ascii="黑体" w:hAnsi="宋体" w:eastAsia="黑体"/>
                <w:color w:val="000000"/>
                <w:kern w:val="0"/>
                <w:sz w:val="28"/>
              </w:rPr>
              <w:t>行政强制事项</w:t>
            </w:r>
          </w:p>
        </w:tc>
        <w:tc>
          <w:tcPr>
            <w:tcW w:w="1985"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hint="default" w:ascii="黑体" w:hAnsi="宋体" w:eastAsia="黑体"/>
                <w:color w:val="000000"/>
                <w:sz w:val="28"/>
              </w:rPr>
            </w:pPr>
            <w:r>
              <w:rPr>
                <w:rFonts w:hint="eastAsia" w:ascii="黑体" w:hAnsi="宋体" w:eastAsia="黑体"/>
                <w:color w:val="000000"/>
                <w:sz w:val="28"/>
              </w:rPr>
              <w:t>实施机关</w:t>
            </w:r>
          </w:p>
        </w:tc>
        <w:tc>
          <w:tcPr>
            <w:tcW w:w="3827"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Fonts w:hint="default" w:ascii="黑体" w:hAnsi="宋体" w:eastAsia="黑体"/>
                <w:color w:val="000000"/>
                <w:sz w:val="28"/>
              </w:rPr>
            </w:pPr>
            <w:r>
              <w:rPr>
                <w:rFonts w:hint="eastAsia" w:ascii="黑体" w:hAnsi="宋体" w:eastAsia="黑体"/>
                <w:color w:val="000000"/>
                <w:kern w:val="0"/>
                <w:sz w:val="28"/>
              </w:rPr>
              <w:t>免予行政强制适用条件</w:t>
            </w:r>
          </w:p>
        </w:tc>
        <w:tc>
          <w:tcPr>
            <w:tcW w:w="326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hint="default" w:ascii="黑体" w:hAnsi="宋体" w:eastAsia="黑体"/>
                <w:color w:val="000000"/>
                <w:sz w:val="28"/>
              </w:rPr>
            </w:pPr>
            <w:r>
              <w:rPr>
                <w:rFonts w:hint="eastAsia" w:ascii="黑体" w:hAnsi="宋体" w:eastAsia="黑体"/>
                <w:color w:val="000000"/>
                <w:kern w:val="0"/>
                <w:sz w:val="28"/>
              </w:rPr>
              <w:t>法律依据</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hint="default" w:ascii="黑体" w:hAnsi="宋体" w:eastAsia="黑体"/>
                <w:color w:val="000000"/>
                <w:sz w:val="28"/>
              </w:rPr>
            </w:pPr>
            <w:r>
              <w:rPr>
                <w:rFonts w:hint="eastAsia" w:ascii="黑体" w:hAnsi="宋体" w:eastAsia="黑体"/>
                <w:color w:val="000000"/>
                <w:kern w:val="0"/>
                <w:sz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rPr>
                <w:rFonts w:hint="eastAsia" w:eastAsia="宋体"/>
                <w:color w:val="000000"/>
                <w:sz w:val="24"/>
                <w:lang w:val="en-US" w:eastAsia="zh-CN"/>
              </w:rPr>
            </w:pPr>
            <w:r>
              <w:rPr>
                <w:rFonts w:hint="eastAsia" w:eastAsia="宋体"/>
                <w:color w:val="000000"/>
                <w:sz w:val="24"/>
                <w:lang w:val="en-US" w:eastAsia="zh-CN"/>
              </w:rPr>
              <w:t>无</w:t>
            </w:r>
          </w:p>
        </w:tc>
        <w:tc>
          <w:tcPr>
            <w:tcW w:w="2976"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985"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827"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194"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985"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827"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194"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985"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827"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194"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985"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827"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194"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985"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827"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194"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985"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827"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194"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1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2976"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985"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827"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c>
          <w:tcPr>
            <w:tcW w:w="1194" w:type="dxa"/>
            <w:tcBorders>
              <w:top w:val="single" w:color="000000" w:sz="6" w:space="0"/>
              <w:left w:val="single" w:color="000000" w:sz="6" w:space="0"/>
              <w:bottom w:val="single" w:color="000000" w:sz="6" w:space="0"/>
              <w:right w:val="single" w:color="000000" w:sz="6" w:space="0"/>
            </w:tcBorders>
            <w:vAlign w:val="center"/>
          </w:tcPr>
          <w:p>
            <w:pPr>
              <w:rPr>
                <w:rFonts w:hint="eastAsia"/>
                <w:color w:val="000000"/>
                <w:sz w:val="24"/>
              </w:rPr>
            </w:pPr>
          </w:p>
        </w:tc>
      </w:tr>
    </w:tbl>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sectPr>
      <w:pgSz w:w="15840" w:h="12240" w:orient="landscape"/>
      <w:pgMar w:top="1800" w:right="1440" w:bottom="1134"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MmZjZGE1YThjODFlYzc1ZGU4NzNlMGZjZTlmODQifQ=="/>
  </w:docVars>
  <w:rsids>
    <w:rsidRoot w:val="210F382C"/>
    <w:rsid w:val="210F382C"/>
    <w:rsid w:val="306D2551"/>
    <w:rsid w:val="4B7E7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HAnsi" w:cstheme="minorBidi"/>
      <w:sz w:val="22"/>
      <w:szCs w:val="22"/>
      <w:lang w:val="en-US" w:eastAsia="en-US" w:bidi="en-US"/>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Lines="50" w:beforeAutospacing="1" w:afterLines="50" w:afterAutospacing="1" w:line="480" w:lineRule="exact"/>
      <w:ind w:firstLine="420" w:firstLineChars="200"/>
      <w:jc w:val="left"/>
    </w:pPr>
    <w:rPr>
      <w:rFonts w:eastAsia="仿宋" w:cs="Times New Roman"/>
      <w:kern w:val="0"/>
      <w:sz w:val="24"/>
      <w:szCs w:val="24"/>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2022-06-07T02:49:00Z</dcterms:created>
  <dc:creator>昔今</dc:creator>
  <cp:lastModifiedBy>Cri-柒</cp:lastModifiedBy>
  <dcterms:modified xsi:type="dcterms:W3CDTF">2022-06-07T03:42:53Z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56F2576EA8D14DD8B26CF436126410F5</vt:lpwstr>
  </property>
</Properties>
</file>