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pacing w:val="6"/>
        </w:rPr>
      </w:pPr>
    </w:p>
    <w:p>
      <w:pPr>
        <w:spacing w:line="360" w:lineRule="auto"/>
        <w:rPr>
          <w:rFonts w:ascii="仿宋" w:hAnsi="仿宋" w:eastAsia="仿宋" w:cs="仿宋"/>
          <w:spacing w:val="6"/>
        </w:rPr>
      </w:pPr>
    </w:p>
    <w:p>
      <w:pPr>
        <w:spacing w:line="720" w:lineRule="auto"/>
        <w:jc w:val="center"/>
        <w:rPr>
          <w:rFonts w:ascii="仿宋" w:hAnsi="仿宋" w:eastAsia="仿宋" w:cs="仿宋"/>
          <w:b/>
          <w:sz w:val="48"/>
          <w:szCs w:val="48"/>
        </w:rPr>
      </w:pPr>
      <w:r>
        <w:rPr>
          <w:rFonts w:hint="eastAsia" w:ascii="仿宋" w:hAnsi="仿宋" w:eastAsia="仿宋" w:cs="仿宋"/>
          <w:b/>
          <w:sz w:val="48"/>
          <w:szCs w:val="48"/>
        </w:rPr>
        <w:t>漳平市“十四五”卫生健康事业</w:t>
      </w:r>
    </w:p>
    <w:p>
      <w:pPr>
        <w:spacing w:line="720" w:lineRule="auto"/>
        <w:jc w:val="center"/>
        <w:rPr>
          <w:rFonts w:hint="default" w:ascii="仿宋" w:hAnsi="仿宋" w:eastAsia="仿宋" w:cs="仿宋"/>
          <w:b/>
          <w:sz w:val="48"/>
          <w:szCs w:val="48"/>
          <w:lang w:val="en-US" w:eastAsia="zh-CN"/>
        </w:rPr>
      </w:pPr>
      <w:r>
        <w:rPr>
          <w:rFonts w:hint="eastAsia" w:ascii="仿宋" w:hAnsi="仿宋" w:eastAsia="仿宋" w:cs="仿宋"/>
          <w:b/>
          <w:sz w:val="48"/>
          <w:szCs w:val="48"/>
        </w:rPr>
        <w:t>发展专项规划</w:t>
      </w:r>
      <w:r>
        <w:rPr>
          <w:rFonts w:hint="eastAsia" w:ascii="仿宋" w:hAnsi="仿宋" w:eastAsia="仿宋" w:cs="仿宋"/>
          <w:b/>
          <w:sz w:val="48"/>
          <w:szCs w:val="48"/>
          <w:lang w:val="en-US" w:eastAsia="zh-CN"/>
        </w:rPr>
        <w:t>(征求意见稿）</w:t>
      </w:r>
    </w:p>
    <w:p>
      <w:pPr>
        <w:spacing w:line="360" w:lineRule="auto"/>
        <w:jc w:val="center"/>
        <w:rPr>
          <w:rFonts w:hint="eastAsia" w:ascii="仿宋" w:hAnsi="仿宋" w:eastAsia="仿宋" w:cs="仿宋"/>
          <w:bCs/>
          <w:spacing w:val="6"/>
          <w:sz w:val="32"/>
          <w:szCs w:val="32"/>
        </w:rPr>
      </w:pPr>
      <w:r>
        <w:rPr>
          <w:rFonts w:hint="eastAsia" w:ascii="仿宋" w:hAnsi="仿宋" w:eastAsia="仿宋" w:cs="仿宋"/>
          <w:bCs/>
          <w:spacing w:val="6"/>
          <w:sz w:val="32"/>
          <w:szCs w:val="32"/>
        </w:rPr>
        <w:t>（2021-2025年）</w:t>
      </w:r>
    </w:p>
    <w:p>
      <w:pPr>
        <w:spacing w:line="360" w:lineRule="auto"/>
        <w:jc w:val="center"/>
        <w:rPr>
          <w:rFonts w:hint="eastAsia" w:ascii="仿宋" w:hAnsi="仿宋" w:eastAsia="仿宋" w:cs="仿宋"/>
          <w:bCs/>
          <w:spacing w:val="6"/>
          <w:sz w:val="32"/>
          <w:szCs w:val="32"/>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p>
      <w:pPr>
        <w:rPr>
          <w:rFonts w:ascii="仿宋" w:hAnsi="仿宋" w:eastAsia="仿宋" w:cs="仿宋"/>
          <w:spacing w:val="6"/>
        </w:rPr>
      </w:pPr>
    </w:p>
    <w:sdt>
      <w:sdtPr>
        <w:rPr>
          <w:rFonts w:ascii="宋体" w:hAnsi="宋体" w:eastAsia="宋体"/>
        </w:rPr>
        <w:id w:val="147480249"/>
        <w:docPartObj>
          <w:docPartGallery w:val="Table of Contents"/>
          <w:docPartUnique/>
        </w:docPartObj>
      </w:sdtPr>
      <w:sdtEndPr>
        <w:rPr>
          <w:rFonts w:hint="eastAsia" w:ascii="仿宋" w:hAnsi="仿宋" w:eastAsia="仿宋" w:cs="仿宋"/>
          <w:b/>
        </w:rPr>
      </w:sdtEndPr>
      <w:sdtContent>
        <w:p>
          <w:pPr>
            <w:spacing w:line="360" w:lineRule="auto"/>
            <w:jc w:val="center"/>
            <w:rPr>
              <w:rFonts w:ascii="仿宋" w:hAnsi="仿宋" w:eastAsia="仿宋" w:cs="仿宋"/>
              <w:sz w:val="28"/>
              <w:szCs w:val="28"/>
            </w:rPr>
          </w:pPr>
          <w:r>
            <w:rPr>
              <w:rFonts w:hint="eastAsia" w:ascii="仿宋" w:hAnsi="仿宋" w:eastAsia="仿宋" w:cs="仿宋"/>
              <w:b/>
              <w:bCs/>
              <w:sz w:val="32"/>
              <w:szCs w:val="32"/>
            </w:rPr>
            <w:t>目录</w:t>
          </w:r>
        </w:p>
        <w:p>
          <w:pPr>
            <w:pStyle w:val="24"/>
            <w:tabs>
              <w:tab w:val="right" w:leader="dot" w:pos="8250"/>
            </w:tabs>
            <w:spacing w:line="360" w:lineRule="auto"/>
            <w:rPr>
              <w:rFonts w:ascii="仿宋" w:hAnsi="仿宋" w:eastAsia="仿宋" w:cs="仿宋"/>
              <w:b/>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r>
            <w:fldChar w:fldCharType="begin"/>
          </w:r>
          <w:r>
            <w:instrText xml:space="preserve"> HYPERLINK \l "_Toc21446" </w:instrText>
          </w:r>
          <w:r>
            <w:fldChar w:fldCharType="separate"/>
          </w:r>
          <w:r>
            <w:rPr>
              <w:rFonts w:hint="eastAsia" w:ascii="仿宋" w:hAnsi="仿宋" w:eastAsia="仿宋" w:cs="仿宋"/>
              <w:b/>
              <w:spacing w:val="6"/>
              <w:sz w:val="28"/>
              <w:szCs w:val="28"/>
              <w:lang w:val="en-US" w:eastAsia="zh-CN"/>
            </w:rPr>
            <w:t>前言</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_Toc21446 </w:instrText>
          </w:r>
          <w:r>
            <w:rPr>
              <w:rFonts w:hint="eastAsia" w:ascii="仿宋" w:hAnsi="仿宋" w:eastAsia="仿宋" w:cs="仿宋"/>
              <w:b/>
              <w:sz w:val="28"/>
              <w:szCs w:val="28"/>
            </w:rPr>
            <w:fldChar w:fldCharType="separate"/>
          </w:r>
          <w:r>
            <w:rPr>
              <w:rFonts w:ascii="仿宋" w:hAnsi="仿宋" w:eastAsia="仿宋" w:cs="仿宋"/>
              <w:b/>
              <w:sz w:val="28"/>
              <w:szCs w:val="28"/>
            </w:rPr>
            <w:t>1</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24"/>
            <w:tabs>
              <w:tab w:val="right" w:leader="dot" w:pos="8250"/>
            </w:tabs>
            <w:spacing w:line="360" w:lineRule="auto"/>
            <w:rPr>
              <w:rFonts w:ascii="仿宋" w:hAnsi="仿宋" w:eastAsia="仿宋" w:cs="仿宋"/>
              <w:b/>
              <w:sz w:val="28"/>
              <w:szCs w:val="28"/>
            </w:rPr>
          </w:pPr>
          <w:r>
            <w:fldChar w:fldCharType="begin"/>
          </w:r>
          <w:r>
            <w:instrText xml:space="preserve"> HYPERLINK \l "_Toc17925" </w:instrText>
          </w:r>
          <w:r>
            <w:fldChar w:fldCharType="separate"/>
          </w:r>
          <w:r>
            <w:rPr>
              <w:rFonts w:hint="eastAsia" w:ascii="仿宋" w:hAnsi="仿宋" w:eastAsia="仿宋" w:cs="仿宋"/>
              <w:b/>
              <w:spacing w:val="6"/>
              <w:sz w:val="28"/>
              <w:szCs w:val="28"/>
            </w:rPr>
            <w:t>一、</w:t>
          </w:r>
          <w:r>
            <w:rPr>
              <w:rFonts w:hint="eastAsia" w:ascii="仿宋" w:hAnsi="仿宋" w:eastAsia="仿宋" w:cs="仿宋"/>
              <w:b/>
              <w:spacing w:val="6"/>
              <w:sz w:val="28"/>
              <w:szCs w:val="28"/>
              <w:lang w:eastAsia="zh-CN"/>
            </w:rPr>
            <w:t>“</w:t>
          </w:r>
          <w:r>
            <w:rPr>
              <w:rFonts w:hint="eastAsia" w:ascii="仿宋" w:hAnsi="仿宋" w:eastAsia="仿宋" w:cs="仿宋"/>
              <w:b/>
              <w:spacing w:val="6"/>
              <w:sz w:val="28"/>
              <w:szCs w:val="28"/>
              <w:lang w:val="en-US" w:eastAsia="zh-CN"/>
            </w:rPr>
            <w:t>十三五”时期</w:t>
          </w:r>
          <w:r>
            <w:rPr>
              <w:rFonts w:hint="eastAsia" w:ascii="仿宋" w:hAnsi="仿宋" w:eastAsia="仿宋" w:cs="仿宋"/>
              <w:b/>
              <w:spacing w:val="6"/>
              <w:sz w:val="28"/>
              <w:szCs w:val="28"/>
            </w:rPr>
            <w:t>主要成就</w:t>
          </w:r>
          <w:r>
            <w:rPr>
              <w:rFonts w:hint="eastAsia" w:ascii="仿宋" w:hAnsi="仿宋" w:eastAsia="仿宋" w:cs="仿宋"/>
              <w:b/>
              <w:sz w:val="28"/>
              <w:szCs w:val="28"/>
            </w:rPr>
            <w:tab/>
          </w:r>
          <w:r>
            <w:rPr>
              <w:rFonts w:hint="eastAsia" w:ascii="仿宋" w:hAnsi="仿宋" w:eastAsia="仿宋" w:cs="仿宋"/>
              <w:b/>
              <w:sz w:val="28"/>
              <w:szCs w:val="28"/>
              <w:lang w:val="en-US" w:eastAsia="zh-CN"/>
            </w:rPr>
            <w:t>2</w:t>
          </w:r>
          <w:r>
            <w:rPr>
              <w:rFonts w:hint="eastAsia" w:ascii="仿宋" w:hAnsi="仿宋" w:eastAsia="仿宋" w:cs="仿宋"/>
              <w:b/>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"_Toc11391" </w:instrText>
          </w:r>
          <w:r>
            <w:fldChar w:fldCharType="separate"/>
          </w:r>
          <w:r>
            <w:rPr>
              <w:rFonts w:hint="eastAsia" w:ascii="仿宋" w:hAnsi="仿宋" w:eastAsia="仿宋" w:cs="仿宋"/>
              <w:spacing w:val="6"/>
              <w:sz w:val="28"/>
              <w:szCs w:val="28"/>
            </w:rPr>
            <w:t>（一）医药卫生体制改革取得新突破</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"_Toc23904" </w:instrText>
          </w:r>
          <w:r>
            <w:fldChar w:fldCharType="separate"/>
          </w:r>
          <w:r>
            <w:rPr>
              <w:rFonts w:hint="eastAsia" w:ascii="仿宋" w:hAnsi="仿宋" w:eastAsia="仿宋" w:cs="仿宋"/>
              <w:spacing w:val="6"/>
              <w:sz w:val="28"/>
              <w:szCs w:val="28"/>
            </w:rPr>
            <w:t>（二）医疗及基本公共服务水平稳步提升</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"_Toc2563" </w:instrText>
          </w:r>
          <w:r>
            <w:fldChar w:fldCharType="separate"/>
          </w:r>
          <w:r>
            <w:rPr>
              <w:rFonts w:hint="eastAsia" w:ascii="仿宋" w:hAnsi="仿宋" w:eastAsia="仿宋" w:cs="仿宋"/>
              <w:spacing w:val="6"/>
              <w:sz w:val="28"/>
              <w:szCs w:val="28"/>
            </w:rPr>
            <w:t>（三）应急处置和疾病防控能力得到提升</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"_Toc16817" </w:instrText>
          </w:r>
          <w:r>
            <w:fldChar w:fldCharType="separate"/>
          </w:r>
          <w:r>
            <w:rPr>
              <w:rFonts w:hint="eastAsia" w:ascii="仿宋" w:hAnsi="仿宋" w:eastAsia="仿宋" w:cs="仿宋"/>
              <w:spacing w:val="6"/>
              <w:sz w:val="28"/>
              <w:szCs w:val="28"/>
            </w:rPr>
            <w:t>（四）城乡居民健康服务水平持续提高</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"_Toc12177" </w:instrText>
          </w:r>
          <w:r>
            <w:fldChar w:fldCharType="separate"/>
          </w:r>
          <w:r>
            <w:rPr>
              <w:rFonts w:hint="eastAsia" w:ascii="仿宋" w:hAnsi="仿宋" w:eastAsia="仿宋" w:cs="仿宋"/>
              <w:spacing w:val="6"/>
              <w:sz w:val="28"/>
              <w:szCs w:val="28"/>
            </w:rPr>
            <w:t>（五）人口和家庭服务管理扎实推进</w:t>
          </w:r>
          <w:r>
            <w:rPr>
              <w:rFonts w:hint="eastAsia" w:ascii="仿宋" w:hAnsi="仿宋" w:eastAsia="仿宋" w:cs="仿宋"/>
              <w:sz w:val="28"/>
              <w:szCs w:val="28"/>
            </w:rPr>
            <w:tab/>
          </w:r>
          <w:r>
            <w:rPr>
              <w:rFonts w:hint="eastAsia" w:ascii="仿宋" w:hAnsi="仿宋" w:eastAsia="仿宋" w:cs="仿宋"/>
              <w:sz w:val="28"/>
              <w:szCs w:val="28"/>
              <w:lang w:val="en-US" w:eastAsia="zh-CN"/>
            </w:rPr>
            <w:t>6</w:t>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"_Toc32295" </w:instrText>
          </w:r>
          <w:r>
            <w:fldChar w:fldCharType="separate"/>
          </w:r>
          <w:r>
            <w:rPr>
              <w:rFonts w:hint="eastAsia" w:ascii="仿宋" w:hAnsi="仿宋" w:eastAsia="仿宋" w:cs="仿宋"/>
              <w:spacing w:val="6"/>
              <w:sz w:val="28"/>
              <w:szCs w:val="28"/>
            </w:rPr>
            <w:t>（六）健康产业建设发展取得新突破</w:t>
          </w:r>
          <w:r>
            <w:rPr>
              <w:rFonts w:hint="eastAsia" w:ascii="仿宋" w:hAnsi="仿宋" w:eastAsia="仿宋" w:cs="仿宋"/>
              <w:sz w:val="28"/>
              <w:szCs w:val="28"/>
            </w:rPr>
            <w:tab/>
          </w:r>
          <w:r>
            <w:rPr>
              <w:rFonts w:hint="eastAsia" w:ascii="仿宋" w:hAnsi="仿宋" w:eastAsia="仿宋" w:cs="仿宋"/>
              <w:sz w:val="28"/>
              <w:szCs w:val="28"/>
              <w:lang w:val="en-US" w:eastAsia="zh-CN"/>
            </w:rPr>
            <w:t>6</w:t>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"_Toc1269" </w:instrText>
          </w:r>
          <w:r>
            <w:fldChar w:fldCharType="separate"/>
          </w:r>
          <w:r>
            <w:rPr>
              <w:rFonts w:hint="eastAsia" w:ascii="仿宋" w:hAnsi="仿宋" w:eastAsia="仿宋" w:cs="仿宋"/>
              <w:spacing w:val="6"/>
              <w:sz w:val="28"/>
              <w:szCs w:val="28"/>
            </w:rPr>
            <w:t>（七）卫生健康发展保障能力不断增强</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sz w:val="28"/>
              <w:szCs w:val="28"/>
            </w:rPr>
            <w:fldChar w:fldCharType="end"/>
          </w:r>
        </w:p>
        <w:p>
          <w:pPr>
            <w:pStyle w:val="24"/>
            <w:tabs>
              <w:tab w:val="right" w:leader="dot" w:pos="8250"/>
            </w:tabs>
            <w:spacing w:line="360" w:lineRule="auto"/>
            <w:rPr>
              <w:rFonts w:ascii="仿宋" w:hAnsi="仿宋" w:eastAsia="仿宋" w:cs="仿宋"/>
              <w:b/>
              <w:sz w:val="28"/>
              <w:szCs w:val="28"/>
            </w:rPr>
          </w:pPr>
          <w:r>
            <w:fldChar w:fldCharType="begin"/>
          </w:r>
          <w:r>
            <w:instrText xml:space="preserve"> HYPERLINK \l "_Toc14729" </w:instrText>
          </w:r>
          <w:r>
            <w:fldChar w:fldCharType="separate"/>
          </w:r>
          <w:r>
            <w:rPr>
              <w:rFonts w:hint="eastAsia" w:ascii="仿宋" w:hAnsi="仿宋" w:eastAsia="仿宋" w:cs="仿宋"/>
              <w:b/>
              <w:spacing w:val="6"/>
              <w:sz w:val="28"/>
              <w:szCs w:val="28"/>
            </w:rPr>
            <w:t>“十四五”时期发展规划</w:t>
          </w:r>
          <w:r>
            <w:rPr>
              <w:rFonts w:hint="eastAsia" w:ascii="仿宋" w:hAnsi="仿宋" w:eastAsia="仿宋" w:cs="仿宋"/>
              <w:b/>
              <w:sz w:val="28"/>
              <w:szCs w:val="28"/>
            </w:rPr>
            <w:tab/>
          </w:r>
          <w:r>
            <w:rPr>
              <w:rFonts w:hint="eastAsia" w:ascii="仿宋" w:hAnsi="仿宋" w:eastAsia="仿宋" w:cs="仿宋"/>
              <w:b/>
              <w:sz w:val="28"/>
              <w:szCs w:val="28"/>
              <w:lang w:val="en-US" w:eastAsia="zh-CN"/>
            </w:rPr>
            <w:t>8</w:t>
          </w:r>
          <w:r>
            <w:rPr>
              <w:rFonts w:hint="eastAsia" w:ascii="仿宋" w:hAnsi="仿宋" w:eastAsia="仿宋" w:cs="仿宋"/>
              <w:b/>
              <w:sz w:val="28"/>
              <w:szCs w:val="28"/>
            </w:rPr>
            <w:fldChar w:fldCharType="end"/>
          </w:r>
        </w:p>
        <w:p>
          <w:pPr>
            <w:pStyle w:val="24"/>
            <w:tabs>
              <w:tab w:val="right" w:leader="dot" w:pos="8250"/>
            </w:tabs>
            <w:spacing w:line="360" w:lineRule="auto"/>
            <w:rPr>
              <w:rFonts w:ascii="仿宋" w:hAnsi="仿宋" w:eastAsia="仿宋" w:cs="仿宋"/>
              <w:b/>
              <w:sz w:val="28"/>
              <w:szCs w:val="28"/>
            </w:rPr>
          </w:pPr>
          <w:r>
            <w:fldChar w:fldCharType="begin"/>
          </w:r>
          <w:r>
            <w:instrText xml:space="preserve"> HYPERLINK \l "_Toc31379" </w:instrText>
          </w:r>
          <w:r>
            <w:fldChar w:fldCharType="separate"/>
          </w:r>
          <w:r>
            <w:rPr>
              <w:rFonts w:hint="eastAsia" w:ascii="仿宋" w:hAnsi="仿宋" w:eastAsia="仿宋" w:cs="仿宋"/>
              <w:b/>
              <w:spacing w:val="6"/>
              <w:sz w:val="28"/>
              <w:szCs w:val="28"/>
            </w:rPr>
            <w:t>第一章 发展面临的机遇与挑战</w:t>
          </w:r>
          <w:r>
            <w:rPr>
              <w:rFonts w:hint="eastAsia" w:ascii="仿宋" w:hAnsi="仿宋" w:eastAsia="仿宋" w:cs="仿宋"/>
              <w:b/>
              <w:sz w:val="28"/>
              <w:szCs w:val="28"/>
            </w:rPr>
            <w:tab/>
          </w:r>
          <w:r>
            <w:rPr>
              <w:rFonts w:hint="eastAsia" w:ascii="仿宋" w:hAnsi="仿宋" w:eastAsia="仿宋" w:cs="仿宋"/>
              <w:b/>
              <w:sz w:val="28"/>
              <w:szCs w:val="28"/>
              <w:lang w:val="en-US" w:eastAsia="zh-CN"/>
            </w:rPr>
            <w:t>8</w:t>
          </w:r>
          <w:r>
            <w:rPr>
              <w:rFonts w:hint="eastAsia" w:ascii="仿宋" w:hAnsi="仿宋" w:eastAsia="仿宋" w:cs="仿宋"/>
              <w:b/>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"_Toc18337" </w:instrText>
          </w:r>
          <w:r>
            <w:fldChar w:fldCharType="separate"/>
          </w:r>
          <w:r>
            <w:rPr>
              <w:rFonts w:hint="eastAsia" w:ascii="仿宋" w:hAnsi="仿宋" w:eastAsia="仿宋" w:cs="仿宋"/>
              <w:spacing w:val="6"/>
              <w:sz w:val="28"/>
              <w:szCs w:val="28"/>
            </w:rPr>
            <w:t>一、面临的机遇</w:t>
          </w:r>
          <w:r>
            <w:rPr>
              <w:rFonts w:hint="eastAsia" w:ascii="仿宋" w:hAnsi="仿宋" w:eastAsia="仿宋" w:cs="仿宋"/>
              <w:sz w:val="28"/>
              <w:szCs w:val="28"/>
            </w:rPr>
            <w:tab/>
          </w:r>
          <w:r>
            <w:rPr>
              <w:rFonts w:hint="eastAsia" w:ascii="仿宋" w:hAnsi="仿宋" w:eastAsia="仿宋" w:cs="仿宋"/>
              <w:sz w:val="28"/>
              <w:szCs w:val="28"/>
              <w:lang w:val="en-US" w:eastAsia="zh-CN"/>
            </w:rPr>
            <w:t>8</w:t>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"_Toc25249" </w:instrText>
          </w:r>
          <w:r>
            <w:fldChar w:fldCharType="separate"/>
          </w:r>
          <w:r>
            <w:rPr>
              <w:rFonts w:hint="eastAsia" w:ascii="仿宋" w:hAnsi="仿宋" w:eastAsia="仿宋" w:cs="仿宋"/>
              <w:spacing w:val="6"/>
              <w:sz w:val="28"/>
              <w:szCs w:val="28"/>
            </w:rPr>
            <w:t>二、面临的挑战</w:t>
          </w:r>
          <w:r>
            <w:rPr>
              <w:rFonts w:hint="eastAsia" w:ascii="仿宋" w:hAnsi="仿宋" w:eastAsia="仿宋" w:cs="仿宋"/>
              <w:sz w:val="28"/>
              <w:szCs w:val="28"/>
            </w:rPr>
            <w:tab/>
          </w:r>
          <w:r>
            <w:rPr>
              <w:rFonts w:hint="eastAsia" w:ascii="仿宋" w:hAnsi="仿宋" w:eastAsia="仿宋" w:cs="仿宋"/>
              <w:sz w:val="28"/>
              <w:szCs w:val="28"/>
              <w:lang w:val="en-US" w:eastAsia="zh-CN"/>
            </w:rPr>
            <w:t>9</w:t>
          </w:r>
          <w:r>
            <w:rPr>
              <w:rFonts w:hint="eastAsia" w:ascii="仿宋" w:hAnsi="仿宋" w:eastAsia="仿宋" w:cs="仿宋"/>
              <w:sz w:val="28"/>
              <w:szCs w:val="28"/>
            </w:rPr>
            <w:fldChar w:fldCharType="end"/>
          </w:r>
        </w:p>
        <w:p>
          <w:pPr>
            <w:pStyle w:val="24"/>
            <w:tabs>
              <w:tab w:val="right" w:leader="dot" w:pos="8250"/>
            </w:tabs>
            <w:spacing w:line="360" w:lineRule="auto"/>
            <w:rPr>
              <w:rFonts w:hint="eastAsia" w:ascii="仿宋" w:hAnsi="仿宋" w:eastAsia="仿宋" w:cs="仿宋"/>
              <w:b/>
              <w:sz w:val="28"/>
              <w:szCs w:val="28"/>
              <w:lang w:val="en-US" w:eastAsia="zh-CN"/>
            </w:rPr>
          </w:pPr>
          <w:r>
            <w:fldChar w:fldCharType="begin"/>
          </w:r>
          <w:r>
            <w:instrText xml:space="preserve"> HYPERLINK \l "_Toc13077" </w:instrText>
          </w:r>
          <w:r>
            <w:fldChar w:fldCharType="separate"/>
          </w:r>
          <w:r>
            <w:rPr>
              <w:rFonts w:hint="eastAsia" w:ascii="仿宋" w:hAnsi="仿宋" w:eastAsia="仿宋" w:cs="仿宋"/>
              <w:b/>
              <w:spacing w:val="6"/>
              <w:sz w:val="28"/>
              <w:szCs w:val="28"/>
            </w:rPr>
            <w:t>第二章 规划背景、规划依据和原则</w:t>
          </w:r>
          <w:r>
            <w:rPr>
              <w:rFonts w:hint="eastAsia" w:ascii="仿宋" w:hAnsi="仿宋" w:eastAsia="仿宋" w:cs="仿宋"/>
              <w:b/>
              <w:sz w:val="28"/>
              <w:szCs w:val="28"/>
            </w:rPr>
            <w:tab/>
          </w:r>
          <w:r>
            <w:rPr>
              <w:rFonts w:hint="eastAsia" w:ascii="仿宋" w:hAnsi="仿宋" w:eastAsia="仿宋" w:cs="仿宋"/>
              <w:b/>
              <w:sz w:val="28"/>
              <w:szCs w:val="28"/>
              <w:lang w:val="en-US" w:eastAsia="zh-CN"/>
            </w:rPr>
            <w:t>1</w:t>
          </w:r>
          <w:r>
            <w:rPr>
              <w:rFonts w:hint="eastAsia" w:ascii="仿宋" w:hAnsi="仿宋" w:eastAsia="仿宋" w:cs="仿宋"/>
              <w:b/>
              <w:sz w:val="28"/>
              <w:szCs w:val="28"/>
            </w:rPr>
            <w:fldChar w:fldCharType="end"/>
          </w:r>
          <w:r>
            <w:rPr>
              <w:rFonts w:hint="eastAsia" w:ascii="仿宋" w:hAnsi="仿宋" w:eastAsia="仿宋" w:cs="仿宋"/>
              <w:b/>
              <w:sz w:val="28"/>
              <w:szCs w:val="28"/>
              <w:lang w:val="en-US" w:eastAsia="zh-CN"/>
            </w:rPr>
            <w:t>1</w:t>
          </w:r>
        </w:p>
        <w:p>
          <w:pPr>
            <w:pStyle w:val="25"/>
            <w:tabs>
              <w:tab w:val="right" w:leader="dot" w:pos="8250"/>
            </w:tabs>
            <w:spacing w:line="360" w:lineRule="auto"/>
            <w:ind w:left="420"/>
            <w:rPr>
              <w:rFonts w:hint="eastAsia" w:ascii="仿宋" w:hAnsi="仿宋" w:eastAsia="仿宋" w:cs="仿宋"/>
              <w:sz w:val="28"/>
              <w:szCs w:val="28"/>
              <w:lang w:val="en-US" w:eastAsia="zh-CN"/>
            </w:rPr>
          </w:pPr>
          <w:r>
            <w:fldChar w:fldCharType="begin"/>
          </w:r>
          <w:r>
            <w:instrText xml:space="preserve"> HYPERLINK \l "_Toc9614" </w:instrText>
          </w:r>
          <w:r>
            <w:fldChar w:fldCharType="separate"/>
          </w:r>
          <w:r>
            <w:rPr>
              <w:rFonts w:hint="eastAsia" w:ascii="仿宋" w:hAnsi="仿宋" w:eastAsia="仿宋" w:cs="仿宋"/>
              <w:spacing w:val="6"/>
              <w:sz w:val="28"/>
              <w:szCs w:val="28"/>
            </w:rPr>
            <w:t>一、规划背景</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1</w:t>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"_Toc2585" </w:instrText>
          </w:r>
          <w:r>
            <w:fldChar w:fldCharType="separate"/>
          </w:r>
          <w:r>
            <w:rPr>
              <w:rFonts w:hint="eastAsia" w:ascii="仿宋" w:hAnsi="仿宋" w:eastAsia="仿宋" w:cs="仿宋"/>
              <w:spacing w:val="6"/>
              <w:sz w:val="28"/>
              <w:szCs w:val="28"/>
            </w:rPr>
            <w:t>二、规划依据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_Toc2585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"_Toc12869" </w:instrText>
          </w:r>
          <w:r>
            <w:fldChar w:fldCharType="separate"/>
          </w:r>
          <w:r>
            <w:rPr>
              <w:rFonts w:hint="eastAsia" w:ascii="仿宋" w:hAnsi="仿宋" w:eastAsia="仿宋" w:cs="仿宋"/>
              <w:spacing w:val="6"/>
              <w:sz w:val="28"/>
              <w:szCs w:val="28"/>
            </w:rPr>
            <w:t>三、规划原则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_Toc12869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250"/>
            </w:tabs>
            <w:spacing w:line="360" w:lineRule="auto"/>
            <w:rPr>
              <w:rFonts w:ascii="仿宋" w:hAnsi="仿宋" w:eastAsia="仿宋" w:cs="仿宋"/>
              <w:b/>
              <w:sz w:val="28"/>
              <w:szCs w:val="28"/>
            </w:rPr>
          </w:pPr>
          <w:r>
            <w:fldChar w:fldCharType="begin"/>
          </w:r>
          <w:r>
            <w:instrText xml:space="preserve"> HYPERLINK \l "_Toc23373" </w:instrText>
          </w:r>
          <w:r>
            <w:fldChar w:fldCharType="separate"/>
          </w:r>
          <w:r>
            <w:rPr>
              <w:rFonts w:hint="eastAsia" w:ascii="仿宋" w:hAnsi="仿宋" w:eastAsia="仿宋" w:cs="仿宋"/>
              <w:b/>
              <w:spacing w:val="6"/>
              <w:sz w:val="28"/>
              <w:szCs w:val="28"/>
            </w:rPr>
            <w:t>第三章 规划指导思想和发展目标</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_Toc23373 </w:instrText>
          </w:r>
          <w:r>
            <w:rPr>
              <w:rFonts w:hint="eastAsia" w:ascii="仿宋" w:hAnsi="仿宋" w:eastAsia="仿宋" w:cs="仿宋"/>
              <w:b/>
              <w:sz w:val="28"/>
              <w:szCs w:val="28"/>
            </w:rPr>
            <w:fldChar w:fldCharType="separate"/>
          </w:r>
          <w:r>
            <w:rPr>
              <w:rFonts w:ascii="仿宋" w:hAnsi="仿宋" w:eastAsia="仿宋" w:cs="仿宋"/>
              <w:b/>
              <w:sz w:val="28"/>
              <w:szCs w:val="28"/>
            </w:rPr>
            <w:t>1</w:t>
          </w:r>
          <w:r>
            <w:rPr>
              <w:rFonts w:hint="eastAsia" w:ascii="仿宋" w:hAnsi="仿宋" w:eastAsia="仿宋" w:cs="仿宋"/>
              <w:b/>
              <w:sz w:val="28"/>
              <w:szCs w:val="28"/>
              <w:lang w:val="en-US" w:eastAsia="zh-CN"/>
            </w:rPr>
            <w:t>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"_Toc21184" </w:instrText>
          </w:r>
          <w:r>
            <w:fldChar w:fldCharType="separate"/>
          </w:r>
          <w:r>
            <w:rPr>
              <w:rFonts w:hint="eastAsia" w:ascii="仿宋" w:hAnsi="仿宋" w:eastAsia="仿宋" w:cs="仿宋"/>
              <w:spacing w:val="6"/>
              <w:sz w:val="28"/>
              <w:szCs w:val="28"/>
            </w:rPr>
            <w:t>一、指导思想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_Toc21184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"_Toc20274" </w:instrText>
          </w:r>
          <w:r>
            <w:fldChar w:fldCharType="separate"/>
          </w:r>
          <w:r>
            <w:rPr>
              <w:rFonts w:hint="eastAsia" w:ascii="仿宋" w:hAnsi="仿宋" w:eastAsia="仿宋" w:cs="仿宋"/>
              <w:spacing w:val="6"/>
              <w:sz w:val="28"/>
              <w:szCs w:val="28"/>
            </w:rPr>
            <w:t>二、发展目标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_Toc20274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4"/>
            <w:tabs>
              <w:tab w:val="right" w:leader="dot" w:pos="8250"/>
            </w:tabs>
            <w:spacing w:line="360" w:lineRule="auto"/>
            <w:rPr>
              <w:rFonts w:ascii="仿宋" w:hAnsi="仿宋" w:eastAsia="仿宋" w:cs="仿宋"/>
              <w:b/>
              <w:sz w:val="28"/>
              <w:szCs w:val="28"/>
            </w:rPr>
          </w:pPr>
          <w:r>
            <w:fldChar w:fldCharType="begin"/>
          </w:r>
          <w:r>
            <w:instrText xml:space="preserve"> HYPERLINK \l "_Toc16936" </w:instrText>
          </w:r>
          <w:r>
            <w:fldChar w:fldCharType="separate"/>
          </w:r>
          <w:r>
            <w:rPr>
              <w:rFonts w:hint="eastAsia" w:ascii="仿宋" w:hAnsi="仿宋" w:eastAsia="仿宋" w:cs="仿宋"/>
              <w:b/>
              <w:spacing w:val="6"/>
              <w:sz w:val="28"/>
              <w:szCs w:val="28"/>
            </w:rPr>
            <w:t>第四章 开启新时代卫生健康新局面发展任务</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_Toc16936 </w:instrText>
          </w:r>
          <w:r>
            <w:rPr>
              <w:rFonts w:hint="eastAsia" w:ascii="仿宋" w:hAnsi="仿宋" w:eastAsia="仿宋" w:cs="仿宋"/>
              <w:b/>
              <w:sz w:val="28"/>
              <w:szCs w:val="28"/>
            </w:rPr>
            <w:fldChar w:fldCharType="separate"/>
          </w:r>
          <w:r>
            <w:rPr>
              <w:rFonts w:ascii="仿宋" w:hAnsi="仿宋" w:eastAsia="仿宋" w:cs="仿宋"/>
              <w:b/>
              <w:sz w:val="28"/>
              <w:szCs w:val="28"/>
            </w:rPr>
            <w:t>1</w:t>
          </w:r>
          <w:r>
            <w:rPr>
              <w:rFonts w:hint="eastAsia" w:ascii="仿宋" w:hAnsi="仿宋" w:eastAsia="仿宋" w:cs="仿宋"/>
              <w:b/>
              <w:sz w:val="28"/>
              <w:szCs w:val="28"/>
              <w:lang w:val="en-US" w:eastAsia="zh-CN"/>
            </w:rPr>
            <w:t>7</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"_Toc15959" </w:instrText>
          </w:r>
          <w:r>
            <w:fldChar w:fldCharType="separate"/>
          </w:r>
          <w:r>
            <w:rPr>
              <w:rFonts w:hint="eastAsia" w:ascii="仿宋" w:hAnsi="仿宋" w:eastAsia="仿宋" w:cs="仿宋"/>
              <w:spacing w:val="6"/>
              <w:sz w:val="28"/>
              <w:szCs w:val="28"/>
            </w:rPr>
            <w:t>一、筑牢公共卫生体系，加强疾病防控救治能力建设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_Toc15959 </w:instrText>
          </w:r>
          <w:r>
            <w:rPr>
              <w:rFonts w:hint="eastAsia" w:ascii="仿宋" w:hAnsi="仿宋" w:eastAsia="仿宋" w:cs="仿宋"/>
              <w:sz w:val="28"/>
              <w:szCs w:val="28"/>
            </w:rPr>
            <w:fldChar w:fldCharType="separate"/>
          </w:r>
          <w:r>
            <w:rPr>
              <w:rFonts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4"/>
              <w:szCs w:val="24"/>
            </w:rPr>
          </w:pPr>
          <w:r>
            <w:fldChar w:fldCharType="begin"/>
          </w:r>
          <w:r>
            <w:instrText xml:space="preserve"> HYPERLINK \l "_Toc12767" </w:instrText>
          </w:r>
          <w:r>
            <w:fldChar w:fldCharType="separate"/>
          </w:r>
          <w:r>
            <w:rPr>
              <w:rFonts w:hint="eastAsia" w:ascii="仿宋" w:hAnsi="仿宋" w:eastAsia="仿宋" w:cs="仿宋"/>
              <w:spacing w:val="6"/>
              <w:sz w:val="24"/>
              <w:szCs w:val="24"/>
            </w:rPr>
            <w:t>二、“夯实基层医防网底”，加大基本公共卫生服务体系建设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_Toc12767 </w:instrText>
          </w:r>
          <w:r>
            <w:rPr>
              <w:rFonts w:hint="eastAsia" w:ascii="仿宋" w:hAnsi="仿宋" w:eastAsia="仿宋" w:cs="仿宋"/>
              <w:sz w:val="24"/>
              <w:szCs w:val="24"/>
            </w:rPr>
            <w:fldChar w:fldCharType="separate"/>
          </w:r>
          <w:r>
            <w:rPr>
              <w:rFonts w:ascii="仿宋" w:hAnsi="仿宋" w:eastAsia="仿宋" w:cs="仿宋"/>
              <w:sz w:val="24"/>
              <w:szCs w:val="24"/>
            </w:rPr>
            <w:t>2</w:t>
          </w:r>
          <w:r>
            <w:rPr>
              <w:rFonts w:hint="eastAsia" w:ascii="仿宋" w:hAnsi="仿宋" w:eastAsia="仿宋" w:cs="仿宋"/>
              <w:sz w:val="24"/>
              <w:szCs w:val="24"/>
              <w:lang w:val="en-US" w:eastAsia="zh-CN"/>
            </w:rPr>
            <w:t>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5"/>
            <w:tabs>
              <w:tab w:val="right" w:leader="dot" w:pos="8250"/>
            </w:tabs>
            <w:spacing w:line="360" w:lineRule="auto"/>
            <w:ind w:left="420"/>
            <w:rPr>
              <w:rFonts w:ascii="仿宋" w:hAnsi="仿宋" w:eastAsia="仿宋" w:cs="仿宋"/>
              <w:sz w:val="24"/>
              <w:szCs w:val="24"/>
            </w:rPr>
          </w:pPr>
          <w:r>
            <w:fldChar w:fldCharType="begin"/>
          </w:r>
          <w:r>
            <w:instrText xml:space="preserve"> HYPERLINK \l "_Toc26962" </w:instrText>
          </w:r>
          <w:r>
            <w:fldChar w:fldCharType="separate"/>
          </w:r>
          <w:r>
            <w:rPr>
              <w:rFonts w:hint="eastAsia" w:ascii="仿宋" w:hAnsi="仿宋" w:eastAsia="仿宋" w:cs="仿宋"/>
              <w:spacing w:val="6"/>
              <w:sz w:val="24"/>
              <w:szCs w:val="24"/>
            </w:rPr>
            <w:t>三、 加强生命周期管理，加强妇幼卫生保健和计生体系服务建设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_Toc26962 </w:instrText>
          </w:r>
          <w:r>
            <w:rPr>
              <w:rFonts w:hint="eastAsia" w:ascii="仿宋" w:hAnsi="仿宋" w:eastAsia="仿宋" w:cs="仿宋"/>
              <w:sz w:val="24"/>
              <w:szCs w:val="24"/>
            </w:rPr>
            <w:fldChar w:fldCharType="separate"/>
          </w:r>
          <w:r>
            <w:rPr>
              <w:rFonts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"_Toc8286" </w:instrText>
          </w:r>
          <w:r>
            <w:fldChar w:fldCharType="separate"/>
          </w:r>
          <w:r>
            <w:rPr>
              <w:rFonts w:hint="eastAsia" w:ascii="仿宋" w:hAnsi="仿宋" w:eastAsia="仿宋" w:cs="仿宋"/>
              <w:spacing w:val="6"/>
              <w:sz w:val="28"/>
              <w:szCs w:val="28"/>
            </w:rPr>
            <w:t>四、优化医疗资源配置，提升医疗能力及服务水平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_Toc8286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"_Toc2639" </w:instrText>
          </w:r>
          <w:r>
            <w:fldChar w:fldCharType="separate"/>
          </w:r>
          <w:r>
            <w:rPr>
              <w:rFonts w:hint="eastAsia" w:ascii="仿宋" w:hAnsi="仿宋" w:eastAsia="仿宋" w:cs="仿宋"/>
              <w:spacing w:val="6"/>
              <w:sz w:val="28"/>
              <w:szCs w:val="28"/>
            </w:rPr>
            <w:t>五、增加医疗服务供给，推进中医药事业新发展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_Toc2639 </w:instrText>
          </w:r>
          <w:r>
            <w:rPr>
              <w:rFonts w:hint="eastAsia" w:ascii="仿宋" w:hAnsi="仿宋" w:eastAsia="仿宋" w:cs="仿宋"/>
              <w:sz w:val="28"/>
              <w:szCs w:val="28"/>
            </w:rPr>
            <w:fldChar w:fldCharType="separate"/>
          </w:r>
          <w:r>
            <w:rPr>
              <w:rFonts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"_Toc23609" </w:instrText>
          </w:r>
          <w:r>
            <w:fldChar w:fldCharType="separate"/>
          </w:r>
          <w:r>
            <w:rPr>
              <w:rFonts w:hint="eastAsia" w:ascii="仿宋" w:hAnsi="仿宋" w:eastAsia="仿宋" w:cs="仿宋"/>
              <w:spacing w:val="6"/>
              <w:sz w:val="28"/>
              <w:szCs w:val="28"/>
            </w:rPr>
            <w:t>六、推动爱国卫生运动与健康促进</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_Toc23609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lang w:val="en-US" w:eastAsia="zh-CN"/>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"_Toc3738" </w:instrText>
          </w:r>
          <w:r>
            <w:fldChar w:fldCharType="separate"/>
          </w:r>
          <w:r>
            <w:rPr>
              <w:rFonts w:hint="eastAsia" w:ascii="仿宋" w:hAnsi="仿宋" w:eastAsia="仿宋" w:cs="仿宋"/>
              <w:spacing w:val="6"/>
              <w:sz w:val="28"/>
              <w:szCs w:val="28"/>
            </w:rPr>
            <w:t>七、推进医诊创新应用，发展互联网+医疗健康模式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_Toc3738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lang w:val="en-US" w:eastAsia="zh-CN"/>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"_Toc15137" </w:instrText>
          </w:r>
          <w:r>
            <w:fldChar w:fldCharType="separate"/>
          </w:r>
          <w:r>
            <w:rPr>
              <w:rFonts w:hint="eastAsia" w:ascii="仿宋" w:hAnsi="仿宋" w:eastAsia="仿宋" w:cs="仿宋"/>
              <w:spacing w:val="6"/>
              <w:sz w:val="28"/>
              <w:szCs w:val="28"/>
            </w:rPr>
            <w:t>八、推进健康服务新模式,加快康养产业新发展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_Toc15137 </w:instrText>
          </w:r>
          <w:r>
            <w:rPr>
              <w:rFonts w:hint="eastAsia" w:ascii="仿宋" w:hAnsi="仿宋" w:eastAsia="仿宋" w:cs="仿宋"/>
              <w:sz w:val="28"/>
              <w:szCs w:val="28"/>
            </w:rPr>
            <w:fldChar w:fldCharType="separate"/>
          </w:r>
          <w:r>
            <w:rPr>
              <w:rFonts w:ascii="仿宋" w:hAnsi="仿宋" w:eastAsia="仿宋" w:cs="仿宋"/>
              <w:sz w:val="28"/>
              <w:szCs w:val="28"/>
            </w:rPr>
            <w:t>2</w:t>
          </w:r>
          <w:r>
            <w:rPr>
              <w:rFonts w:hint="eastAsia" w:ascii="仿宋" w:hAnsi="仿宋" w:eastAsia="仿宋" w:cs="仿宋"/>
              <w:sz w:val="28"/>
              <w:szCs w:val="28"/>
              <w:lang w:val="en-US" w:eastAsia="zh-CN"/>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hint="eastAsia" w:ascii="仿宋" w:hAnsi="仿宋" w:eastAsia="仿宋" w:cs="仿宋"/>
              <w:sz w:val="28"/>
              <w:szCs w:val="28"/>
              <w:lang w:val="en-US" w:eastAsia="zh-CN"/>
            </w:rPr>
          </w:pPr>
          <w:r>
            <w:fldChar w:fldCharType="begin"/>
          </w:r>
          <w:r>
            <w:instrText xml:space="preserve"> HYPERLINK \l "_Toc21258" </w:instrText>
          </w:r>
          <w:r>
            <w:fldChar w:fldCharType="separate"/>
          </w:r>
          <w:r>
            <w:rPr>
              <w:rFonts w:hint="eastAsia" w:ascii="仿宋" w:hAnsi="仿宋" w:eastAsia="仿宋" w:cs="仿宋"/>
              <w:spacing w:val="6"/>
              <w:sz w:val="28"/>
              <w:szCs w:val="28"/>
            </w:rPr>
            <w:t>九、提升防治支撑能力，加强人才队伍建设</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9</w:t>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"_Toc2452" </w:instrText>
          </w:r>
          <w:r>
            <w:fldChar w:fldCharType="separate"/>
          </w:r>
          <w:r>
            <w:rPr>
              <w:rFonts w:hint="eastAsia" w:ascii="仿宋" w:hAnsi="仿宋" w:eastAsia="仿宋" w:cs="仿宋"/>
              <w:spacing w:val="6"/>
              <w:sz w:val="28"/>
              <w:szCs w:val="28"/>
            </w:rPr>
            <w:t>十、加强综合监督和保障机制建立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_Toc2452 </w:instrText>
          </w:r>
          <w:r>
            <w:rPr>
              <w:rFonts w:hint="eastAsia" w:ascii="仿宋" w:hAnsi="仿宋" w:eastAsia="仿宋" w:cs="仿宋"/>
              <w:sz w:val="28"/>
              <w:szCs w:val="28"/>
            </w:rPr>
            <w:fldChar w:fldCharType="separate"/>
          </w:r>
          <w:r>
            <w:rPr>
              <w:rFonts w:ascii="仿宋" w:hAnsi="仿宋" w:eastAsia="仿宋" w:cs="仿宋"/>
              <w:sz w:val="28"/>
              <w:szCs w:val="28"/>
            </w:rPr>
            <w:t>3</w:t>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hint="eastAsia" w:ascii="仿宋" w:hAnsi="仿宋" w:eastAsia="仿宋" w:cs="仿宋"/>
              <w:sz w:val="28"/>
              <w:szCs w:val="28"/>
              <w:lang w:val="en-US" w:eastAsia="zh-CN"/>
            </w:rPr>
          </w:pPr>
          <w:r>
            <w:fldChar w:fldCharType="begin"/>
          </w:r>
          <w:r>
            <w:instrText xml:space="preserve"> HYPERLINK \l "_Toc20883" </w:instrText>
          </w:r>
          <w:r>
            <w:fldChar w:fldCharType="separate"/>
          </w:r>
          <w:r>
            <w:rPr>
              <w:rFonts w:hint="eastAsia" w:ascii="仿宋" w:hAnsi="仿宋" w:eastAsia="仿宋" w:cs="仿宋"/>
              <w:spacing w:val="6"/>
              <w:sz w:val="28"/>
              <w:szCs w:val="28"/>
            </w:rPr>
            <w:t>十一、深化医改新挑战，持续推进紧密型医共体建设</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24"/>
            <w:tabs>
              <w:tab w:val="right" w:leader="dot" w:pos="8250"/>
            </w:tabs>
            <w:spacing w:line="360" w:lineRule="auto"/>
            <w:rPr>
              <w:rFonts w:ascii="仿宋" w:hAnsi="仿宋" w:eastAsia="仿宋" w:cs="仿宋"/>
              <w:b/>
              <w:sz w:val="28"/>
              <w:szCs w:val="28"/>
            </w:rPr>
          </w:pPr>
          <w:r>
            <w:fldChar w:fldCharType="begin"/>
          </w:r>
          <w:r>
            <w:instrText xml:space="preserve"> HYPERLINK \l "_Toc17268" </w:instrText>
          </w:r>
          <w:r>
            <w:fldChar w:fldCharType="separate"/>
          </w:r>
          <w:r>
            <w:rPr>
              <w:rFonts w:hint="eastAsia" w:ascii="仿宋" w:hAnsi="仿宋" w:eastAsia="仿宋" w:cs="仿宋"/>
              <w:b/>
              <w:spacing w:val="6"/>
              <w:sz w:val="28"/>
              <w:szCs w:val="28"/>
            </w:rPr>
            <w:t>第五章 规划保障</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_Toc17268 </w:instrText>
          </w:r>
          <w:r>
            <w:rPr>
              <w:rFonts w:hint="eastAsia" w:ascii="仿宋" w:hAnsi="仿宋" w:eastAsia="仿宋" w:cs="仿宋"/>
              <w:b/>
              <w:sz w:val="28"/>
              <w:szCs w:val="28"/>
            </w:rPr>
            <w:fldChar w:fldCharType="separate"/>
          </w:r>
          <w:r>
            <w:rPr>
              <w:rFonts w:ascii="仿宋" w:hAnsi="仿宋" w:eastAsia="仿宋" w:cs="仿宋"/>
              <w:b/>
              <w:sz w:val="28"/>
              <w:szCs w:val="28"/>
            </w:rPr>
            <w:t>34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25"/>
            <w:tabs>
              <w:tab w:val="right" w:leader="dot" w:pos="8250"/>
            </w:tabs>
            <w:spacing w:line="360" w:lineRule="auto"/>
            <w:ind w:left="420"/>
            <w:rPr>
              <w:rFonts w:hint="eastAsia" w:ascii="仿宋" w:hAnsi="仿宋" w:eastAsia="仿宋" w:cs="仿宋"/>
              <w:sz w:val="28"/>
              <w:szCs w:val="28"/>
              <w:lang w:val="en-US" w:eastAsia="zh-CN"/>
            </w:rPr>
          </w:pPr>
          <w:r>
            <w:fldChar w:fldCharType="begin"/>
          </w:r>
          <w:r>
            <w:instrText xml:space="preserve"> HYPERLINK \l "_Toc10792" </w:instrText>
          </w:r>
          <w:r>
            <w:fldChar w:fldCharType="separate"/>
          </w:r>
          <w:r>
            <w:rPr>
              <w:rFonts w:hint="eastAsia" w:ascii="仿宋" w:hAnsi="仿宋" w:eastAsia="仿宋" w:cs="仿宋"/>
              <w:spacing w:val="6"/>
              <w:sz w:val="28"/>
              <w:szCs w:val="28"/>
            </w:rPr>
            <w:t>一、加强组织领导</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5</w:t>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"_Toc18939" </w:instrText>
          </w:r>
          <w:r>
            <w:fldChar w:fldCharType="separate"/>
          </w:r>
          <w:r>
            <w:rPr>
              <w:rFonts w:hint="eastAsia" w:ascii="仿宋" w:hAnsi="仿宋" w:eastAsia="仿宋" w:cs="仿宋"/>
              <w:spacing w:val="6"/>
              <w:sz w:val="28"/>
              <w:szCs w:val="28"/>
            </w:rPr>
            <w:t>二、加强部门协调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_Toc18939 </w:instrText>
          </w:r>
          <w:r>
            <w:rPr>
              <w:rFonts w:hint="eastAsia" w:ascii="仿宋" w:hAnsi="仿宋" w:eastAsia="仿宋" w:cs="仿宋"/>
              <w:sz w:val="28"/>
              <w:szCs w:val="28"/>
            </w:rPr>
            <w:fldChar w:fldCharType="separate"/>
          </w:r>
          <w:r>
            <w:rPr>
              <w:rFonts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"_Toc29588" </w:instrText>
          </w:r>
          <w:r>
            <w:fldChar w:fldCharType="separate"/>
          </w:r>
          <w:r>
            <w:rPr>
              <w:rFonts w:hint="eastAsia" w:ascii="仿宋" w:hAnsi="仿宋" w:eastAsia="仿宋" w:cs="仿宋"/>
              <w:spacing w:val="6"/>
              <w:sz w:val="28"/>
              <w:szCs w:val="28"/>
            </w:rPr>
            <w:t>三、完善投入机制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_Toc29588 </w:instrText>
          </w:r>
          <w:r>
            <w:rPr>
              <w:rFonts w:hint="eastAsia" w:ascii="仿宋" w:hAnsi="仿宋" w:eastAsia="仿宋" w:cs="仿宋"/>
              <w:sz w:val="28"/>
              <w:szCs w:val="28"/>
            </w:rPr>
            <w:fldChar w:fldCharType="separate"/>
          </w:r>
          <w:r>
            <w:rPr>
              <w:rFonts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ascii="仿宋" w:hAnsi="仿宋" w:eastAsia="仿宋" w:cs="仿宋"/>
              <w:sz w:val="28"/>
              <w:szCs w:val="28"/>
            </w:rPr>
          </w:pPr>
          <w:r>
            <w:fldChar w:fldCharType="begin"/>
          </w:r>
          <w:r>
            <w:instrText xml:space="preserve"> HYPERLINK \l "_Toc25086" </w:instrText>
          </w:r>
          <w:r>
            <w:fldChar w:fldCharType="separate"/>
          </w:r>
          <w:r>
            <w:rPr>
              <w:rFonts w:hint="eastAsia" w:ascii="仿宋" w:hAnsi="仿宋" w:eastAsia="仿宋" w:cs="仿宋"/>
              <w:spacing w:val="6"/>
              <w:sz w:val="28"/>
              <w:szCs w:val="28"/>
            </w:rPr>
            <w:t>四、加强监测评估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_Toc25086 </w:instrText>
          </w:r>
          <w:r>
            <w:rPr>
              <w:rFonts w:hint="eastAsia" w:ascii="仿宋" w:hAnsi="仿宋" w:eastAsia="仿宋" w:cs="仿宋"/>
              <w:sz w:val="28"/>
              <w:szCs w:val="28"/>
            </w:rPr>
            <w:fldChar w:fldCharType="separate"/>
          </w:r>
          <w:r>
            <w:rPr>
              <w:rFonts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250"/>
            </w:tabs>
            <w:spacing w:line="360" w:lineRule="auto"/>
            <w:ind w:left="420"/>
            <w:rPr>
              <w:rFonts w:hint="eastAsia" w:ascii="仿宋" w:hAnsi="仿宋" w:eastAsia="仿宋" w:cs="仿宋"/>
              <w:sz w:val="28"/>
              <w:szCs w:val="28"/>
              <w:lang w:val="en-US" w:eastAsia="zh-CN"/>
            </w:rPr>
          </w:pPr>
          <w:r>
            <w:fldChar w:fldCharType="begin"/>
          </w:r>
          <w:r>
            <w:instrText xml:space="preserve"> HYPERLINK \l "_Toc30284" </w:instrText>
          </w:r>
          <w:r>
            <w:fldChar w:fldCharType="separate"/>
          </w:r>
          <w:r>
            <w:rPr>
              <w:rFonts w:hint="eastAsia" w:ascii="仿宋" w:hAnsi="仿宋" w:eastAsia="仿宋" w:cs="仿宋"/>
              <w:spacing w:val="6"/>
              <w:sz w:val="28"/>
              <w:szCs w:val="28"/>
            </w:rPr>
            <w:t>五、加强环境营造</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_Toc30284 </w:instrText>
          </w:r>
          <w:r>
            <w:rPr>
              <w:rFonts w:hint="eastAsia" w:ascii="仿宋" w:hAnsi="仿宋" w:eastAsia="仿宋" w:cs="仿宋"/>
              <w:sz w:val="28"/>
              <w:szCs w:val="28"/>
            </w:rPr>
            <w:fldChar w:fldCharType="separate"/>
          </w:r>
          <w:r>
            <w:rPr>
              <w:rFonts w:ascii="仿宋" w:hAnsi="仿宋" w:eastAsia="仿宋" w:cs="仿宋"/>
              <w:sz w:val="28"/>
              <w:szCs w:val="28"/>
            </w:rPr>
            <w:t>3</w:t>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spacing w:line="360" w:lineRule="auto"/>
            <w:rPr>
              <w:rFonts w:ascii="仿宋" w:hAnsi="仿宋" w:eastAsia="仿宋" w:cs="仿宋"/>
            </w:rPr>
            <w:sectPr>
              <w:headerReference r:id="rId4" w:type="first"/>
              <w:footerReference r:id="rId6" w:type="first"/>
              <w:headerReference r:id="rId3" w:type="default"/>
              <w:footerReference r:id="rId5" w:type="default"/>
              <w:pgSz w:w="11850" w:h="16783"/>
              <w:pgMar w:top="1440" w:right="1800" w:bottom="1440" w:left="1800" w:header="1020" w:footer="1077" w:gutter="0"/>
              <w:pgNumType w:fmt="upperRoman" w:start="1"/>
              <w:cols w:space="425" w:num="1"/>
              <w:titlePg/>
              <w:docGrid w:type="lines" w:linePitch="312" w:charSpace="0"/>
            </w:sectPr>
          </w:pPr>
          <w:r>
            <w:rPr>
              <w:rFonts w:hint="eastAsia" w:ascii="仿宋" w:hAnsi="仿宋" w:eastAsia="仿宋" w:cs="仿宋"/>
              <w:b/>
              <w:sz w:val="28"/>
              <w:szCs w:val="28"/>
            </w:rPr>
            <w:fldChar w:fldCharType="end"/>
          </w:r>
        </w:p>
      </w:sdtContent>
    </w:sdt>
    <w:p>
      <w:pPr>
        <w:spacing w:beforeLines="50" w:afterLines="50" w:line="500" w:lineRule="exact"/>
        <w:jc w:val="both"/>
        <w:outlineLvl w:val="0"/>
        <w:rPr>
          <w:rFonts w:hint="eastAsia" w:ascii="仿宋" w:hAnsi="仿宋" w:eastAsia="仿宋" w:cs="仿宋"/>
          <w:b/>
          <w:spacing w:val="6"/>
          <w:sz w:val="32"/>
          <w:szCs w:val="32"/>
        </w:rPr>
      </w:pPr>
      <w:bookmarkStart w:id="0" w:name="_Toc57878404"/>
      <w:bookmarkStart w:id="1" w:name="_Toc21446"/>
    </w:p>
    <w:p>
      <w:pPr>
        <w:jc w:val="center"/>
        <w:rPr>
          <w:rFonts w:hint="eastAsia"/>
          <w:sz w:val="44"/>
          <w:szCs w:val="44"/>
          <w:lang w:eastAsia="zh-CN"/>
        </w:rPr>
      </w:pPr>
      <w:r>
        <w:rPr>
          <w:rFonts w:hint="eastAsia"/>
          <w:sz w:val="44"/>
          <w:szCs w:val="44"/>
          <w:lang w:eastAsia="zh-CN"/>
        </w:rPr>
        <w:t>前言</w:t>
      </w:r>
    </w:p>
    <w:p>
      <w:pPr>
        <w:keepNext w:val="0"/>
        <w:keepLines w:val="0"/>
        <w:pageBreakBefore w:val="0"/>
        <w:widowControl w:val="0"/>
        <w:kinsoku/>
        <w:wordWrap/>
        <w:overflowPunct/>
        <w:topLinePunct w:val="0"/>
        <w:autoSpaceDE/>
        <w:autoSpaceDN/>
        <w:bidi w:val="0"/>
        <w:adjustRightInd/>
        <w:snapToGrid/>
        <w:spacing w:line="580" w:lineRule="exact"/>
        <w:ind w:left="0" w:firstLine="600" w:firstLineChars="200"/>
        <w:jc w:val="both"/>
        <w:textAlignment w:val="auto"/>
        <w:rPr>
          <w:rFonts w:hint="eastAsia"/>
          <w:sz w:val="30"/>
          <w:szCs w:val="30"/>
          <w:lang w:eastAsia="zh-CN"/>
        </w:rPr>
      </w:pPr>
      <w:r>
        <w:rPr>
          <w:rFonts w:hint="eastAsia"/>
          <w:sz w:val="30"/>
          <w:szCs w:val="30"/>
          <w:lang w:eastAsia="zh-CN"/>
        </w:rPr>
        <w:t>“十四五”时期是由全面建成小康社会向基本实现社会主义现代化迈进的关键时期，是迈向全面建设社会主义现代化国家新征程的开局期，也是我市实现高质量发展的关键时期。紧紧围绕“四个全面”的战略布局，坚持“五位一体”总体布局，立足新发展阶段，贯彻新发展理念，编制和实施《漳平市“十四五”卫生健康事业发展专项规划》（以下简称《规划》），对于构建强大公共卫生体系，提升健康服务质量与水平，满足人民群众对健康服务的多样化需求，不断提高居民健康水平，具有重要意义。</w:t>
      </w:r>
    </w:p>
    <w:p>
      <w:pPr>
        <w:keepNext w:val="0"/>
        <w:keepLines w:val="0"/>
        <w:pageBreakBefore w:val="0"/>
        <w:widowControl w:val="0"/>
        <w:kinsoku/>
        <w:wordWrap/>
        <w:overflowPunct/>
        <w:topLinePunct w:val="0"/>
        <w:autoSpaceDE/>
        <w:autoSpaceDN/>
        <w:bidi w:val="0"/>
        <w:adjustRightInd/>
        <w:snapToGrid/>
        <w:spacing w:line="580" w:lineRule="exact"/>
        <w:ind w:left="0" w:firstLine="600" w:firstLineChars="200"/>
        <w:jc w:val="both"/>
        <w:textAlignment w:val="auto"/>
        <w:rPr>
          <w:rFonts w:hint="eastAsia"/>
          <w:sz w:val="30"/>
          <w:szCs w:val="30"/>
          <w:lang w:val="en-US" w:eastAsia="zh-CN"/>
        </w:rPr>
      </w:pPr>
      <w:r>
        <w:rPr>
          <w:rFonts w:hint="eastAsia"/>
          <w:sz w:val="30"/>
          <w:szCs w:val="30"/>
          <w:lang w:eastAsia="zh-CN"/>
        </w:rPr>
        <w:t>本《规划》贯彻落实习近平总书记来闽考察重要讲话精神，以适应经济社会发展新形势，满足人民群众日益增长的健康需求，按照“健康中国”建设总体部署，根据《关于实施健康中国行动的意见》《健康漳平</w:t>
      </w:r>
      <w:r>
        <w:rPr>
          <w:rFonts w:hint="eastAsia"/>
          <w:sz w:val="30"/>
          <w:szCs w:val="30"/>
          <w:lang w:val="en-US" w:eastAsia="zh-CN"/>
        </w:rPr>
        <w:t>2030行动规划》《关于印发健康漳平行动任务分工实施方案的通知》，结合我市卫生健康工作实际，制定本《规划》。本《规划》是“十四五”时期推进卫生健康事业发展的行动纲领，是制定公共健康政策、安排重大投资项目、引导社会力量发展卫生健康相关事业的重要依据。</w:t>
      </w:r>
    </w:p>
    <w:p>
      <w:pPr>
        <w:keepNext w:val="0"/>
        <w:keepLines w:val="0"/>
        <w:pageBreakBefore w:val="0"/>
        <w:widowControl w:val="0"/>
        <w:kinsoku/>
        <w:wordWrap/>
        <w:overflowPunct/>
        <w:topLinePunct w:val="0"/>
        <w:autoSpaceDE/>
        <w:autoSpaceDN/>
        <w:bidi w:val="0"/>
        <w:adjustRightInd/>
        <w:snapToGrid/>
        <w:spacing w:line="580" w:lineRule="exact"/>
        <w:ind w:left="0" w:firstLine="600" w:firstLineChars="200"/>
        <w:jc w:val="both"/>
        <w:textAlignment w:val="auto"/>
        <w:rPr>
          <w:rFonts w:hint="eastAsia"/>
          <w:sz w:val="30"/>
          <w:szCs w:val="30"/>
          <w:lang w:val="en-US" w:eastAsia="zh-CN"/>
        </w:rPr>
      </w:pPr>
      <w:r>
        <w:rPr>
          <w:rFonts w:hint="eastAsia"/>
          <w:sz w:val="30"/>
          <w:szCs w:val="30"/>
          <w:lang w:val="en-US" w:eastAsia="zh-CN"/>
        </w:rPr>
        <w:t>本《规划》基期为2020年，规划期为2021—2025年。</w:t>
      </w:r>
    </w:p>
    <w:p>
      <w:pPr>
        <w:keepNext w:val="0"/>
        <w:keepLines w:val="0"/>
        <w:pageBreakBefore w:val="0"/>
        <w:widowControl w:val="0"/>
        <w:kinsoku/>
        <w:wordWrap/>
        <w:overflowPunct/>
        <w:topLinePunct w:val="0"/>
        <w:autoSpaceDE/>
        <w:autoSpaceDN/>
        <w:bidi w:val="0"/>
        <w:adjustRightInd/>
        <w:snapToGrid/>
        <w:spacing w:line="580" w:lineRule="exact"/>
        <w:ind w:left="0" w:firstLine="600" w:firstLineChars="200"/>
        <w:jc w:val="both"/>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00" w:firstLineChars="200"/>
        <w:jc w:val="both"/>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00" w:firstLineChars="200"/>
        <w:jc w:val="both"/>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00" w:firstLineChars="200"/>
        <w:jc w:val="both"/>
        <w:textAlignment w:val="auto"/>
        <w:rPr>
          <w:rFonts w:hint="eastAsia"/>
          <w:sz w:val="30"/>
          <w:szCs w:val="30"/>
          <w:lang w:val="en-US" w:eastAsia="zh-CN"/>
        </w:rPr>
      </w:pPr>
    </w:p>
    <w:p>
      <w:pPr>
        <w:numPr>
          <w:ilvl w:val="0"/>
          <w:numId w:val="0"/>
        </w:numPr>
        <w:spacing w:beforeLines="50" w:afterLines="50" w:line="500" w:lineRule="exact"/>
        <w:jc w:val="center"/>
        <w:outlineLvl w:val="0"/>
        <w:rPr>
          <w:rFonts w:hint="default" w:ascii="仿宋" w:hAnsi="仿宋" w:eastAsia="仿宋" w:cs="仿宋"/>
          <w:b/>
          <w:spacing w:val="6"/>
          <w:sz w:val="32"/>
          <w:szCs w:val="32"/>
          <w:lang w:val="en-US" w:eastAsia="zh-CN"/>
        </w:rPr>
      </w:pPr>
      <w:r>
        <w:rPr>
          <w:rFonts w:hint="eastAsia" w:ascii="仿宋" w:hAnsi="仿宋" w:eastAsia="仿宋" w:cs="仿宋"/>
          <w:b/>
          <w:spacing w:val="6"/>
          <w:sz w:val="32"/>
          <w:szCs w:val="32"/>
          <w:lang w:val="en-US" w:eastAsia="zh-CN"/>
        </w:rPr>
        <w:t>一、“十三五”时期主要成就</w:t>
      </w:r>
    </w:p>
    <w:bookmarkEnd w:id="0"/>
    <w:bookmarkEnd w:id="1"/>
    <w:p>
      <w:pPr>
        <w:numPr>
          <w:ilvl w:val="0"/>
          <w:numId w:val="1"/>
        </w:numPr>
        <w:spacing w:beforeLines="50" w:afterLines="50" w:line="500" w:lineRule="exact"/>
        <w:ind w:firstLine="667" w:firstLineChars="200"/>
        <w:outlineLvl w:val="1"/>
        <w:rPr>
          <w:rFonts w:ascii="仿宋" w:hAnsi="仿宋" w:eastAsia="仿宋" w:cs="仿宋"/>
          <w:b/>
          <w:spacing w:val="6"/>
          <w:sz w:val="32"/>
          <w:szCs w:val="32"/>
        </w:rPr>
      </w:pPr>
      <w:bookmarkStart w:id="2" w:name="_Toc11391"/>
      <w:bookmarkStart w:id="3" w:name="_Toc57878406"/>
      <w:r>
        <w:rPr>
          <w:rFonts w:hint="eastAsia" w:ascii="仿宋" w:hAnsi="仿宋" w:eastAsia="仿宋" w:cs="仿宋"/>
          <w:b/>
          <w:spacing w:val="6"/>
          <w:sz w:val="32"/>
          <w:szCs w:val="32"/>
        </w:rPr>
        <w:t>医药卫生体制改革取得新突破</w:t>
      </w:r>
      <w:bookmarkEnd w:id="2"/>
      <w:bookmarkEnd w:id="3"/>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bCs/>
          <w:spacing w:val="6"/>
          <w:sz w:val="32"/>
          <w:szCs w:val="32"/>
        </w:rPr>
        <w:t>1.紧密型医共体建设持续推进。</w:t>
      </w:r>
      <w:r>
        <w:rPr>
          <w:rFonts w:hint="eastAsia" w:ascii="仿宋" w:hAnsi="仿宋" w:eastAsia="仿宋" w:cs="仿宋"/>
          <w:spacing w:val="6"/>
          <w:sz w:val="32"/>
          <w:szCs w:val="32"/>
        </w:rPr>
        <w:t>“十三五”期间，始终坚持以为人民健康服务的方向，紧紧围绕深化医疗卫生体制改革，深入开展紧密型医共体“八统一”运行管理机制，完善市总医院内部管理机制，完成城区医疗资源整合，推进漳平市总医院进入实质性运作，2018年漳平市总院筹建并挂牌运行，各乡镇卫生院为分院。整合漳平市第二医院组建总医院—北院区，改善北院区信息系统，实现主院区与北院区互联互通，持续推进“六大中心”建设。开展医保总额打包试点管理，与龙岩市医保局签订县域内紧密型医共体总医院服务协议。医保支付方式改革，实行“总额包干、结余留用、超支自负”的医保打包支付方式，实施医疗服务价格动态调整，医保支付改革和财政补偿“三合一”政策，逐步破除“以药养医”机制。规范各分院药品采购管理，制定了《漳平市总医院成员单位药品联合限价阳光采购管理制度（试行）》，遴选出基本用药目录，各分院按照药品目录统一采购。</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bCs/>
          <w:spacing w:val="6"/>
          <w:sz w:val="32"/>
          <w:szCs w:val="32"/>
        </w:rPr>
        <w:t>2.持续推进公立医院管理机制改革。</w:t>
      </w:r>
      <w:r>
        <w:rPr>
          <w:rFonts w:hint="eastAsia" w:ascii="仿宋" w:hAnsi="仿宋" w:eastAsia="仿宋" w:cs="仿宋"/>
          <w:spacing w:val="6"/>
          <w:sz w:val="32"/>
          <w:szCs w:val="32"/>
        </w:rPr>
        <w:t>控制医药费用，规范药品、耗材、检查检验，不断加大基本药物使用比例。“十三五”期末药占比（不含中药饮片）28.76%，药品耗材收入占比35.02%，医务性收入占比32.28%，县域内住院率63.88%；病种付费数量由102种增加到305种，病种收付费的出院人数占比31.62%。</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bCs/>
          <w:spacing w:val="6"/>
          <w:sz w:val="32"/>
          <w:szCs w:val="32"/>
        </w:rPr>
        <w:t>3.持续推进生态环保攻坚。</w:t>
      </w:r>
      <w:r>
        <w:rPr>
          <w:rFonts w:hint="eastAsia" w:ascii="仿宋" w:hAnsi="仿宋" w:eastAsia="仿宋" w:cs="仿宋"/>
          <w:spacing w:val="6"/>
          <w:sz w:val="32"/>
          <w:szCs w:val="32"/>
        </w:rPr>
        <w:t>落实医疗废物无害化集中处置工作，严格执行医疗废物“小箱进大箱”和48小时收运制度。加强监督检查，通过建设医疗废物暂存站，完善监控设备等措施，加强对医疗废物处置工作的动态管理，全部医疗机构的医疗废物处置率达100%。</w:t>
      </w:r>
    </w:p>
    <w:p>
      <w:pPr>
        <w:numPr>
          <w:ilvl w:val="0"/>
          <w:numId w:val="1"/>
        </w:numPr>
        <w:spacing w:beforeLines="50" w:afterLines="50" w:line="500" w:lineRule="exact"/>
        <w:ind w:firstLine="667" w:firstLineChars="200"/>
        <w:outlineLvl w:val="1"/>
        <w:rPr>
          <w:rFonts w:ascii="仿宋" w:hAnsi="仿宋" w:eastAsia="仿宋" w:cs="仿宋"/>
          <w:b/>
          <w:spacing w:val="6"/>
          <w:sz w:val="32"/>
          <w:szCs w:val="32"/>
        </w:rPr>
      </w:pPr>
      <w:bookmarkStart w:id="4" w:name="_Toc23904"/>
      <w:bookmarkStart w:id="5" w:name="_Toc57878407"/>
      <w:r>
        <w:rPr>
          <w:rFonts w:hint="eastAsia" w:ascii="仿宋" w:hAnsi="仿宋" w:eastAsia="仿宋" w:cs="仿宋"/>
          <w:b/>
          <w:spacing w:val="6"/>
          <w:sz w:val="32"/>
          <w:szCs w:val="32"/>
        </w:rPr>
        <w:t>医疗及基本公共服务水平稳步提升</w:t>
      </w:r>
      <w:bookmarkEnd w:id="4"/>
      <w:bookmarkEnd w:id="5"/>
    </w:p>
    <w:p>
      <w:pPr>
        <w:spacing w:line="500" w:lineRule="exact"/>
        <w:ind w:firstLine="664" w:firstLineChars="200"/>
        <w:rPr>
          <w:rFonts w:ascii="仿宋" w:hAnsi="仿宋" w:eastAsia="仿宋" w:cs="仿宋"/>
          <w:spacing w:val="6"/>
          <w:sz w:val="32"/>
          <w:szCs w:val="32"/>
          <w:highlight w:val="yellow"/>
        </w:rPr>
      </w:pPr>
      <w:r>
        <w:rPr>
          <w:rFonts w:hint="eastAsia" w:ascii="仿宋" w:hAnsi="仿宋" w:eastAsia="仿宋" w:cs="仿宋"/>
          <w:spacing w:val="6"/>
          <w:sz w:val="32"/>
          <w:szCs w:val="32"/>
        </w:rPr>
        <w:t>1.硬件环境不断改善。</w:t>
      </w:r>
      <w:r>
        <w:rPr>
          <w:rFonts w:hint="eastAsia" w:ascii="仿宋" w:hAnsi="仿宋" w:eastAsia="仿宋" w:cs="仿宋"/>
          <w:bCs/>
          <w:spacing w:val="6"/>
          <w:sz w:val="32"/>
          <w:szCs w:val="32"/>
        </w:rPr>
        <w:t>“十三五”期间，共投入资金投资5.06亿元，完成建设</w:t>
      </w:r>
      <w:r>
        <w:rPr>
          <w:rFonts w:hint="eastAsia" w:ascii="仿宋" w:hAnsi="仿宋" w:eastAsia="仿宋" w:cs="仿宋"/>
          <w:spacing w:val="6"/>
          <w:sz w:val="32"/>
          <w:szCs w:val="32"/>
        </w:rPr>
        <w:t>漳平市公共卫生大楼、漳平市妇幼保健院产儿科服务能力提升工程、和平卫生院综合楼、灵地卫生院综合楼、菁城社区卫生服务中心搬迁业务用房改造装修、卫生院标准化预防接种示门诊、标准化公办村卫生所、市医院精神病防治综合楼、菁和源项目（市医院医养康复中心）、吾祠卫生院综合楼、正在建设官田卫生院业务综合楼等项目，漳平市医院通过二级甲等医院评审。</w:t>
      </w:r>
      <w:r>
        <w:rPr>
          <w:rFonts w:hint="eastAsia" w:ascii="仿宋" w:hAnsi="仿宋" w:eastAsia="仿宋" w:cs="仿宋"/>
          <w:bCs/>
          <w:spacing w:val="6"/>
          <w:sz w:val="32"/>
          <w:szCs w:val="32"/>
        </w:rPr>
        <w:t>医疗卫生服务网络进一步健全，基础设施明显改善。总医院改革门诊看病收费、取药、处方一体化，实现便捷、畅通的情景，提高了门诊服务能力的提升，深受患者及家属的称赞和满意度提升。</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bCs/>
          <w:spacing w:val="6"/>
          <w:sz w:val="32"/>
          <w:szCs w:val="32"/>
        </w:rPr>
        <w:t>全市176个公办村卫生所标准化建设完成，完成基本医疗办公设备备置，村卫生所信息化建设加强，实现村卫生所医保“村村通”。医疗质量管理加强。严格落实“十八项”医疗核心制度，开展“三基”培训，定期医师考核，强化眼科、心内科等重点专科建设，完成新生儿科建设，加大儿科服务供给。中医药服务能力持续提升，完成菁城、芦芝、象湖、溪南、新桥卫生院5个中医馆建设。</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bCs/>
          <w:spacing w:val="6"/>
          <w:sz w:val="32"/>
          <w:szCs w:val="32"/>
        </w:rPr>
        <w:t>2.基本公共服务水平提升。</w:t>
      </w:r>
      <w:r>
        <w:rPr>
          <w:rFonts w:hint="eastAsia" w:ascii="仿宋" w:hAnsi="仿宋" w:eastAsia="仿宋" w:cs="仿宋"/>
          <w:spacing w:val="6"/>
          <w:sz w:val="32"/>
          <w:szCs w:val="32"/>
        </w:rPr>
        <w:t>“十三五”期间，人均基本公共卫生服务经费标准提高到65元/年，共为辖区居民建立电子健康档案28.6万份，电子建档率89.3%，65岁以上老人建档3.0万份，建档率93.7%；高血压病健康管理1.8万人；糖尿病管理0.5万人；累计登记严重精神障碍患者1162人，管理率在</w:t>
      </w:r>
      <w:r>
        <w:rPr>
          <w:rFonts w:hint="eastAsia" w:ascii="仿宋" w:hAnsi="仿宋" w:eastAsia="仿宋" w:cs="仿宋"/>
          <w:bCs/>
          <w:spacing w:val="6"/>
          <w:sz w:val="32"/>
          <w:szCs w:val="32"/>
        </w:rPr>
        <w:t>90.28%</w:t>
      </w:r>
      <w:r>
        <w:rPr>
          <w:rFonts w:hint="eastAsia" w:ascii="仿宋" w:hAnsi="仿宋" w:eastAsia="仿宋" w:cs="仿宋"/>
          <w:spacing w:val="6"/>
          <w:sz w:val="32"/>
          <w:szCs w:val="32"/>
        </w:rPr>
        <w:t>以上。保障妇女儿童健康，全市0-6岁儿童3.3万人，儿童健康管理3万人；管理孕产妇数0.3万人；全市医疗机构活产数10255人，住院分娩率100%，孕产妇死亡率、5岁以下儿童死亡率3.47‰、新生儿死亡率1.69‰、婴儿死亡率2.6‰。持续开展妇幼重大公共卫生服务项目，免费叶酸共发放14386人份，共完成免费优检4773对，完成“两癌”筛查19981人次。做好氟斑牙和甲状腺肿大等地方病监测，采集儿童尿样716份、盐样716份；累计登记严重精神障碍患者1148人，管理率98%以上；完成肿瘤病例报告326例，完成死因监测报告1105例。</w:t>
      </w:r>
    </w:p>
    <w:p>
      <w:pPr>
        <w:numPr>
          <w:ilvl w:val="0"/>
          <w:numId w:val="1"/>
        </w:numPr>
        <w:spacing w:beforeLines="50" w:afterLines="50" w:line="500" w:lineRule="exact"/>
        <w:ind w:firstLine="667" w:firstLineChars="200"/>
        <w:outlineLvl w:val="1"/>
        <w:rPr>
          <w:rFonts w:ascii="仿宋" w:hAnsi="仿宋" w:eastAsia="仿宋" w:cs="仿宋"/>
          <w:b/>
          <w:spacing w:val="6"/>
          <w:sz w:val="32"/>
          <w:szCs w:val="32"/>
        </w:rPr>
      </w:pPr>
      <w:bookmarkStart w:id="6" w:name="_Toc57878408"/>
      <w:bookmarkStart w:id="7" w:name="_Toc2563"/>
      <w:r>
        <w:rPr>
          <w:rFonts w:hint="eastAsia" w:ascii="仿宋" w:hAnsi="仿宋" w:eastAsia="仿宋" w:cs="仿宋"/>
          <w:b/>
          <w:spacing w:val="6"/>
          <w:sz w:val="32"/>
          <w:szCs w:val="32"/>
        </w:rPr>
        <w:t>应急处置和疾病防控能力得到提升</w:t>
      </w:r>
      <w:bookmarkEnd w:id="6"/>
      <w:bookmarkEnd w:id="7"/>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重点传染病防治能力提升。近年来，重点传染病防控力度加强，有效控制传染病发生与流行。组织修订《漳平市突发公共卫生事件应急预案》以及重点传染病防治工作预案，调整充实了三支45人医疗卫生应急队伍。开展医疗卫生机构医务人员培训，全面提升市疾控中心、乡镇卫生院和社区卫生服务中心对突发事件的应对能力。严格执行疫情监测和法定传染病网络直报管理工作，及时预警和处置。认真实行肺结核病防治工作例会和专家组会诊制度，加强结防人员培训，提高结核病防控水平。</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疫情防控有力有效。漳平市加强新型冠状病毒肺炎监测工作和高危人群的疫情防控工作，新冠肺炎发生至目前实现零病例。总医院派送一名医护人员支援武汉参加抗疫斗争。</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组织建设PCR实验室。漳平市医院、疾控中心均已完成PCR实验室建设并投入使用，日常检测量新冠病毒核酸检测达276例，最高可达476例。</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全市共报告甲、乙、丙传染病6471例，报告发病率534.73/十万，死亡7例，死亡率0.79/十万。积极开展AFP病例、手足口病、鼠疫等监测，加强结核病、艾滋病防控。认真落实预防接种工作，全市新生儿预防接种建卡率达100％，周岁内儿童I类疫苗接种率达95%以上，全市5岁以下儿童未发生疫苗针对的传染病。</w:t>
      </w:r>
    </w:p>
    <w:p>
      <w:pPr>
        <w:spacing w:line="500" w:lineRule="exact"/>
        <w:ind w:firstLine="664" w:firstLineChars="200"/>
        <w:rPr>
          <w:rFonts w:ascii="仿宋" w:hAnsi="仿宋" w:eastAsia="仿宋" w:cs="仿宋"/>
          <w:spacing w:val="6"/>
          <w:kern w:val="1"/>
          <w:sz w:val="32"/>
          <w:szCs w:val="32"/>
        </w:rPr>
      </w:pPr>
      <w:r>
        <w:rPr>
          <w:rFonts w:hint="eastAsia" w:ascii="仿宋" w:hAnsi="仿宋" w:eastAsia="仿宋" w:cs="仿宋"/>
          <w:spacing w:val="6"/>
          <w:kern w:val="1"/>
          <w:sz w:val="32"/>
          <w:szCs w:val="32"/>
        </w:rPr>
        <w:t>应急能力不断加强。</w:t>
      </w:r>
      <w:r>
        <w:rPr>
          <w:rFonts w:hint="eastAsia" w:ascii="仿宋" w:hAnsi="仿宋" w:eastAsia="仿宋" w:cs="仿宋"/>
          <w:spacing w:val="6"/>
          <w:sz w:val="32"/>
          <w:szCs w:val="32"/>
        </w:rPr>
        <w:t>协助龙岩市举办“健康使命-2018”四地市紧急医学救援队伍区域拉动演练，组织队伍参加龙岩市突发急性传染病桌面推演，</w:t>
      </w:r>
      <w:r>
        <w:rPr>
          <w:rFonts w:hint="eastAsia" w:ascii="仿宋" w:hAnsi="仿宋" w:eastAsia="仿宋" w:cs="仿宋"/>
          <w:spacing w:val="6"/>
          <w:kern w:val="1"/>
          <w:sz w:val="32"/>
          <w:szCs w:val="32"/>
        </w:rPr>
        <w:t>完成紧急医学救援队伍基本装备备置，提升突</w:t>
      </w:r>
      <w:r>
        <w:rPr>
          <w:rFonts w:hint="eastAsia" w:ascii="仿宋" w:hAnsi="仿宋" w:eastAsia="仿宋" w:cs="仿宋"/>
          <w:spacing w:val="6"/>
          <w:kern w:val="1"/>
          <w:sz w:val="32"/>
          <w:szCs w:val="32"/>
          <w:lang w:val="en-US" w:eastAsia="zh-CN"/>
        </w:rPr>
        <w:t>发</w:t>
      </w:r>
      <w:r>
        <w:rPr>
          <w:rFonts w:hint="eastAsia" w:ascii="仿宋" w:hAnsi="仿宋" w:eastAsia="仿宋" w:cs="仿宋"/>
          <w:spacing w:val="6"/>
          <w:kern w:val="1"/>
          <w:sz w:val="32"/>
          <w:szCs w:val="32"/>
        </w:rPr>
        <w:t>公共卫生事件处置能力。圆满完成了“两节”、“两会”、“樱花节”及市委市政府重大活动期间的医疗卫生应急保障工作。</w:t>
      </w:r>
    </w:p>
    <w:p>
      <w:pPr>
        <w:numPr>
          <w:ilvl w:val="0"/>
          <w:numId w:val="1"/>
        </w:numPr>
        <w:spacing w:beforeLines="50" w:afterLines="50" w:line="500" w:lineRule="exact"/>
        <w:ind w:firstLine="667" w:firstLineChars="200"/>
        <w:outlineLvl w:val="1"/>
        <w:rPr>
          <w:rFonts w:ascii="仿宋" w:hAnsi="仿宋" w:eastAsia="仿宋" w:cs="仿宋"/>
          <w:b/>
          <w:spacing w:val="6"/>
          <w:sz w:val="32"/>
          <w:szCs w:val="32"/>
        </w:rPr>
      </w:pPr>
      <w:bookmarkStart w:id="8" w:name="_Toc57878409"/>
      <w:bookmarkStart w:id="9" w:name="_Toc16817"/>
      <w:r>
        <w:rPr>
          <w:rFonts w:hint="eastAsia" w:ascii="仿宋" w:hAnsi="仿宋" w:eastAsia="仿宋" w:cs="仿宋"/>
          <w:b/>
          <w:spacing w:val="6"/>
          <w:sz w:val="32"/>
          <w:szCs w:val="32"/>
        </w:rPr>
        <w:t>城乡居民健康服务水平持续提高</w:t>
      </w:r>
      <w:bookmarkEnd w:id="8"/>
      <w:bookmarkEnd w:id="9"/>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城乡居民健康差异进一步缩小，医疗卫生服务可及性、服务质量、服务效率和群众满意度显著提高，卫生与健康事业影响力凸显，为稳增长、促改革、调结构、惠民生作出了新的贡献。全面加强人口健康信息化建设,逐步实现全员人口信息、电子健康档案和电子病历三大数据库基本覆盖全市人口并信息动态更新。推进爱国卫生运动，充分利用广播、电视、微信等</w:t>
      </w:r>
      <w:r>
        <w:rPr>
          <w:rFonts w:hint="eastAsia" w:ascii="仿宋" w:hAnsi="仿宋" w:eastAsia="仿宋" w:cs="仿宋"/>
          <w:kern w:val="1"/>
          <w:sz w:val="32"/>
          <w:szCs w:val="32"/>
        </w:rPr>
        <w:t>宣传平台，强力推进“一革命四行动”农户改厕项目，全面开展农村环境综合整治。</w:t>
      </w:r>
      <w:r>
        <w:rPr>
          <w:rFonts w:hint="eastAsia" w:ascii="仿宋" w:hAnsi="仿宋" w:eastAsia="仿宋" w:cs="仿宋"/>
          <w:sz w:val="32"/>
          <w:szCs w:val="32"/>
        </w:rPr>
        <w:t>全市已建立5个学校示范性心理健康辅导室，8个乡镇和村居心理健康咨询室。积极推进健康促进市创建，</w:t>
      </w:r>
      <w:r>
        <w:rPr>
          <w:rFonts w:hint="eastAsia" w:ascii="仿宋" w:hAnsi="仿宋" w:eastAsia="仿宋" w:cs="仿宋"/>
          <w:spacing w:val="6"/>
          <w:sz w:val="32"/>
          <w:szCs w:val="32"/>
        </w:rPr>
        <w:t>举办健康教育讲座活动累计960次，发放健康教育宣传材料(健康教育处方)20多万份。</w:t>
      </w:r>
    </w:p>
    <w:p>
      <w:pPr>
        <w:spacing w:line="500" w:lineRule="exact"/>
        <w:ind w:firstLine="640"/>
        <w:rPr>
          <w:rFonts w:ascii="仿宋" w:hAnsi="仿宋" w:eastAsia="仿宋" w:cs="仿宋"/>
          <w:spacing w:val="6"/>
          <w:sz w:val="32"/>
          <w:szCs w:val="32"/>
        </w:rPr>
      </w:pPr>
      <w:r>
        <w:rPr>
          <w:rFonts w:hint="eastAsia" w:ascii="仿宋" w:hAnsi="仿宋" w:eastAsia="仿宋" w:cs="仿宋"/>
          <w:snapToGrid w:val="0"/>
          <w:spacing w:val="6"/>
          <w:sz w:val="32"/>
          <w:szCs w:val="32"/>
        </w:rPr>
        <w:t>组建</w:t>
      </w:r>
      <w:r>
        <w:rPr>
          <w:rFonts w:hint="eastAsia" w:ascii="仿宋" w:hAnsi="仿宋" w:eastAsia="仿宋" w:cs="仿宋"/>
          <w:spacing w:val="6"/>
          <w:sz w:val="32"/>
          <w:szCs w:val="32"/>
        </w:rPr>
        <w:t>135</w:t>
      </w:r>
      <w:r>
        <w:rPr>
          <w:rFonts w:hint="eastAsia" w:ascii="仿宋" w:hAnsi="仿宋" w:eastAsia="仿宋" w:cs="仿宋"/>
          <w:snapToGrid w:val="0"/>
          <w:spacing w:val="6"/>
          <w:sz w:val="32"/>
          <w:szCs w:val="32"/>
        </w:rPr>
        <w:t>个家庭医生签约服</w:t>
      </w:r>
      <w:r>
        <w:rPr>
          <w:rFonts w:hint="eastAsia" w:ascii="仿宋" w:hAnsi="仿宋" w:eastAsia="仿宋" w:cs="仿宋"/>
          <w:spacing w:val="6"/>
          <w:sz w:val="32"/>
          <w:szCs w:val="32"/>
        </w:rPr>
        <w:t>务团队，对</w:t>
      </w:r>
      <w:r>
        <w:rPr>
          <w:rFonts w:hint="eastAsia" w:ascii="仿宋" w:hAnsi="仿宋" w:eastAsia="仿宋" w:cs="仿宋"/>
          <w:snapToGrid w:val="0"/>
          <w:spacing w:val="6"/>
          <w:sz w:val="32"/>
          <w:szCs w:val="32"/>
        </w:rPr>
        <w:t>贫困人口</w:t>
      </w:r>
      <w:r>
        <w:rPr>
          <w:rFonts w:hint="eastAsia" w:ascii="仿宋" w:hAnsi="仿宋" w:eastAsia="仿宋" w:cs="仿宋"/>
          <w:spacing w:val="6"/>
          <w:sz w:val="32"/>
          <w:szCs w:val="32"/>
        </w:rPr>
        <w:t>开展一对一的签约履约服务，全市共签约建档立卡农村贫困人口9896人，签约率、履约率均达100%。市定点医院（漳平市医院）开展16种大病救治，对建档立卡贫困群众开通绿色通道，实行“一站式”结算。全市贫困人口患有31项大病共807人，2019年漳平市医院共累计救治大病患者171人。</w:t>
      </w:r>
    </w:p>
    <w:p>
      <w:pPr>
        <w:numPr>
          <w:ilvl w:val="0"/>
          <w:numId w:val="1"/>
        </w:numPr>
        <w:spacing w:beforeLines="50" w:afterLines="50" w:line="500" w:lineRule="exact"/>
        <w:ind w:firstLine="667" w:firstLineChars="200"/>
        <w:outlineLvl w:val="1"/>
        <w:rPr>
          <w:rFonts w:ascii="仿宋" w:hAnsi="仿宋" w:eastAsia="仿宋" w:cs="仿宋"/>
          <w:b/>
          <w:spacing w:val="6"/>
          <w:sz w:val="32"/>
          <w:szCs w:val="32"/>
        </w:rPr>
      </w:pPr>
      <w:bookmarkStart w:id="10" w:name="_Toc12177"/>
      <w:bookmarkStart w:id="11" w:name="_Toc57878410"/>
      <w:r>
        <w:rPr>
          <w:rFonts w:hint="eastAsia" w:ascii="仿宋" w:hAnsi="仿宋" w:eastAsia="仿宋" w:cs="仿宋"/>
          <w:b/>
          <w:spacing w:val="6"/>
          <w:sz w:val="32"/>
          <w:szCs w:val="32"/>
        </w:rPr>
        <w:t>人口和家庭服务管理扎实推进</w:t>
      </w:r>
      <w:bookmarkEnd w:id="10"/>
      <w:bookmarkEnd w:id="11"/>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充分认识了实施全面两孩政策的重大意义，计划生育综合服务管理加强。</w:t>
      </w:r>
      <w:r>
        <w:rPr>
          <w:rStyle w:val="22"/>
          <w:rFonts w:hint="eastAsia" w:ascii="仿宋" w:hAnsi="仿宋" w:eastAsia="仿宋" w:cs="仿宋"/>
          <w:spacing w:val="6"/>
          <w:sz w:val="32"/>
          <w:szCs w:val="32"/>
          <w:lang w:val="zh-CN"/>
        </w:rPr>
        <w:t>广泛宣传《全面两孩政策》、新《条例》及卫生计生各类主题活动。</w:t>
      </w:r>
      <w:r>
        <w:rPr>
          <w:rFonts w:hint="eastAsia" w:ascii="仿宋" w:hAnsi="仿宋" w:eastAsia="仿宋" w:cs="仿宋"/>
          <w:spacing w:val="6"/>
          <w:sz w:val="32"/>
          <w:szCs w:val="32"/>
        </w:rPr>
        <w:t>2020年全市人口出生率为7.56‰，政策符合率91.29%，自然增长率3.28‰，保持在较好水平。共兑现各类计生奖励扶助7867人次，共计517.6万元。设置“一站式服务窗口”、人口家庭服务中心、文化活动室、四点半学校、阅览室、教育培训基地等服务平台，建立“服务均等化、共享新家园”的流动人口服务管理新机制。建立流动人口居民健康档案，开展流动人口孕前优生健康检查等。开展打击“两非”工作，加强出生人口性别比失衡问题综合治理和人口计划生育信息化、标准化、规范化建设。</w:t>
      </w:r>
    </w:p>
    <w:p>
      <w:pPr>
        <w:numPr>
          <w:ilvl w:val="0"/>
          <w:numId w:val="1"/>
        </w:numPr>
        <w:spacing w:beforeLines="50" w:afterLines="50" w:line="500" w:lineRule="exact"/>
        <w:ind w:firstLine="667" w:firstLineChars="200"/>
        <w:outlineLvl w:val="1"/>
        <w:rPr>
          <w:rFonts w:ascii="仿宋" w:hAnsi="仿宋" w:eastAsia="仿宋" w:cs="仿宋"/>
          <w:b/>
          <w:spacing w:val="6"/>
          <w:sz w:val="32"/>
          <w:szCs w:val="32"/>
        </w:rPr>
      </w:pPr>
      <w:bookmarkStart w:id="12" w:name="_Toc57878411"/>
      <w:bookmarkStart w:id="13" w:name="_Toc30027"/>
      <w:bookmarkStart w:id="14" w:name="_Toc12267"/>
      <w:bookmarkStart w:id="15" w:name="_Toc32295"/>
      <w:r>
        <w:rPr>
          <w:rFonts w:hint="eastAsia" w:ascii="仿宋" w:hAnsi="仿宋" w:eastAsia="仿宋" w:cs="仿宋"/>
          <w:b/>
          <w:spacing w:val="6"/>
          <w:sz w:val="32"/>
          <w:szCs w:val="32"/>
        </w:rPr>
        <w:t>健康产业建设发展取得新突破</w:t>
      </w:r>
      <w:bookmarkEnd w:id="12"/>
      <w:bookmarkEnd w:id="13"/>
      <w:bookmarkEnd w:id="14"/>
      <w:bookmarkEnd w:id="15"/>
    </w:p>
    <w:p>
      <w:pPr>
        <w:widowControl/>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全面贯彻落实《健康福建2030行动规划》，根据健康福建建设的基本原则、中长期建设目标及主要建设内容，制订健康漳平行动实施方案，明确全方位干预健康影响因素、维护全周期生命健康、防控重大疾病的16个具体行动方案，并出台监测考核方案，大力推进健康漳平建设。</w:t>
      </w:r>
    </w:p>
    <w:p>
      <w:pPr>
        <w:widowControl/>
        <w:spacing w:line="500" w:lineRule="exact"/>
        <w:ind w:firstLine="664" w:firstLineChars="200"/>
        <w:rPr>
          <w:rFonts w:ascii="仿宋" w:hAnsi="仿宋" w:eastAsia="仿宋" w:cs="仿宋"/>
          <w:sz w:val="32"/>
          <w:szCs w:val="32"/>
        </w:rPr>
      </w:pPr>
      <w:r>
        <w:rPr>
          <w:rFonts w:hint="eastAsia" w:ascii="仿宋" w:hAnsi="仿宋" w:eastAsia="仿宋" w:cs="仿宋"/>
          <w:spacing w:val="6"/>
          <w:sz w:val="32"/>
          <w:szCs w:val="32"/>
        </w:rPr>
        <w:t>漳平市医院医养康复中心项目是重点推进的文旅康养项目之一，属于省重点工程，项目总投资约3.1亿元。目前，该项目正进行1-4号养老公寓室内装修工程，康复综合楼主体结构2层施工。项目预计于2021年建成使用，建成后将成为我市集医疗、康复、养生、养老等为一体的大型康养综合体。采取“走出去”的招商形式，积极与北京、</w:t>
      </w:r>
      <w:r>
        <w:rPr>
          <w:rFonts w:hint="eastAsia" w:ascii="仿宋" w:hAnsi="仿宋" w:eastAsia="仿宋" w:cs="仿宋"/>
          <w:sz w:val="32"/>
          <w:szCs w:val="32"/>
        </w:rPr>
        <w:t>上海等医养康复的有实力、专业特色较强的公司洽谈合作事宜，探索经营模式，积极组织相关企业参加龙岩市文旅康养博览会、上杭古田文旅康养博览会、龙岩会展中心康养产业、筹建永福生态康养中心。健康产业将在“十四五”时期取得新发展，“康养漳平”将以漳平“新名片”展现在龙岩、福建乃至全国。</w:t>
      </w:r>
    </w:p>
    <w:p>
      <w:pPr>
        <w:numPr>
          <w:ilvl w:val="0"/>
          <w:numId w:val="1"/>
        </w:numPr>
        <w:spacing w:beforeLines="50" w:afterLines="50" w:line="500" w:lineRule="exact"/>
        <w:ind w:firstLine="667" w:firstLineChars="200"/>
        <w:outlineLvl w:val="1"/>
        <w:rPr>
          <w:rFonts w:ascii="仿宋" w:hAnsi="仿宋" w:eastAsia="仿宋" w:cs="仿宋"/>
          <w:b/>
          <w:spacing w:val="6"/>
          <w:sz w:val="32"/>
          <w:szCs w:val="32"/>
        </w:rPr>
      </w:pPr>
      <w:bookmarkStart w:id="16" w:name="_Toc57878412"/>
      <w:bookmarkStart w:id="17" w:name="_Toc1269"/>
      <w:r>
        <w:rPr>
          <w:rFonts w:hint="eastAsia" w:ascii="仿宋" w:hAnsi="仿宋" w:eastAsia="仿宋" w:cs="仿宋"/>
          <w:b/>
          <w:spacing w:val="6"/>
          <w:sz w:val="32"/>
          <w:szCs w:val="32"/>
        </w:rPr>
        <w:t>卫生健康发展保障能力不断增强</w:t>
      </w:r>
      <w:bookmarkEnd w:id="16"/>
      <w:bookmarkEnd w:id="17"/>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实施科教兴卫战略，积极推广卫生计生适宜技术、培养医药卫生人才、推动医学科技进步与创新。目前全市共有862名医护工作人员,其中医生380名，护士482名。“十三五”时期，卫生、编制、人事、财政等部门通过各种方式，积极引进卫生人才，通过公开招聘考试（83名）、高校直招（18名）、乡镇卫生院本土化大专委培生（35名）、乡镇卫生院特岗全科医生（3名）、县级医院临床医学专业本科定向委培生（34名）等措施，充实到各医疗卫生单位。市总医院与龙岩卫校协同办学，在市总医院开设村医班，完成招生31名，为空白及边远乡村培养人才。充分利用现代化教育手段开展形式多样的继续医学教育，重点为基层提供质量高、实用性强的继续医学教育项目，使基层卫计人员能及时、方便获取新理论、新知识和新技术，推行远程教育手段开展继续医学教育活动。</w:t>
      </w:r>
    </w:p>
    <w:p>
      <w:pPr>
        <w:spacing w:beforeLines="50" w:afterLines="50" w:line="500" w:lineRule="exact"/>
        <w:jc w:val="center"/>
        <w:outlineLvl w:val="0"/>
        <w:rPr>
          <w:rFonts w:hint="eastAsia" w:ascii="仿宋" w:hAnsi="仿宋" w:eastAsia="仿宋" w:cs="仿宋"/>
          <w:b/>
          <w:spacing w:val="6"/>
          <w:sz w:val="32"/>
          <w:szCs w:val="32"/>
        </w:rPr>
      </w:pPr>
      <w:bookmarkStart w:id="18" w:name="_Toc14729"/>
      <w:bookmarkStart w:id="19" w:name="_Toc57878418"/>
    </w:p>
    <w:p>
      <w:pPr>
        <w:spacing w:beforeLines="50" w:afterLines="50" w:line="500" w:lineRule="exact"/>
        <w:jc w:val="center"/>
        <w:outlineLvl w:val="0"/>
        <w:rPr>
          <w:rFonts w:ascii="仿宋" w:hAnsi="仿宋" w:eastAsia="仿宋" w:cs="仿宋"/>
          <w:b/>
          <w:spacing w:val="6"/>
          <w:sz w:val="32"/>
          <w:szCs w:val="32"/>
        </w:rPr>
      </w:pPr>
      <w:r>
        <w:rPr>
          <w:rFonts w:hint="eastAsia" w:ascii="仿宋" w:hAnsi="仿宋" w:eastAsia="仿宋" w:cs="仿宋"/>
          <w:b/>
          <w:spacing w:val="6"/>
          <w:sz w:val="32"/>
          <w:szCs w:val="32"/>
        </w:rPr>
        <w:t>“十四五”时期发展规划</w:t>
      </w:r>
      <w:bookmarkEnd w:id="18"/>
      <w:bookmarkEnd w:id="19"/>
    </w:p>
    <w:p>
      <w:pPr>
        <w:numPr>
          <w:ilvl w:val="0"/>
          <w:numId w:val="2"/>
        </w:numPr>
        <w:spacing w:beforeLines="50" w:afterLines="50" w:line="500" w:lineRule="exact"/>
        <w:jc w:val="center"/>
        <w:outlineLvl w:val="0"/>
        <w:rPr>
          <w:rFonts w:ascii="仿宋" w:hAnsi="仿宋" w:eastAsia="仿宋" w:cs="仿宋"/>
          <w:b/>
          <w:spacing w:val="6"/>
          <w:sz w:val="32"/>
          <w:szCs w:val="32"/>
        </w:rPr>
      </w:pPr>
      <w:bookmarkStart w:id="20" w:name="_Toc57878419"/>
      <w:bookmarkStart w:id="21" w:name="_Toc31379"/>
      <w:r>
        <w:rPr>
          <w:rFonts w:hint="eastAsia" w:ascii="仿宋" w:hAnsi="仿宋" w:eastAsia="仿宋" w:cs="仿宋"/>
          <w:b/>
          <w:spacing w:val="6"/>
          <w:sz w:val="32"/>
          <w:szCs w:val="32"/>
        </w:rPr>
        <w:t>发展面临的机遇与挑战</w:t>
      </w:r>
      <w:bookmarkEnd w:id="20"/>
      <w:bookmarkEnd w:id="21"/>
    </w:p>
    <w:p>
      <w:pPr>
        <w:numPr>
          <w:ilvl w:val="0"/>
          <w:numId w:val="3"/>
        </w:numPr>
        <w:spacing w:beforeLines="50" w:afterLines="50" w:line="500" w:lineRule="exact"/>
        <w:ind w:firstLine="667" w:firstLineChars="200"/>
        <w:outlineLvl w:val="1"/>
        <w:rPr>
          <w:rFonts w:ascii="仿宋" w:hAnsi="仿宋" w:eastAsia="仿宋" w:cs="仿宋"/>
          <w:b/>
          <w:spacing w:val="6"/>
          <w:sz w:val="32"/>
          <w:szCs w:val="32"/>
        </w:rPr>
      </w:pPr>
      <w:bookmarkStart w:id="22" w:name="_Toc18337"/>
      <w:bookmarkStart w:id="23" w:name="_Toc57878420"/>
      <w:r>
        <w:rPr>
          <w:rFonts w:hint="eastAsia" w:ascii="仿宋" w:hAnsi="仿宋" w:eastAsia="仿宋" w:cs="仿宋"/>
          <w:b/>
          <w:spacing w:val="6"/>
          <w:sz w:val="32"/>
          <w:szCs w:val="32"/>
        </w:rPr>
        <w:t>面临的机遇</w:t>
      </w:r>
      <w:bookmarkEnd w:id="22"/>
      <w:bookmarkEnd w:id="23"/>
    </w:p>
    <w:p>
      <w:pPr>
        <w:numPr>
          <w:ilvl w:val="0"/>
          <w:numId w:val="4"/>
        </w:numPr>
        <w:spacing w:beforeLines="50" w:afterLines="50" w:line="500" w:lineRule="exact"/>
        <w:ind w:firstLine="667" w:firstLineChars="200"/>
        <w:outlineLvl w:val="3"/>
        <w:rPr>
          <w:rFonts w:ascii="仿宋" w:hAnsi="仿宋" w:eastAsia="仿宋" w:cs="仿宋"/>
          <w:b/>
          <w:spacing w:val="6"/>
          <w:sz w:val="32"/>
          <w:szCs w:val="32"/>
        </w:rPr>
      </w:pPr>
      <w:r>
        <w:rPr>
          <w:rFonts w:hint="eastAsia" w:ascii="仿宋" w:hAnsi="仿宋" w:eastAsia="仿宋" w:cs="仿宋"/>
          <w:b/>
          <w:spacing w:val="6"/>
          <w:sz w:val="32"/>
          <w:szCs w:val="32"/>
        </w:rPr>
        <w:t>新时代对卫生健康事业提出新要求</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党的十九大把实施健康中国战略提升到国家整体战略层面统筹谋划，明确了新时代党的卫生健康工作方针，强化提高人民健康水平的制度保障，坚持预防为主，稳步发展公共卫生服务体系。以习近平同志为核心的党中央坚持把人民生命安全和身体健康放在第一位，围绕人民健康是社会文明进步的基础，坚持以人民为中心，坚持人民至上、生命至上，将健康融入所有政策，把人民健康放在优先发展的战略位置，为推动新时代卫生健康事业高质量发展指明了方向。</w:t>
      </w:r>
    </w:p>
    <w:p>
      <w:pPr>
        <w:numPr>
          <w:ilvl w:val="0"/>
          <w:numId w:val="4"/>
        </w:numPr>
        <w:spacing w:beforeLines="50" w:afterLines="50" w:line="500" w:lineRule="exact"/>
        <w:ind w:firstLine="667" w:firstLineChars="200"/>
        <w:outlineLvl w:val="3"/>
        <w:rPr>
          <w:rFonts w:ascii="仿宋" w:hAnsi="仿宋" w:eastAsia="仿宋" w:cs="仿宋"/>
          <w:b/>
          <w:spacing w:val="6"/>
          <w:sz w:val="32"/>
          <w:szCs w:val="32"/>
        </w:rPr>
      </w:pPr>
      <w:r>
        <w:rPr>
          <w:rFonts w:hint="eastAsia" w:ascii="仿宋" w:hAnsi="仿宋" w:eastAsia="仿宋" w:cs="仿宋"/>
          <w:b/>
          <w:spacing w:val="6"/>
          <w:sz w:val="32"/>
          <w:szCs w:val="32"/>
        </w:rPr>
        <w:t>医疗卫生体制改革带来新动力</w:t>
      </w:r>
    </w:p>
    <w:p>
      <w:pPr>
        <w:tabs>
          <w:tab w:val="left" w:pos="3241"/>
        </w:tabs>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随着医学科技的发展，尤其是移动医疗的蓬勃发展与互联网技术的广泛应用，卫生管理模式逐步走向健康管理模式，医药卫生体制改革已取得阶段性成果。随着下一步医改工作的全面深入推进，卫生事业投入将不断增加，医疗服务价格体系将更加合理，医疗保障制度将更加完善，卫生法制将更加健全，各项体制机制逐渐理顺，符合国情的基本医疗卫生制度进一步加快建立，为卫生事业发展带来新动力。</w:t>
      </w:r>
    </w:p>
    <w:p>
      <w:pPr>
        <w:numPr>
          <w:ilvl w:val="0"/>
          <w:numId w:val="4"/>
        </w:numPr>
        <w:spacing w:beforeLines="50" w:afterLines="50" w:line="500" w:lineRule="exact"/>
        <w:ind w:firstLine="667" w:firstLineChars="200"/>
        <w:outlineLvl w:val="3"/>
        <w:rPr>
          <w:rFonts w:ascii="仿宋" w:hAnsi="仿宋" w:eastAsia="仿宋" w:cs="仿宋"/>
          <w:b/>
          <w:spacing w:val="6"/>
          <w:sz w:val="32"/>
          <w:szCs w:val="32"/>
        </w:rPr>
      </w:pPr>
      <w:r>
        <w:rPr>
          <w:rFonts w:hint="eastAsia" w:ascii="仿宋" w:hAnsi="仿宋" w:eastAsia="仿宋" w:cs="仿宋"/>
          <w:b/>
          <w:spacing w:val="6"/>
          <w:sz w:val="32"/>
          <w:szCs w:val="32"/>
        </w:rPr>
        <w:t>推进康养产业发展带来新动力</w:t>
      </w:r>
    </w:p>
    <w:p>
      <w:pPr>
        <w:tabs>
          <w:tab w:val="left" w:pos="3241"/>
        </w:tabs>
        <w:spacing w:line="500" w:lineRule="exact"/>
        <w:ind w:firstLine="664" w:firstLineChars="200"/>
        <w:rPr>
          <w:rFonts w:ascii="仿宋" w:hAnsi="仿宋" w:eastAsia="仿宋" w:cs="仿宋"/>
          <w:spacing w:val="6"/>
          <w:sz w:val="32"/>
          <w:szCs w:val="32"/>
          <w:shd w:val="clear" w:color="auto" w:fill="FFFFFF"/>
        </w:rPr>
      </w:pPr>
      <w:r>
        <w:rPr>
          <w:rFonts w:hint="eastAsia" w:ascii="仿宋" w:hAnsi="仿宋" w:eastAsia="仿宋" w:cs="仿宋"/>
          <w:bCs/>
          <w:spacing w:val="6"/>
          <w:sz w:val="32"/>
          <w:szCs w:val="32"/>
        </w:rPr>
        <w:t>国家卫健委、中医药管理局等部门颁布的《进一步改善医疗服务行动计划(2018-2020年)》和《关于促进护理服务业改革与发展的指导意见》两个文件，将统筹整合医疗、护理、康复和养老服务资源，老年护理、康复护理、安宁疗护等延伸至基层医疗卫生机构，二级以上医院与养老机构建立合作机制，养老机构举办医务室、护理站等。随着经济发展和人口老龄化加剧，人们的健康养老意识增强，对康养产品和服务的需求爆发式增长，推进康养产业发展，对卫生健康事业发展也带来新动力。</w:t>
      </w:r>
    </w:p>
    <w:p>
      <w:pPr>
        <w:numPr>
          <w:ilvl w:val="0"/>
          <w:numId w:val="3"/>
        </w:numPr>
        <w:spacing w:beforeLines="50" w:afterLines="50" w:line="500" w:lineRule="exact"/>
        <w:ind w:firstLine="667" w:firstLineChars="200"/>
        <w:outlineLvl w:val="1"/>
        <w:rPr>
          <w:rFonts w:ascii="仿宋" w:hAnsi="仿宋" w:eastAsia="仿宋" w:cs="仿宋"/>
          <w:b/>
          <w:spacing w:val="6"/>
          <w:sz w:val="32"/>
          <w:szCs w:val="32"/>
        </w:rPr>
      </w:pPr>
      <w:bookmarkStart w:id="24" w:name="_Toc57878421"/>
      <w:bookmarkStart w:id="25" w:name="_Toc25249"/>
      <w:r>
        <w:rPr>
          <w:rFonts w:hint="eastAsia" w:ascii="仿宋" w:hAnsi="仿宋" w:eastAsia="仿宋" w:cs="仿宋"/>
          <w:b/>
          <w:spacing w:val="6"/>
          <w:sz w:val="32"/>
          <w:szCs w:val="32"/>
        </w:rPr>
        <w:t>面临的挑战</w:t>
      </w:r>
      <w:bookmarkEnd w:id="24"/>
      <w:bookmarkEnd w:id="25"/>
    </w:p>
    <w:p>
      <w:pPr>
        <w:numPr>
          <w:ilvl w:val="0"/>
          <w:numId w:val="5"/>
        </w:numPr>
        <w:spacing w:beforeLines="50" w:afterLines="50" w:line="500" w:lineRule="exact"/>
        <w:ind w:firstLine="667" w:firstLineChars="200"/>
        <w:outlineLvl w:val="2"/>
        <w:rPr>
          <w:rFonts w:ascii="仿宋" w:hAnsi="仿宋" w:eastAsia="仿宋" w:cs="仿宋"/>
          <w:b/>
          <w:spacing w:val="6"/>
          <w:sz w:val="32"/>
          <w:szCs w:val="32"/>
        </w:rPr>
      </w:pPr>
      <w:r>
        <w:rPr>
          <w:rFonts w:hint="eastAsia" w:ascii="仿宋" w:hAnsi="仿宋" w:eastAsia="仿宋" w:cs="仿宋"/>
          <w:b/>
          <w:spacing w:val="6"/>
          <w:sz w:val="32"/>
          <w:szCs w:val="32"/>
        </w:rPr>
        <w:t>构建强大公共卫生体系面临新挑战</w:t>
      </w:r>
    </w:p>
    <w:p>
      <w:pPr>
        <w:tabs>
          <w:tab w:val="left" w:pos="3241"/>
        </w:tabs>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2020年初暴发的新冠肺炎疫情给人民健康、国家安全带来重大挑战，也使各方面更加深刻认识到预防和控制重大疾病尤其是传染病，对于促进社会和谐稳定与持续发展的重要作用。党中央要求要强化底线思维，增强忧患意识，时刻防范卫生健康领域重大风险，要构建强大公共卫生体系，健全预警响应机制，全面提升防控和救治能力。针对在疫情防控中暴露出公共卫生领域存在短板弱项，公共卫生体系建设相对滞后，疾病控制、采供血等公共卫生机构业务用房、设备装备和人员配备与国家基本标准差距较大，传染病资源配置不够均衡等问题，都需要进一步探索发现应对重大新发突发传染病存在的薄弱环节，在防范卫生健康领域重大风险方面的短板弱项，探索应对处置规律，加快补短板、堵漏洞、强弱项，进行积极稳妥的改革，织紧织密“防护网”，筑牢筑实“隔离墙”，切实保障公共卫生安全，维护人民健康。</w:t>
      </w:r>
    </w:p>
    <w:p>
      <w:pPr>
        <w:numPr>
          <w:ilvl w:val="0"/>
          <w:numId w:val="5"/>
        </w:numPr>
        <w:spacing w:beforeLines="50" w:afterLines="50" w:line="500" w:lineRule="exact"/>
        <w:ind w:firstLine="667" w:firstLineChars="200"/>
        <w:outlineLvl w:val="2"/>
        <w:rPr>
          <w:rFonts w:ascii="仿宋" w:hAnsi="仿宋" w:eastAsia="仿宋" w:cs="仿宋"/>
          <w:b/>
          <w:spacing w:val="6"/>
          <w:sz w:val="32"/>
          <w:szCs w:val="32"/>
        </w:rPr>
      </w:pPr>
      <w:r>
        <w:rPr>
          <w:rFonts w:hint="eastAsia" w:ascii="仿宋" w:hAnsi="仿宋" w:eastAsia="仿宋" w:cs="仿宋"/>
          <w:b/>
          <w:spacing w:val="6"/>
          <w:sz w:val="32"/>
          <w:szCs w:val="32"/>
        </w:rPr>
        <w:t>人口结构性矛盾突出</w:t>
      </w:r>
    </w:p>
    <w:p>
      <w:pPr>
        <w:tabs>
          <w:tab w:val="left" w:pos="3241"/>
        </w:tabs>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随着人口老龄化趋势的日益明显，上世纪50、60年代生育高峰出生的人口在2020年前后陆续进入老年阶段，届时人口老龄化程度将进一步加剧，老年人医疗保健、康复、护理等服务需求日益增长，康复、老年护理等薄弱环节问题更为凸显。</w:t>
      </w:r>
      <w:r>
        <w:rPr>
          <w:rFonts w:hint="eastAsia" w:ascii="仿宋" w:hAnsi="仿宋" w:eastAsia="仿宋" w:cs="仿宋"/>
          <w:spacing w:val="6"/>
          <w:sz w:val="32"/>
          <w:szCs w:val="32"/>
        </w:rPr>
        <w:t>生育男孩、养儿防老等传统观念依然存在，出生人口性别比仍然失衡。</w:t>
      </w:r>
      <w:r>
        <w:rPr>
          <w:rFonts w:hint="eastAsia" w:ascii="仿宋" w:hAnsi="仿宋" w:eastAsia="仿宋" w:cs="仿宋"/>
          <w:bCs/>
          <w:spacing w:val="6"/>
          <w:sz w:val="32"/>
          <w:szCs w:val="32"/>
        </w:rPr>
        <w:t>随着全面两孩政策的实施，预计“十四五”期间全市出生人口每年维持在2500人左右，妇产、儿科、妇幼保健等相关医疗服务的供需矛盾依然存在。</w:t>
      </w:r>
    </w:p>
    <w:p>
      <w:pPr>
        <w:numPr>
          <w:ilvl w:val="0"/>
          <w:numId w:val="5"/>
        </w:numPr>
        <w:spacing w:beforeLines="50" w:afterLines="50" w:line="500" w:lineRule="exact"/>
        <w:ind w:firstLine="667" w:firstLineChars="200"/>
        <w:outlineLvl w:val="2"/>
        <w:rPr>
          <w:rFonts w:ascii="仿宋" w:hAnsi="仿宋" w:eastAsia="仿宋" w:cs="仿宋"/>
          <w:bCs/>
          <w:spacing w:val="6"/>
          <w:sz w:val="32"/>
          <w:szCs w:val="32"/>
        </w:rPr>
      </w:pPr>
      <w:r>
        <w:rPr>
          <w:rFonts w:hint="eastAsia" w:ascii="仿宋" w:hAnsi="仿宋" w:eastAsia="仿宋" w:cs="仿宋"/>
          <w:b/>
          <w:spacing w:val="6"/>
          <w:sz w:val="32"/>
          <w:szCs w:val="32"/>
        </w:rPr>
        <w:t>医疗服务能力与居民健康服务需求满足度之差的矛盾</w:t>
      </w:r>
    </w:p>
    <w:p>
      <w:pPr>
        <w:tabs>
          <w:tab w:val="left" w:pos="3241"/>
        </w:tabs>
        <w:spacing w:line="500" w:lineRule="exact"/>
        <w:ind w:firstLine="664" w:firstLineChars="200"/>
        <w:rPr>
          <w:rFonts w:hint="eastAsia" w:ascii="仿宋" w:hAnsi="仿宋" w:eastAsia="仿宋" w:cs="仿宋"/>
          <w:bCs/>
          <w:spacing w:val="6"/>
          <w:sz w:val="32"/>
          <w:szCs w:val="32"/>
        </w:rPr>
      </w:pPr>
      <w:r>
        <w:rPr>
          <w:rFonts w:hint="eastAsia" w:ascii="仿宋" w:hAnsi="仿宋" w:eastAsia="仿宋" w:cs="仿宋"/>
          <w:bCs/>
          <w:spacing w:val="6"/>
          <w:sz w:val="32"/>
          <w:szCs w:val="32"/>
        </w:rPr>
        <w:t>随着经济不断发展，城乡居民的生活水平和支付能力提高，健康观念、健康意识也随之增强，人民群众日益增长的多层次、多样化的医疗卫生需求对医疗卫生服务能力提升、卫生资源配置、卫生服务方式转变和医疗保障制度建设提出了更高要求。医疗卫生服务能力与群众健康需求，特别是与高质量、高水平服务需求之间的矛盾更加突出，加强卫生人才、科技、信息建设，提升卫生服务软实力的要求更加迫切。</w:t>
      </w:r>
    </w:p>
    <w:p>
      <w:pPr>
        <w:tabs>
          <w:tab w:val="left" w:pos="3241"/>
        </w:tabs>
        <w:spacing w:line="500" w:lineRule="exact"/>
        <w:ind w:firstLine="664" w:firstLineChars="200"/>
        <w:rPr>
          <w:rFonts w:hint="eastAsia" w:ascii="仿宋" w:hAnsi="仿宋" w:eastAsia="仿宋" w:cs="仿宋"/>
          <w:bCs/>
          <w:spacing w:val="6"/>
          <w:sz w:val="32"/>
          <w:szCs w:val="32"/>
        </w:rPr>
      </w:pPr>
    </w:p>
    <w:p>
      <w:pPr>
        <w:tabs>
          <w:tab w:val="left" w:pos="3241"/>
        </w:tabs>
        <w:spacing w:line="500" w:lineRule="exact"/>
        <w:ind w:firstLine="664" w:firstLineChars="200"/>
        <w:rPr>
          <w:rFonts w:hint="eastAsia" w:ascii="仿宋" w:hAnsi="仿宋" w:eastAsia="仿宋" w:cs="仿宋"/>
          <w:bCs/>
          <w:spacing w:val="6"/>
          <w:sz w:val="32"/>
          <w:szCs w:val="32"/>
        </w:rPr>
      </w:pPr>
    </w:p>
    <w:p>
      <w:pPr>
        <w:tabs>
          <w:tab w:val="left" w:pos="3241"/>
        </w:tabs>
        <w:spacing w:line="500" w:lineRule="exact"/>
        <w:ind w:firstLine="664" w:firstLineChars="200"/>
        <w:rPr>
          <w:rFonts w:hint="eastAsia" w:ascii="仿宋" w:hAnsi="仿宋" w:eastAsia="仿宋" w:cs="仿宋"/>
          <w:bCs/>
          <w:spacing w:val="6"/>
          <w:sz w:val="32"/>
          <w:szCs w:val="32"/>
        </w:rPr>
      </w:pPr>
    </w:p>
    <w:p>
      <w:pPr>
        <w:numPr>
          <w:ilvl w:val="0"/>
          <w:numId w:val="2"/>
        </w:numPr>
        <w:spacing w:beforeLines="50" w:afterLines="50" w:line="500" w:lineRule="exact"/>
        <w:jc w:val="center"/>
        <w:outlineLvl w:val="0"/>
        <w:rPr>
          <w:rFonts w:ascii="仿宋" w:hAnsi="仿宋" w:eastAsia="仿宋" w:cs="仿宋"/>
          <w:b/>
          <w:spacing w:val="6"/>
          <w:sz w:val="32"/>
          <w:szCs w:val="32"/>
        </w:rPr>
      </w:pPr>
      <w:bookmarkStart w:id="26" w:name="_Toc57878422"/>
      <w:bookmarkStart w:id="27" w:name="_Toc13077"/>
      <w:r>
        <w:rPr>
          <w:rFonts w:hint="eastAsia" w:ascii="仿宋" w:hAnsi="仿宋" w:eastAsia="仿宋" w:cs="仿宋"/>
          <w:b/>
          <w:spacing w:val="6"/>
          <w:sz w:val="32"/>
          <w:szCs w:val="32"/>
        </w:rPr>
        <w:t>规划背景、规划依据和原则</w:t>
      </w:r>
      <w:bookmarkEnd w:id="26"/>
      <w:bookmarkEnd w:id="27"/>
    </w:p>
    <w:p>
      <w:pPr>
        <w:numPr>
          <w:ilvl w:val="0"/>
          <w:numId w:val="6"/>
        </w:numPr>
        <w:spacing w:beforeLines="50" w:afterLines="50" w:line="500" w:lineRule="exact"/>
        <w:ind w:firstLine="667" w:firstLineChars="200"/>
        <w:outlineLvl w:val="1"/>
        <w:rPr>
          <w:rFonts w:ascii="仿宋" w:hAnsi="仿宋" w:eastAsia="仿宋" w:cs="仿宋"/>
          <w:b/>
          <w:spacing w:val="6"/>
          <w:sz w:val="32"/>
          <w:szCs w:val="32"/>
        </w:rPr>
      </w:pPr>
      <w:bookmarkStart w:id="28" w:name="_Toc57878423"/>
      <w:bookmarkStart w:id="29" w:name="_Toc9614"/>
      <w:r>
        <w:rPr>
          <w:rFonts w:hint="eastAsia" w:ascii="仿宋" w:hAnsi="仿宋" w:eastAsia="仿宋" w:cs="仿宋"/>
          <w:b/>
          <w:spacing w:val="6"/>
          <w:sz w:val="32"/>
          <w:szCs w:val="32"/>
        </w:rPr>
        <w:t>规划背景</w:t>
      </w:r>
      <w:bookmarkEnd w:id="28"/>
      <w:bookmarkEnd w:id="29"/>
    </w:p>
    <w:p>
      <w:pPr>
        <w:pStyle w:val="11"/>
        <w:widowControl/>
        <w:spacing w:before="0" w:beforeAutospacing="0" w:after="0" w:afterAutospacing="0" w:line="500" w:lineRule="exact"/>
        <w:ind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如何在未来一个时期发展卫生健康事业，推进“健康中国”建设，促进人口均衡发展，具有重要的现实意义。特别是“十四五”时期，国家将着力推进供给侧结构性改革，对深化医药卫生体制改革、促进健康产业发展提出了新任务。在建设机制活、产业优、生态美、百姓富的新漳平，必须把保护和增进人民健康摆上更加重要的位置，采取更加有力的措施，不断增进群众健康福祉。“十四五”时期要进一步顺应人民群众对健康快乐的本质需求，把打造“健康漳平”列入民生“1号工程”当中。本规划为制定公共健康政策、安排重大投资项目、引导社会力量发展卫生健康相关事业的重要依据。围绕提升医疗卫生和公共卫生服务水平，深化医药卫生体制改革，健全覆盖城乡的基本医疗卫生制度和现代医疗卫生健康体系，促使“健康漳平”落地落响，让漳平人民获得更多的幸福感、健康感。</w:t>
      </w:r>
    </w:p>
    <w:p>
      <w:pPr>
        <w:numPr>
          <w:ilvl w:val="0"/>
          <w:numId w:val="6"/>
        </w:numPr>
        <w:spacing w:beforeLines="50" w:afterLines="50" w:line="500" w:lineRule="exact"/>
        <w:ind w:firstLine="667" w:firstLineChars="200"/>
        <w:outlineLvl w:val="1"/>
        <w:rPr>
          <w:rFonts w:ascii="仿宋" w:hAnsi="仿宋" w:eastAsia="仿宋" w:cs="仿宋"/>
          <w:b/>
          <w:spacing w:val="6"/>
          <w:sz w:val="32"/>
          <w:szCs w:val="32"/>
        </w:rPr>
      </w:pPr>
      <w:bookmarkStart w:id="30" w:name="_Toc57878424"/>
      <w:bookmarkStart w:id="31" w:name="_Toc2585"/>
      <w:r>
        <w:rPr>
          <w:rFonts w:hint="eastAsia" w:ascii="仿宋" w:hAnsi="仿宋" w:eastAsia="仿宋" w:cs="仿宋"/>
          <w:b/>
          <w:spacing w:val="6"/>
          <w:sz w:val="32"/>
          <w:szCs w:val="32"/>
        </w:rPr>
        <w:t>规划依据</w:t>
      </w:r>
      <w:bookmarkEnd w:id="30"/>
      <w:bookmarkEnd w:id="31"/>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《国务院办公厅关于印发全国医疗卫生服务体系规划纲要（2015—2020年）的通知》国办发〔2015〕14号；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国家发改委会同国家卫计委等四部门发布《关于印发推进医疗服务价格改革意见的通知》发改价格[2016]1431号；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《关于开展公立医院薪酬制度改革试点工作的指导意见》人社部发〔2017〕10号；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《关于坚持以人民健康为中心推动医疗服务高质量发展的意见》国卫医发〔2018〕29号；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《中共中央 国务院关于深化医药卫生体制改革的意见》；</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《“健康中国2030”规划纲要》；</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《中共中央 国务院关于促进中医药传承创新发展的意见》；</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《关于推进医疗保障基金监管制度体系改革的指导意见》国办发2020〕20号；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《关于深化我国医疗保障制度改革的意见》；</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《国家二级公立医院绩效考核操作手册(2020 版)》；</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《关于印发福建省深化医药卫生体制改革2020年重点工作任务及分工方案的通知》闽医改组〔2020〕1号；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《关于坚持以人民健康为中心推动医疗服务高质量发展的意见》；</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《关于应发公共卫生防控救治能力建设方案的通知》发改社会〔2020〕735号；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《福建省“十四五”卫生健康事业发展专项规划》；</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《福建省深化医药卫生体制改革领导小组关于印发2018年度县域紧密型医共体建设绩效考核指标说明的通知》闽医改组〔2018〕2号；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《中共福建省委 福建省人民政府关于印发〈福建省深化医药卫生体制改革综合试点方案〉的通知》；</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《龙岩市深化医药卫生体制改革综合试点实施方案》；</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龙岩市《关于推进紧密型县域医共体建设实施方案》龙医改组〔2020〕1号；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《龙岩市进一步深化医疗卫生体制改革若干措施的通知案》岩委办〔2020〕13号；</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《关于健全公共卫生应急物资保障体系实施方案》；</w:t>
      </w:r>
    </w:p>
    <w:p>
      <w:pPr>
        <w:pStyle w:val="11"/>
        <w:numPr>
          <w:ilvl w:val="0"/>
          <w:numId w:val="7"/>
        </w:numPr>
        <w:spacing w:before="0" w:beforeAutospacing="0" w:after="0" w:afterAutospacing="0" w:line="500" w:lineRule="exact"/>
        <w:ind w:left="0" w:firstLine="664" w:firstLineChars="200"/>
        <w:jc w:val="both"/>
        <w:rPr>
          <w:rFonts w:ascii="仿宋" w:hAnsi="仿宋" w:eastAsia="仿宋" w:cs="仿宋"/>
          <w:bCs/>
          <w:spacing w:val="6"/>
          <w:kern w:val="2"/>
          <w:sz w:val="32"/>
          <w:szCs w:val="32"/>
        </w:rPr>
      </w:pPr>
      <w:r>
        <w:rPr>
          <w:rFonts w:hint="eastAsia" w:ascii="仿宋" w:hAnsi="仿宋" w:eastAsia="仿宋" w:cs="仿宋"/>
          <w:bCs/>
          <w:spacing w:val="6"/>
          <w:kern w:val="2"/>
          <w:sz w:val="32"/>
          <w:szCs w:val="32"/>
        </w:rPr>
        <w:t>漳平市卫生健康事业发展相关资料；</w:t>
      </w:r>
    </w:p>
    <w:p>
      <w:pPr>
        <w:numPr>
          <w:ilvl w:val="0"/>
          <w:numId w:val="6"/>
        </w:numPr>
        <w:spacing w:beforeLines="50" w:afterLines="50" w:line="500" w:lineRule="exact"/>
        <w:ind w:firstLine="667" w:firstLineChars="200"/>
        <w:outlineLvl w:val="1"/>
        <w:rPr>
          <w:rFonts w:ascii="仿宋" w:hAnsi="仿宋" w:eastAsia="仿宋" w:cs="仿宋"/>
          <w:b/>
          <w:spacing w:val="6"/>
          <w:sz w:val="32"/>
          <w:szCs w:val="32"/>
        </w:rPr>
      </w:pPr>
      <w:bookmarkStart w:id="32" w:name="_Toc12869"/>
      <w:bookmarkStart w:id="33" w:name="_Toc57878425"/>
      <w:r>
        <w:rPr>
          <w:rFonts w:hint="eastAsia" w:ascii="仿宋" w:hAnsi="仿宋" w:eastAsia="仿宋" w:cs="仿宋"/>
          <w:b/>
          <w:spacing w:val="6"/>
          <w:sz w:val="32"/>
          <w:szCs w:val="32"/>
        </w:rPr>
        <w:t>规划原则</w:t>
      </w:r>
      <w:bookmarkEnd w:id="32"/>
      <w:bookmarkEnd w:id="33"/>
    </w:p>
    <w:p>
      <w:pPr>
        <w:numPr>
          <w:ilvl w:val="0"/>
          <w:numId w:val="8"/>
        </w:numPr>
        <w:spacing w:beforeLines="50" w:afterLines="50" w:line="500" w:lineRule="exact"/>
        <w:ind w:firstLine="667" w:firstLineChars="200"/>
        <w:outlineLvl w:val="2"/>
        <w:rPr>
          <w:rFonts w:ascii="仿宋" w:hAnsi="仿宋" w:eastAsia="仿宋" w:cs="仿宋"/>
          <w:b/>
          <w:spacing w:val="6"/>
          <w:sz w:val="32"/>
          <w:szCs w:val="32"/>
        </w:rPr>
      </w:pPr>
      <w:r>
        <w:rPr>
          <w:rFonts w:hint="eastAsia" w:ascii="仿宋" w:hAnsi="仿宋" w:eastAsia="仿宋" w:cs="仿宋"/>
          <w:b/>
          <w:spacing w:val="6"/>
          <w:sz w:val="32"/>
          <w:szCs w:val="32"/>
        </w:rPr>
        <w:t>问计于民原则</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围绕人民至上，生命至上，以健康需求和解决人民群众最关心、最直接、反映最突出的健康问题为出发点和落脚点，为人民群众提供公开、可及的健康服务，促进卫生健康事业更好更快发展。</w:t>
      </w:r>
    </w:p>
    <w:p>
      <w:pPr>
        <w:numPr>
          <w:ilvl w:val="0"/>
          <w:numId w:val="8"/>
        </w:numPr>
        <w:spacing w:beforeLines="50" w:afterLines="50" w:line="500" w:lineRule="exact"/>
        <w:ind w:firstLine="667" w:firstLineChars="200"/>
        <w:outlineLvl w:val="2"/>
        <w:rPr>
          <w:rFonts w:ascii="仿宋" w:hAnsi="仿宋" w:eastAsia="仿宋" w:cs="仿宋"/>
          <w:b/>
          <w:spacing w:val="6"/>
          <w:sz w:val="32"/>
          <w:szCs w:val="32"/>
        </w:rPr>
      </w:pPr>
      <w:r>
        <w:rPr>
          <w:rFonts w:hint="eastAsia" w:ascii="仿宋" w:hAnsi="仿宋" w:eastAsia="仿宋" w:cs="仿宋"/>
          <w:b/>
          <w:spacing w:val="6"/>
          <w:sz w:val="32"/>
          <w:szCs w:val="32"/>
        </w:rPr>
        <w:t>均衡发展原则</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bCs/>
          <w:spacing w:val="6"/>
          <w:sz w:val="32"/>
          <w:szCs w:val="32"/>
        </w:rPr>
        <w:t>遵循统筹城乡、均衡分布、需求导向和与经济社会协调发展原则，维护基本医疗和基本公共卫生的公益性。充分调动社会办医的积极性和创造性，形成举办主体多元化、投资方式多样化的办医新格局。合理配置医疗卫生资源，推进城乡协调发展，注重预防、医疗、康复相结合，中西医并重，补齐短板，增强医疗卫生事业发展的整体性和均衡性。</w:t>
      </w:r>
    </w:p>
    <w:p>
      <w:pPr>
        <w:numPr>
          <w:ilvl w:val="0"/>
          <w:numId w:val="8"/>
        </w:numPr>
        <w:spacing w:beforeLines="50" w:afterLines="50" w:line="500" w:lineRule="exact"/>
        <w:ind w:firstLine="667" w:firstLineChars="200"/>
        <w:outlineLvl w:val="2"/>
        <w:rPr>
          <w:rFonts w:ascii="仿宋" w:hAnsi="仿宋" w:eastAsia="仿宋" w:cs="仿宋"/>
          <w:b/>
          <w:spacing w:val="6"/>
          <w:sz w:val="32"/>
          <w:szCs w:val="32"/>
        </w:rPr>
      </w:pPr>
      <w:r>
        <w:rPr>
          <w:rFonts w:hint="eastAsia" w:ascii="仿宋" w:hAnsi="仿宋" w:eastAsia="仿宋" w:cs="仿宋"/>
          <w:b/>
          <w:spacing w:val="6"/>
          <w:sz w:val="32"/>
          <w:szCs w:val="32"/>
        </w:rPr>
        <w:t>创新驱动原则</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实现发展方式由以疾病为中心向以健康为中心转变，推进卫生事业发展由外延粗放式增长向内涵效益型发展转变，促进卫生服务功能与技术转型升级。增强诊疗与康养双驱动，从注重疾病治疗向注重健康促进转变，从注重个体服务向注重家庭和社会群体服务转变。适应新的医学模式，医疗卫生工作关口前移和重心下沉，建立有效的分级诊疗制度。</w:t>
      </w:r>
      <w:bookmarkStart w:id="34" w:name="_Toc403211026"/>
      <w:bookmarkEnd w:id="34"/>
    </w:p>
    <w:p>
      <w:pPr>
        <w:numPr>
          <w:ilvl w:val="0"/>
          <w:numId w:val="8"/>
        </w:numPr>
        <w:spacing w:beforeLines="50" w:afterLines="50" w:line="500" w:lineRule="exact"/>
        <w:ind w:firstLine="667" w:firstLineChars="200"/>
        <w:outlineLvl w:val="2"/>
        <w:rPr>
          <w:rFonts w:ascii="仿宋" w:hAnsi="仿宋" w:eastAsia="仿宋" w:cs="仿宋"/>
          <w:b/>
          <w:spacing w:val="6"/>
          <w:sz w:val="32"/>
          <w:szCs w:val="32"/>
        </w:rPr>
      </w:pPr>
      <w:r>
        <w:rPr>
          <w:rFonts w:hint="eastAsia" w:ascii="仿宋" w:hAnsi="仿宋" w:eastAsia="仿宋" w:cs="仿宋"/>
          <w:b/>
          <w:spacing w:val="6"/>
          <w:sz w:val="32"/>
          <w:szCs w:val="32"/>
        </w:rPr>
        <w:t>高质量发展原则</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bCs/>
          <w:spacing w:val="6"/>
          <w:sz w:val="32"/>
          <w:szCs w:val="32"/>
        </w:rPr>
        <w:t>贯彻新发展理念，坚持人民至上、生命至上的发展思想，创建医学中心，优质医疗资源下沉，提升县域综合服务能力，推动高质量发展。努力促进卫生事业的协调发展，基础设施建设与事业成长的协同推进。全面推进医疗、医保、医药向全联深动迈进。</w:t>
      </w:r>
    </w:p>
    <w:p>
      <w:pPr>
        <w:numPr>
          <w:ilvl w:val="0"/>
          <w:numId w:val="2"/>
        </w:numPr>
        <w:spacing w:beforeLines="50" w:afterLines="50" w:line="500" w:lineRule="exact"/>
        <w:jc w:val="center"/>
        <w:outlineLvl w:val="0"/>
        <w:rPr>
          <w:rFonts w:ascii="仿宋" w:hAnsi="仿宋" w:eastAsia="仿宋" w:cs="仿宋"/>
          <w:b/>
          <w:spacing w:val="6"/>
          <w:sz w:val="32"/>
          <w:szCs w:val="32"/>
        </w:rPr>
      </w:pPr>
      <w:bookmarkStart w:id="35" w:name="_Toc23373"/>
      <w:bookmarkStart w:id="36" w:name="_Toc57878426"/>
      <w:r>
        <w:rPr>
          <w:rFonts w:hint="eastAsia" w:ascii="仿宋" w:hAnsi="仿宋" w:eastAsia="仿宋" w:cs="仿宋"/>
          <w:b/>
          <w:spacing w:val="6"/>
          <w:sz w:val="32"/>
          <w:szCs w:val="32"/>
        </w:rPr>
        <w:t>规划指导思想和发展目标</w:t>
      </w:r>
      <w:bookmarkEnd w:id="35"/>
      <w:bookmarkEnd w:id="36"/>
    </w:p>
    <w:p>
      <w:pPr>
        <w:numPr>
          <w:ilvl w:val="0"/>
          <w:numId w:val="9"/>
        </w:numPr>
        <w:spacing w:beforeLines="50" w:afterLines="50" w:line="500" w:lineRule="exact"/>
        <w:ind w:firstLine="667" w:firstLineChars="200"/>
        <w:outlineLvl w:val="1"/>
        <w:rPr>
          <w:rFonts w:ascii="仿宋" w:hAnsi="仿宋" w:eastAsia="仿宋" w:cs="仿宋"/>
          <w:b/>
          <w:spacing w:val="6"/>
          <w:sz w:val="32"/>
          <w:szCs w:val="32"/>
        </w:rPr>
      </w:pPr>
      <w:bookmarkStart w:id="37" w:name="_Toc21184"/>
      <w:bookmarkStart w:id="38" w:name="_Toc57878427"/>
      <w:r>
        <w:rPr>
          <w:rFonts w:hint="eastAsia" w:ascii="仿宋" w:hAnsi="仿宋" w:eastAsia="仿宋" w:cs="仿宋"/>
          <w:b/>
          <w:spacing w:val="6"/>
          <w:sz w:val="32"/>
          <w:szCs w:val="32"/>
        </w:rPr>
        <w:t>指导思想</w:t>
      </w:r>
      <w:bookmarkEnd w:id="37"/>
      <w:bookmarkEnd w:id="38"/>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以习近平新时代中国特色社会主义思想为指导，坚持新时代卫生健康工作方针，全面贯彻党的十九大和十九届二中、三中、四中、五中全会精神，坚持以人民为中心的思想，牢固树立大卫生、大健康理念。以健康中国战略为统领，坚持“问计于民”原则，把经济发展的成果“共享”显著体现在人民卫生与健康之上。以预防为主线，以健康服务供给为重点，持续深化医药卫生体制改革。坚持推进以治病为中心向以健康为中心转变，持续推进卫生健康公共资源向基层延伸、向农村覆盖。坚持推进卫生健康基本公共服务均等化、普惠化、便捷化，显著提高漳平人民健康水平，为打造“产城人”融合发展示范区、建设宜居宜业的现代化生态漳平做出新贡献。</w:t>
      </w:r>
    </w:p>
    <w:p>
      <w:pPr>
        <w:numPr>
          <w:ilvl w:val="0"/>
          <w:numId w:val="9"/>
        </w:numPr>
        <w:spacing w:beforeLines="50" w:afterLines="50" w:line="500" w:lineRule="exact"/>
        <w:ind w:firstLine="667" w:firstLineChars="200"/>
        <w:outlineLvl w:val="1"/>
        <w:rPr>
          <w:rFonts w:ascii="仿宋" w:hAnsi="仿宋" w:eastAsia="仿宋" w:cs="仿宋"/>
          <w:b/>
          <w:spacing w:val="6"/>
          <w:sz w:val="32"/>
          <w:szCs w:val="32"/>
        </w:rPr>
      </w:pPr>
      <w:bookmarkStart w:id="39" w:name="_Toc57878428"/>
      <w:bookmarkStart w:id="40" w:name="_Toc20274"/>
      <w:r>
        <w:rPr>
          <w:rFonts w:hint="eastAsia" w:ascii="仿宋" w:hAnsi="仿宋" w:eastAsia="仿宋" w:cs="仿宋"/>
          <w:b/>
          <w:spacing w:val="6"/>
          <w:sz w:val="32"/>
          <w:szCs w:val="32"/>
        </w:rPr>
        <w:t>发展目标</w:t>
      </w:r>
      <w:bookmarkEnd w:id="39"/>
      <w:bookmarkEnd w:id="40"/>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到2025年，进一步完善国民健康政策，为人民群众提供全方位全生命周期健康服务，卫生健康实现高质量发展超越，居民健康指标继续保持全国水平。基本公共卫生服务体系健全，医疗卫生服务能力提升，“三医”全联深动推进，整合型服务体系初步构建，现代医院管理制度建立，实现城乡均等化发展，人均预期寿命在2020年基础上提高1岁，“健康漳平”战略实施成效显著，在创建省级卫生城市、</w:t>
      </w:r>
      <w:r>
        <w:rPr>
          <w:rFonts w:hint="eastAsia" w:ascii="仿宋" w:hAnsi="仿宋" w:eastAsia="仿宋" w:cs="仿宋"/>
          <w:bCs/>
          <w:spacing w:val="11"/>
          <w:kern w:val="0"/>
          <w:sz w:val="32"/>
          <w:szCs w:val="32"/>
        </w:rPr>
        <w:t>全民运动健身模范市</w:t>
      </w:r>
      <w:r>
        <w:rPr>
          <w:rFonts w:hint="eastAsia" w:ascii="仿宋" w:hAnsi="仿宋" w:eastAsia="仿宋" w:cs="仿宋"/>
          <w:spacing w:val="6"/>
          <w:sz w:val="32"/>
          <w:szCs w:val="32"/>
        </w:rPr>
        <w:t>的基础上，通过“十四五”时期的努力，创建“国家卫生城市、全国群众体育先进集体”，建设健康、宜居、美丽家园。</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——制度体系更加成熟定型。持续深化医药卫生体制改革、卫生计生及法律制度进一步健全实施，治理体系和治理能力现代化水平不断提升，健康融入政策实施有效。</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医疗卫生服务能力和质量大幅提高。公共卫生服务卫生体系进一步完善，执业环境不断改善，医疗服务高质量发展，更好满足人民群众基本医疗卫生服务需求和多样化、多层次诊疗需求、群众对诊疗能力与健康服务的满意度提升到90%以上。</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疾病预防控制成效显著。坚持预防为主，防抗救相结合，完善重大疫情防控体制机制，健全公共卫生应急管理体系建设，重点传染病等疾病突发的防控能力加强，提升居民健康素养，有效控制健康危险因素，消除一批重大疾病，做到早发现、早诊疗。</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——健康服务模式实现转变。康养产业实现新发展，“康养漳平”成为国家级新名片，农村健康服务模式适应农村老人康养。</w:t>
      </w:r>
    </w:p>
    <w:p>
      <w:pPr>
        <w:spacing w:line="500" w:lineRule="exact"/>
        <w:ind w:firstLine="664" w:firstLineChars="200"/>
        <w:rPr>
          <w:rFonts w:hint="eastAsia" w:ascii="仿宋" w:hAnsi="仿宋" w:eastAsia="仿宋" w:cs="仿宋"/>
          <w:spacing w:val="6"/>
          <w:sz w:val="32"/>
          <w:szCs w:val="32"/>
        </w:rPr>
      </w:pPr>
      <w:r>
        <w:rPr>
          <w:rFonts w:hint="eastAsia" w:ascii="仿宋" w:hAnsi="仿宋" w:eastAsia="仿宋" w:cs="仿宋"/>
          <w:spacing w:val="6"/>
          <w:sz w:val="32"/>
          <w:szCs w:val="32"/>
        </w:rPr>
        <w:t>——保障持续发展明显改善。政府投入力度不断加大，筹资渠道更加多元，群众医药费用负担进一步减轻，个人卫生支出占卫生总费用比重下降到25%左右。完善医学人才培养和发展体系，促进人岗相宜、人尽其才，增强卫生健康行业对优秀人才的吸引力。医疗健康信息化、智能化水平不断提高。</w:t>
      </w:r>
    </w:p>
    <w:p>
      <w:pPr>
        <w:spacing w:line="500" w:lineRule="exact"/>
        <w:ind w:firstLine="664" w:firstLineChars="200"/>
        <w:rPr>
          <w:rFonts w:hint="eastAsia" w:ascii="仿宋" w:hAnsi="仿宋" w:eastAsia="仿宋" w:cs="仿宋"/>
          <w:spacing w:val="6"/>
          <w:sz w:val="32"/>
          <w:szCs w:val="32"/>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表1  主要发展指标 </w:t>
      </w:r>
    </w:p>
    <w:tbl>
      <w:tblPr>
        <w:tblStyle w:val="12"/>
        <w:tblW w:w="53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90"/>
        <w:gridCol w:w="4647"/>
        <w:gridCol w:w="856"/>
        <w:gridCol w:w="85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731"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领域</w:t>
            </w:r>
          </w:p>
        </w:tc>
        <w:tc>
          <w:tcPr>
            <w:tcW w:w="2634"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主要指标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单位</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2020年现状</w:t>
            </w:r>
          </w:p>
        </w:tc>
        <w:tc>
          <w:tcPr>
            <w:tcW w:w="662"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规划</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restar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居民</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健康水平</w:t>
            </w: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人均预期寿命</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岁</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78.29</w:t>
            </w:r>
          </w:p>
        </w:tc>
        <w:tc>
          <w:tcPr>
            <w:tcW w:w="662" w:type="pct"/>
            <w:tcMar>
              <w:top w:w="15" w:type="dxa"/>
              <w:left w:w="15" w:type="dxa"/>
              <w:right w:w="15"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rPr>
              <w:t>79</w:t>
            </w:r>
            <w:r>
              <w:rPr>
                <w:rFonts w:hint="eastAsia" w:ascii="仿宋" w:hAnsi="仿宋" w:eastAsia="仿宋" w:cs="仿宋"/>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孕产妇死亡率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/10万</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0</w:t>
            </w:r>
          </w:p>
        </w:tc>
        <w:tc>
          <w:tcPr>
            <w:tcW w:w="662" w:type="pct"/>
            <w:tcMar>
              <w:top w:w="15" w:type="dxa"/>
              <w:left w:w="15" w:type="dxa"/>
              <w:right w:w="15"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婴儿死亡率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2.6</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restar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卫生健康资源发展</w:t>
            </w: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每千人口医疗卫生机构床位数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张</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662" w:type="pct"/>
            <w:tcMar>
              <w:top w:w="15" w:type="dxa"/>
              <w:left w:w="15" w:type="dxa"/>
              <w:right w:w="15"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kern w:val="0"/>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每千人口执业（助理）医师数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w:t>
            </w:r>
          </w:p>
        </w:tc>
        <w:tc>
          <w:tcPr>
            <w:tcW w:w="485" w:type="pct"/>
            <w:tcMar>
              <w:top w:w="15" w:type="dxa"/>
              <w:left w:w="15" w:type="dxa"/>
              <w:right w:w="15"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2.74</w:t>
            </w:r>
          </w:p>
        </w:tc>
        <w:tc>
          <w:tcPr>
            <w:tcW w:w="662" w:type="pct"/>
            <w:tcMar>
              <w:top w:w="15" w:type="dxa"/>
              <w:left w:w="15" w:type="dxa"/>
              <w:right w:w="15"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kern w:val="0"/>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每千人口注册护士数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3.14</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kern w:val="0"/>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每万人口全科医生数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kern w:val="0"/>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每万人口中医类医院床位数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张</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4.2</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31" w:type="pct"/>
            <w:vMerge w:val="continue"/>
            <w:tcMar>
              <w:top w:w="15" w:type="dxa"/>
              <w:left w:w="15" w:type="dxa"/>
              <w:right w:w="15" w:type="dxa"/>
            </w:tcMar>
            <w:vAlign w:val="center"/>
          </w:tcPr>
          <w:p>
            <w:pPr>
              <w:jc w:val="center"/>
              <w:rPr>
                <w:rFonts w:ascii="仿宋" w:hAnsi="仿宋" w:eastAsia="仿宋" w:cs="仿宋"/>
                <w:kern w:val="0"/>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每万人口中医药人数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3.75</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restar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疾病预防与公共卫生</w:t>
            </w: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每千人口公共卫生人员数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0.83</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每万人口配备疾控人员数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1.12</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widowControl/>
              <w:jc w:val="center"/>
              <w:textAlignment w:val="center"/>
              <w:rPr>
                <w:rFonts w:ascii="仿宋" w:hAnsi="仿宋" w:eastAsia="仿宋" w:cs="仿宋"/>
                <w:kern w:val="0"/>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现存活HIV/AIDS病例数</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人</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45</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适龄儿童免疫规划疫苗接种率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kern w:val="0"/>
                <w:sz w:val="24"/>
                <w:szCs w:val="24"/>
              </w:rPr>
              <w:t>99.7</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重度精神疾病患者管理率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kern w:val="0"/>
                <w:sz w:val="24"/>
                <w:szCs w:val="24"/>
              </w:rPr>
              <w:t>90.28</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糖尿病患者规范管理率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kern w:val="0"/>
                <w:sz w:val="24"/>
                <w:szCs w:val="24"/>
              </w:rPr>
              <w:t>88.89</w:t>
            </w:r>
          </w:p>
        </w:tc>
        <w:tc>
          <w:tcPr>
            <w:tcW w:w="662" w:type="pct"/>
            <w:tcMar>
              <w:top w:w="15" w:type="dxa"/>
              <w:left w:w="15" w:type="dxa"/>
              <w:right w:w="15" w:type="dxa"/>
            </w:tcMar>
            <w:vAlign w:val="center"/>
          </w:tcPr>
          <w:p>
            <w:pPr>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8</w:t>
            </w:r>
            <w:r>
              <w:rPr>
                <w:rFonts w:hint="eastAsia" w:ascii="仿宋" w:hAnsi="仿宋" w:eastAsia="仿宋" w:cs="仿宋"/>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高血压患者规范管理率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75.88</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731" w:type="pct"/>
            <w:vMerge w:val="restar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全生命周期健康管理</w:t>
            </w:r>
          </w:p>
        </w:tc>
        <w:tc>
          <w:tcPr>
            <w:tcW w:w="2634" w:type="pct"/>
            <w:tcMar>
              <w:top w:w="15" w:type="dxa"/>
              <w:left w:w="15" w:type="dxa"/>
              <w:right w:w="15" w:type="dxa"/>
            </w:tcMar>
            <w:vAlign w:val="center"/>
          </w:tcPr>
          <w:p>
            <w:pPr>
              <w:widowControl/>
              <w:textAlignment w:val="center"/>
              <w:rPr>
                <w:rFonts w:ascii="仿宋" w:hAnsi="仿宋" w:eastAsia="仿宋" w:cs="仿宋"/>
                <w:kern w:val="0"/>
                <w:sz w:val="24"/>
                <w:szCs w:val="24"/>
              </w:rPr>
            </w:pPr>
            <w:r>
              <w:rPr>
                <w:rFonts w:hint="eastAsia" w:ascii="仿宋" w:hAnsi="仿宋" w:eastAsia="仿宋" w:cs="仿宋"/>
                <w:kern w:val="0"/>
                <w:sz w:val="24"/>
                <w:szCs w:val="24"/>
              </w:rPr>
              <w:t>5岁以下儿童死亡率</w:t>
            </w:r>
          </w:p>
        </w:tc>
        <w:tc>
          <w:tcPr>
            <w:tcW w:w="485" w:type="pct"/>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color w:val="FF0000"/>
                <w:sz w:val="24"/>
                <w:szCs w:val="24"/>
                <w:u w:val="single"/>
              </w:rPr>
            </w:pPr>
            <w:r>
              <w:rPr>
                <w:rFonts w:hint="eastAsia" w:ascii="仿宋" w:hAnsi="仿宋" w:eastAsia="仿宋" w:cs="仿宋"/>
                <w:sz w:val="24"/>
                <w:szCs w:val="24"/>
              </w:rPr>
              <w:t>3.47</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居民健康素养水平</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21.98</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孕产妇系统管理率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≥90</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kern w:val="0"/>
                <w:sz w:val="24"/>
                <w:szCs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新发尘肺病报告率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w:t>
            </w:r>
          </w:p>
        </w:tc>
        <w:tc>
          <w:tcPr>
            <w:tcW w:w="662" w:type="pc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逐步下降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老年人健康管理率</w:t>
            </w:r>
          </w:p>
        </w:tc>
        <w:tc>
          <w:tcPr>
            <w:tcW w:w="485" w:type="pct"/>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70</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731" w:type="pct"/>
            <w:vMerge w:val="restart"/>
            <w:tcMar>
              <w:top w:w="15" w:type="dxa"/>
              <w:left w:w="15" w:type="dxa"/>
              <w:right w:w="15" w:type="dxa"/>
            </w:tcMar>
            <w:vAlign w:val="center"/>
          </w:tcPr>
          <w:p>
            <w:pPr>
              <w:jc w:val="center"/>
              <w:rPr>
                <w:rFonts w:ascii="仿宋" w:hAnsi="仿宋" w:eastAsia="仿宋" w:cs="仿宋"/>
                <w:sz w:val="24"/>
                <w:szCs w:val="24"/>
              </w:rPr>
            </w:pPr>
            <w:r>
              <w:rPr>
                <w:rFonts w:hint="eastAsia" w:ascii="仿宋" w:hAnsi="仿宋" w:eastAsia="仿宋" w:cs="仿宋"/>
                <w:sz w:val="24"/>
                <w:szCs w:val="24"/>
              </w:rPr>
              <w:t>卫生健康发展保障</w:t>
            </w:r>
          </w:p>
        </w:tc>
        <w:tc>
          <w:tcPr>
            <w:tcW w:w="2634" w:type="pct"/>
            <w:tcMar>
              <w:top w:w="15" w:type="dxa"/>
              <w:left w:w="15" w:type="dxa"/>
              <w:right w:w="15" w:type="dxa"/>
            </w:tcMar>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人口出生率</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≥7.0</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731" w:type="pct"/>
            <w:vMerge w:val="continue"/>
            <w:tcMar>
              <w:top w:w="15" w:type="dxa"/>
              <w:left w:w="15" w:type="dxa"/>
              <w:right w:w="15" w:type="dxa"/>
            </w:tcMar>
            <w:vAlign w:val="center"/>
          </w:tcPr>
          <w:p>
            <w:pPr>
              <w:jc w:val="center"/>
              <w:rPr>
                <w:rFonts w:ascii="仿宋" w:hAnsi="仿宋" w:eastAsia="仿宋" w:cs="仿宋"/>
                <w:sz w:val="24"/>
                <w:szCs w:val="24"/>
              </w:rPr>
            </w:pPr>
          </w:p>
        </w:tc>
        <w:tc>
          <w:tcPr>
            <w:tcW w:w="2634" w:type="pct"/>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sz w:val="24"/>
                <w:szCs w:val="24"/>
              </w:rPr>
              <w:t>人口自然增长率</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w:t>
            </w:r>
          </w:p>
        </w:tc>
        <w:tc>
          <w:tcPr>
            <w:tcW w:w="485"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≥5.0</w:t>
            </w:r>
          </w:p>
        </w:tc>
        <w:tc>
          <w:tcPr>
            <w:tcW w:w="662" w:type="pct"/>
            <w:tcMar>
              <w:top w:w="15" w:type="dxa"/>
              <w:left w:w="15" w:type="dxa"/>
              <w:right w:w="15" w:type="dxa"/>
            </w:tcMar>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≥7.0</w:t>
            </w:r>
          </w:p>
        </w:tc>
      </w:tr>
    </w:tbl>
    <w:p>
      <w:pPr>
        <w:numPr>
          <w:ilvl w:val="0"/>
          <w:numId w:val="2"/>
        </w:numPr>
        <w:spacing w:beforeLines="50" w:afterLines="50" w:line="500" w:lineRule="exact"/>
        <w:jc w:val="center"/>
        <w:outlineLvl w:val="0"/>
        <w:rPr>
          <w:rFonts w:ascii="仿宋" w:hAnsi="仿宋" w:eastAsia="仿宋" w:cs="仿宋"/>
          <w:b/>
          <w:spacing w:val="6"/>
          <w:sz w:val="32"/>
          <w:szCs w:val="32"/>
        </w:rPr>
      </w:pPr>
      <w:bookmarkStart w:id="41" w:name="_Toc16936"/>
      <w:bookmarkStart w:id="42" w:name="_Toc57878429"/>
      <w:r>
        <w:rPr>
          <w:rFonts w:hint="eastAsia" w:ascii="仿宋" w:hAnsi="仿宋" w:eastAsia="仿宋" w:cs="仿宋"/>
          <w:b/>
          <w:spacing w:val="6"/>
          <w:sz w:val="32"/>
          <w:szCs w:val="32"/>
        </w:rPr>
        <w:t>开启新时代卫生健康新局面发展任务</w:t>
      </w:r>
      <w:bookmarkEnd w:id="41"/>
      <w:bookmarkEnd w:id="42"/>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43" w:name="_Toc15959"/>
      <w:bookmarkStart w:id="44" w:name="_Toc57878430"/>
      <w:r>
        <w:rPr>
          <w:rFonts w:hint="eastAsia" w:ascii="仿宋" w:hAnsi="仿宋" w:eastAsia="仿宋" w:cs="仿宋"/>
          <w:b/>
          <w:spacing w:val="6"/>
          <w:sz w:val="32"/>
          <w:szCs w:val="32"/>
        </w:rPr>
        <w:t>筑牢公共卫生体系，加强疾病防控救治能力建设</w:t>
      </w:r>
      <w:bookmarkEnd w:id="43"/>
      <w:bookmarkEnd w:id="44"/>
    </w:p>
    <w:p>
      <w:pPr>
        <w:numPr>
          <w:ilvl w:val="0"/>
          <w:numId w:val="11"/>
        </w:numPr>
        <w:spacing w:beforeLines="50" w:afterLines="50" w:line="500" w:lineRule="exact"/>
        <w:ind w:firstLine="667" w:firstLineChars="200"/>
        <w:rPr>
          <w:rFonts w:ascii="仿宋" w:hAnsi="仿宋" w:eastAsia="仿宋" w:cs="仿宋"/>
          <w:b/>
          <w:spacing w:val="6"/>
          <w:sz w:val="32"/>
          <w:szCs w:val="32"/>
        </w:rPr>
      </w:pPr>
      <w:r>
        <w:rPr>
          <w:rFonts w:hint="eastAsia" w:ascii="仿宋" w:hAnsi="仿宋" w:eastAsia="仿宋" w:cs="仿宋"/>
          <w:b/>
          <w:spacing w:val="6"/>
          <w:sz w:val="32"/>
          <w:szCs w:val="32"/>
        </w:rPr>
        <w:t>加强基本防控救治和应对能力建设</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1.推进疾病预防控制能力建设。坚持生命至上，预防为主、防治结合的方针，加强疾控机构建设，改善疾控机构配套设施、技术能力和标准化设备条件建设，完善业务用地用房、专业化设备和专业技术车辆等配置。提高疾控机构实验室水平，级别达到二级实验室。布局建设疾病预防控制中心实验室能力一批提升项目，如改扩建食品检测实验室建设项目、疾控中心环境改造项目、疾控中心职业病危害因素检测中心项目，健全疾控机构和城乡社区联动工作机制，建立人员通、信息通、资源通和监督监管相互制约的机制，促进医防协同。</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2.加强重大疫情医疗救治能力建设。建立健全分级、分层、分流的重大疫情医疗救治机制，健全临床治疗、疾病控制、医疗保障、物资供应、科学研究协同机制，持续开展“健康使命”系列卫生应急综合性演练，卫生应急处置能力提升机制。完善传染病防治管理机制，重点建设传染病密切接触者集中医学观察点建设项目和总医院传染病房改扩建工程项目，预期投资6200万元，其中争取预算内投资4960万元。加强新型冠状病毒等输入性传染病的防范，加强重症监护病区和可转换病区建设，重点建设漳平总医院体外核酸扩增建设（PCR)工程，预期投资1500万元，其中争取中央预算内投资1200万元。对病毒核酸实验室进行负压系统升级改造，提高检验检测能力，优化流程设计，建设医学教育培训基地和在线培训课程平台、物资储备调度系统，完善设施设备配备。全面改造提升医院公共服务和辅助设施，重点建设基层后勤发热门诊与生物安全建设项目，预期投资3500万元，其中：争取预算内投资2800万元。提高新发突发传染病早期发现和快速处置能力。</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3.健全重大疫情医疗救治费用保障机制。针对突发疫情等紧急情况，探索建立与基本医疗保险、大病保险、医疗救助等保障制度相适应的财政补助机制。优化重大疫情医疗救治医保支付政策，将相关救治药品和医疗服务项目临时纳入医保报销范围。探索建立特殊群体、特定疾病医药费豁免制度，有针对性免除医保支付目录、支付限额、用药量等限制性条款，减轻困难群体就医就诊后顾之忧，推进公共卫生服务和医疗服务有效衔接。</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4.加强推进精神卫生和心理健康服务能力建设。完善市、乡镇、村三级精神卫生和心理健康服务工作网络。推动提升区域精神医疗服务保障能力，改造乡镇卫生院心理咨询室，配置相关心理健康服务设备。建立完善的精神卫生工作组织领导和部门协调机制，发改、卫健、公安、民政、司法行政等部门各司其职，按照“应治尽治、应管尽管、应收尽收”的要求，加强精神卫生防治网络建设和精神卫生专业队伍建设，合理配置精神科医师、护士、心理治疗师，逐步提高精神卫生服务能力，提高重性精神障碍患者检出率、治疗率和管理率。同时，加强严重精神障碍患者健康管理工作，到2025年实现严重精神障碍患者管理率达到100%。</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5.实施慢性病综合防控战略。增强紧急医学救援能力，建设漳平市医院创伤医学中心和新建西园分院创伤医学中心，预期投资1.4亿元，其中争取中央预算内投资1.12亿元。加强慢性病综合防控示范区建设，强化慢性病筛查和早期发现，针对高发地区重点癌症开展早诊早治工作，推动癌症、脑卒中、冠心病等慢性病的机会性筛查。推进社区健康促进工程，向有条件的地区将高血压、糖尿病等特色病种认定放宽到基层医疗卫生机构，落实慢性病“长处方”政策，鼓励引导慢性病患者基层就诊。丰富健康教育形式，深入开展健康促进和行为干预。到2025年，全市居民基本健康知识知晓率和基本健康行为形成率分别达到85％和80％。</w:t>
      </w:r>
    </w:p>
    <w:tbl>
      <w:tblPr>
        <w:tblStyle w:val="13"/>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6" w:hRule="atLeast"/>
          <w:jc w:val="center"/>
        </w:trPr>
        <w:tc>
          <w:tcPr>
            <w:tcW w:w="8500" w:type="dxa"/>
          </w:tcPr>
          <w:p>
            <w:pPr>
              <w:pStyle w:val="3"/>
              <w:spacing w:beforeLines="0" w:afterLines="0" w:line="360" w:lineRule="exact"/>
              <w:jc w:val="center"/>
              <w:outlineLvl w:val="1"/>
              <w:rPr>
                <w:rFonts w:ascii="仿宋" w:hAnsi="仿宋" w:eastAsia="仿宋" w:cs="仿宋"/>
              </w:rPr>
            </w:pPr>
            <w:bookmarkStart w:id="45" w:name="_Toc12265"/>
            <w:bookmarkStart w:id="46" w:name="_Toc19336"/>
            <w:bookmarkStart w:id="47" w:name="_Toc27213"/>
            <w:bookmarkStart w:id="48" w:name="_Toc25454"/>
            <w:bookmarkStart w:id="49" w:name="_Toc18648"/>
            <w:bookmarkStart w:id="50" w:name="_Toc16127"/>
            <w:bookmarkStart w:id="51" w:name="_Toc18996"/>
            <w:bookmarkStart w:id="52" w:name="_Toc24778"/>
            <w:bookmarkStart w:id="53" w:name="_Toc30189"/>
            <w:bookmarkStart w:id="54" w:name="_Toc57878431"/>
            <w:r>
              <w:rPr>
                <w:rFonts w:hint="eastAsia" w:ascii="仿宋" w:hAnsi="仿宋" w:eastAsia="仿宋" w:cs="仿宋"/>
                <w:sz w:val="24"/>
                <w:szCs w:val="24"/>
              </w:rPr>
              <w:t>专栏1： 公共卫生服务推进工程</w:t>
            </w:r>
            <w:bookmarkEnd w:id="45"/>
            <w:bookmarkEnd w:id="46"/>
            <w:bookmarkEnd w:id="47"/>
            <w:bookmarkEnd w:id="48"/>
            <w:bookmarkEnd w:id="49"/>
            <w:bookmarkEnd w:id="50"/>
            <w:bookmarkEnd w:id="51"/>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6" w:hRule="atLeast"/>
          <w:jc w:val="center"/>
        </w:trPr>
        <w:tc>
          <w:tcPr>
            <w:tcW w:w="8500" w:type="dxa"/>
          </w:tcPr>
          <w:p>
            <w:pPr>
              <w:pStyle w:val="11"/>
              <w:widowControl/>
              <w:spacing w:before="0" w:beforeAutospacing="0" w:after="0" w:afterAutospacing="0" w:line="312" w:lineRule="auto"/>
              <w:ind w:firstLine="480" w:firstLineChars="200"/>
              <w:jc w:val="both"/>
              <w:rPr>
                <w:rFonts w:ascii="仿宋" w:hAnsi="仿宋" w:eastAsia="仿宋" w:cs="仿宋"/>
              </w:rPr>
            </w:pPr>
            <w:r>
              <w:rPr>
                <w:rFonts w:hint="eastAsia" w:ascii="仿宋" w:hAnsi="仿宋" w:eastAsia="仿宋" w:cs="仿宋"/>
              </w:rPr>
              <w:t>基本公共卫生均等化：扩大基本公共卫生计生服务项目，全面推进流动人口基本公共卫生计生服务均等化，逐年提高基本公共卫生服务人均经费补助标准。</w:t>
            </w:r>
          </w:p>
          <w:p>
            <w:pPr>
              <w:pStyle w:val="11"/>
              <w:widowControl/>
              <w:spacing w:before="0" w:beforeAutospacing="0" w:after="0" w:afterAutospacing="0" w:line="312" w:lineRule="auto"/>
              <w:ind w:firstLine="480" w:firstLineChars="200"/>
              <w:jc w:val="both"/>
              <w:rPr>
                <w:rFonts w:ascii="仿宋" w:hAnsi="仿宋" w:eastAsia="仿宋" w:cs="仿宋"/>
              </w:rPr>
            </w:pPr>
            <w:r>
              <w:rPr>
                <w:rFonts w:hint="eastAsia" w:ascii="仿宋" w:hAnsi="仿宋" w:eastAsia="仿宋" w:cs="仿宋"/>
              </w:rPr>
              <w:t>重大传染病及地方病防控：血吸虫病防控，艾滋病防控，结核病防控，突发急性传染病、新冠肺炎防控，流感和不明原因肺炎监测，重点地方病防控。</w:t>
            </w:r>
          </w:p>
          <w:p>
            <w:pPr>
              <w:pStyle w:val="11"/>
              <w:widowControl/>
              <w:spacing w:before="0" w:beforeAutospacing="0" w:after="0" w:afterAutospacing="0" w:line="312" w:lineRule="auto"/>
              <w:ind w:firstLine="480" w:firstLineChars="200"/>
              <w:jc w:val="both"/>
              <w:rPr>
                <w:rFonts w:ascii="仿宋" w:hAnsi="仿宋" w:eastAsia="仿宋" w:cs="仿宋"/>
              </w:rPr>
            </w:pPr>
            <w:r>
              <w:rPr>
                <w:rFonts w:hint="eastAsia" w:ascii="仿宋" w:hAnsi="仿宋" w:eastAsia="仿宋" w:cs="仿宋"/>
              </w:rPr>
              <w:t>落实扩大国家免疫规划：扩大国家免疫规划，常规疫苗可预防重点传染病监测。</w:t>
            </w:r>
          </w:p>
          <w:p>
            <w:pPr>
              <w:pStyle w:val="11"/>
              <w:widowControl/>
              <w:spacing w:before="0" w:beforeAutospacing="0" w:after="0" w:afterAutospacing="0" w:line="312" w:lineRule="auto"/>
              <w:ind w:firstLine="480" w:firstLineChars="200"/>
              <w:jc w:val="both"/>
              <w:rPr>
                <w:rFonts w:ascii="仿宋" w:hAnsi="仿宋" w:eastAsia="仿宋" w:cs="仿宋"/>
              </w:rPr>
            </w:pPr>
            <w:r>
              <w:rPr>
                <w:rFonts w:hint="eastAsia" w:ascii="仿宋" w:hAnsi="仿宋" w:eastAsia="仿宋" w:cs="仿宋"/>
              </w:rPr>
              <w:t>慢性病防控：全民健康生活方式行动，慢性病监测与综合干预，居民死因登记报告，肿瘤登记报告，伤害监测，高血压患者管理与健康干预，糖尿病患者管理与健康干预，癌症早诊早治，心血管疾病高危人群早期筛查与综合干预，慢性呼吸系统疾病高危人群筛查和干预，重点人群口腔疾病综合干预。</w:t>
            </w:r>
          </w:p>
          <w:p>
            <w:pPr>
              <w:spacing w:line="312" w:lineRule="auto"/>
              <w:ind w:firstLine="480" w:firstLineChars="200"/>
              <w:rPr>
                <w:rFonts w:ascii="仿宋" w:hAnsi="仿宋" w:eastAsia="仿宋" w:cs="仿宋"/>
              </w:rPr>
            </w:pPr>
            <w:bookmarkStart w:id="55" w:name="_Toc7218"/>
            <w:r>
              <w:rPr>
                <w:rFonts w:hint="eastAsia" w:ascii="仿宋" w:hAnsi="仿宋" w:eastAsia="仿宋" w:cs="仿宋"/>
                <w:sz w:val="24"/>
                <w:szCs w:val="24"/>
              </w:rPr>
              <w:t>精神卫生干预：精神卫生综合管理试点，精神卫生等专业公共卫生机构建设，严重精神障碍患者管理治疗，心理健康服务，心理援助热线。</w:t>
            </w:r>
            <w:bookmarkEnd w:id="55"/>
          </w:p>
        </w:tc>
      </w:tr>
    </w:tbl>
    <w:p>
      <w:pPr>
        <w:numPr>
          <w:ilvl w:val="0"/>
          <w:numId w:val="11"/>
        </w:numPr>
        <w:spacing w:beforeLines="50" w:afterLines="50" w:line="500" w:lineRule="exact"/>
        <w:ind w:firstLine="667" w:firstLineChars="200"/>
        <w:rPr>
          <w:rFonts w:ascii="仿宋" w:hAnsi="仿宋" w:eastAsia="仿宋" w:cs="仿宋"/>
          <w:b/>
          <w:spacing w:val="6"/>
          <w:sz w:val="32"/>
          <w:szCs w:val="32"/>
        </w:rPr>
      </w:pPr>
      <w:r>
        <w:rPr>
          <w:rFonts w:hint="eastAsia" w:ascii="仿宋" w:hAnsi="仿宋" w:eastAsia="仿宋" w:cs="仿宋"/>
          <w:b/>
          <w:spacing w:val="6"/>
          <w:sz w:val="32"/>
          <w:szCs w:val="32"/>
        </w:rPr>
        <w:t>加强突发事件应急处置能力建设</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1.健全突发公共卫生事件应急工作机制，完善监测、预警、决策、处置全链条响应机制，建立完善平战结合、科学高效的控体制机制，提升公共卫生应急工作能力。</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2.加强公共卫生应急指挥系统建设。逐步实现市、乡镇、村三级卫生应急决策指挥平台互通对接和信息资源共享，提高公共卫生监测预警能力，提升应急救援处置能力，健全完善应急物资保障和储备体系。如新建应急物资储备库，设置医疗救援药品库、传染病控制物资库、中毒处置物资库、核与放射类处置物资库等。重点建设福建省卫生应急闽西南储备库建设项目和改扩建漳平市方舱医院，预期投资2.8亿元，其中争取中央预算内投资2.24亿元。加强全市卫生应急队伍规范化管理，开展卫生应急培训演练，完善现场应急处置、救援装备配备，制定市级卫生应急物资储备计划，提高应急保障能力，不断完善“120”急救调度平台。至2025年，实现每万人ロ(管理人ロ)拥有救护车0.3辆，合理布局急救点，完善院前急救补偿机制。</w:t>
      </w:r>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56" w:name="_Toc16963"/>
      <w:bookmarkStart w:id="57" w:name="_Toc57878432"/>
      <w:bookmarkStart w:id="58" w:name="_Toc12767"/>
      <w:r>
        <w:rPr>
          <w:rFonts w:hint="eastAsia" w:ascii="仿宋" w:hAnsi="仿宋" w:eastAsia="仿宋" w:cs="仿宋"/>
          <w:b/>
          <w:spacing w:val="6"/>
          <w:sz w:val="32"/>
          <w:szCs w:val="32"/>
        </w:rPr>
        <w:t>“夯实基层医防网底”，加大基本公共卫生服务体系建设</w:t>
      </w:r>
      <w:bookmarkEnd w:id="56"/>
      <w:bookmarkEnd w:id="57"/>
      <w:bookmarkEnd w:id="58"/>
      <w:r>
        <w:rPr>
          <w:rFonts w:hint="eastAsia" w:ascii="仿宋" w:hAnsi="仿宋" w:eastAsia="仿宋" w:cs="仿宋"/>
          <w:b/>
          <w:spacing w:val="6"/>
          <w:sz w:val="32"/>
          <w:szCs w:val="32"/>
        </w:rPr>
        <w:tab/>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按照“两控两调一限”的总要求，优化医疗资源布局，加强优质医疗资源扩容下沉，提升县域综合服务能力，促进医疗机构高质量的发展。加快建立分级诊疗制度，积极推进区域医疗中心建设，县域健共体建设，构建起“上下联动、区域协同、集团管理”的运行模式向“横向到边、纵向到底、系统连续”的疫情防控救治体系快速转变的模式。允许公立医院根据规划和需求，与社会力量合作举办新的非营利性医疗机构，对社会办医总量和专业不作规划限制，到2025年，社会办医床位数占全市医院床位数26%左右，推动形成多元化办医格局。</w:t>
      </w:r>
    </w:p>
    <w:p>
      <w:pPr>
        <w:pStyle w:val="3"/>
        <w:spacing w:beforeLines="0" w:afterLines="0" w:line="500" w:lineRule="exact"/>
        <w:ind w:firstLine="667" w:firstLineChars="200"/>
        <w:jc w:val="both"/>
        <w:rPr>
          <w:rFonts w:ascii="仿宋" w:hAnsi="仿宋" w:eastAsia="仿宋" w:cs="仿宋"/>
          <w:b/>
          <w:bCs/>
          <w:spacing w:val="6"/>
        </w:rPr>
      </w:pPr>
      <w:r>
        <w:rPr>
          <w:rFonts w:hint="eastAsia" w:ascii="仿宋" w:hAnsi="仿宋" w:eastAsia="仿宋" w:cs="仿宋"/>
          <w:b/>
          <w:bCs/>
          <w:spacing w:val="6"/>
        </w:rPr>
        <w:t>（一）加大对市总医院的要素投入</w:t>
      </w:r>
    </w:p>
    <w:p>
      <w:pPr>
        <w:tabs>
          <w:tab w:val="left" w:pos="312"/>
        </w:tabs>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结合世行贷款医改促进项目实施，持续推进医疗服务技术、协作、信息等三大平台建设，在已完成区域影像中心、远程会诊中心、心电诊断中心、消毒供应中心、病理诊断中心建设的基础上，加快对检验中心的建设，并进入实质性运作，加强重点专科和薄弱学科建设。重点建设漳平市医院智慧医院及后勤保障设施建设项目，增强总医院后勤保障能力，预期投资2000万元，其中争取中央预算内投资1600万元。新建智能停车场、医疗废物管理房家管理系统，污水污物处理系统。</w:t>
      </w:r>
    </w:p>
    <w:p>
      <w:pPr>
        <w:pStyle w:val="3"/>
        <w:spacing w:beforeLines="0" w:afterLines="0" w:line="500" w:lineRule="exact"/>
        <w:ind w:firstLine="667" w:firstLineChars="200"/>
        <w:jc w:val="both"/>
        <w:rPr>
          <w:rFonts w:ascii="仿宋" w:hAnsi="仿宋" w:eastAsia="仿宋" w:cs="仿宋"/>
          <w:b/>
          <w:bCs/>
          <w:spacing w:val="6"/>
        </w:rPr>
      </w:pPr>
      <w:r>
        <w:rPr>
          <w:rFonts w:hint="eastAsia" w:ascii="仿宋" w:hAnsi="仿宋" w:eastAsia="仿宋" w:cs="仿宋"/>
          <w:b/>
          <w:bCs/>
          <w:spacing w:val="6"/>
        </w:rPr>
        <w:t>（二）持续改善基层卫生服务水平</w:t>
      </w:r>
    </w:p>
    <w:p>
      <w:pPr>
        <w:tabs>
          <w:tab w:val="left" w:pos="312"/>
        </w:tabs>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1.继续开展基层医疗卫生机构业务用房、设备双达标建设。按照省、龙岩市有关加快医疗卫生事业发展的实施意见提出的业务用房、诊疗设备达标建设要求，推进基层基础短板项目建设。加快推进西园分院创伤医学中心、赤水卫生院、官田卫生院综合楼等补短板项目</w:t>
      </w:r>
      <w:bookmarkStart w:id="126" w:name="_GoBack"/>
      <w:bookmarkEnd w:id="126"/>
      <w:r>
        <w:rPr>
          <w:rFonts w:hint="eastAsia" w:ascii="仿宋" w:hAnsi="仿宋" w:eastAsia="仿宋" w:cs="仿宋"/>
          <w:bCs/>
          <w:spacing w:val="6"/>
          <w:sz w:val="32"/>
          <w:szCs w:val="32"/>
        </w:rPr>
        <w:t>建设，加大投入，完善部分基层医疗卫生机构DR、彩超、心电图机、生化分析仪、血液分析仪、尿液分析仪等必备设备的配置。新建新桥分院、溪南分院、象湖分院，改扩建赤水分院，整体搬迁永福分院。预期投资5.9亿元，其中争取中央预算内投资4.72亿元。</w:t>
      </w:r>
    </w:p>
    <w:p>
      <w:pPr>
        <w:tabs>
          <w:tab w:val="left" w:pos="312"/>
        </w:tabs>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2.推进区域医疗分中心建设。开展永福、新桥两个区域医疗分中心建设，构建“横向到边，纵向到底”的医疗卫生服务网络。实施市总医院永福分院整体迁建项目，积极争取中央、省预算内投资，推进项目前期工作，争取2020年12月份开工建设。</w:t>
      </w:r>
    </w:p>
    <w:p>
      <w:pPr>
        <w:tabs>
          <w:tab w:val="left" w:pos="312"/>
        </w:tabs>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3.加强市总医院新桥分院建设，加强技术力量配备，提升影像、检验等必备设备配置，提升我市北片区域服务水平和辐射能力。</w:t>
      </w:r>
    </w:p>
    <w:p>
      <w:pPr>
        <w:pStyle w:val="3"/>
        <w:spacing w:beforeLines="0" w:afterLines="0" w:line="500" w:lineRule="exact"/>
        <w:ind w:firstLine="667" w:firstLineChars="200"/>
        <w:jc w:val="both"/>
        <w:rPr>
          <w:rFonts w:ascii="仿宋" w:hAnsi="仿宋" w:eastAsia="仿宋" w:cs="仿宋"/>
          <w:b/>
          <w:bCs/>
          <w:spacing w:val="6"/>
        </w:rPr>
      </w:pPr>
      <w:bookmarkStart w:id="59" w:name="_Toc1296"/>
      <w:bookmarkStart w:id="60" w:name="_Toc23813"/>
      <w:bookmarkStart w:id="61" w:name="_Toc57878433"/>
      <w:bookmarkStart w:id="62" w:name="_Toc31842"/>
      <w:bookmarkStart w:id="63" w:name="_Toc8717"/>
      <w:bookmarkStart w:id="64" w:name="_Toc18099"/>
      <w:bookmarkStart w:id="65" w:name="_Toc7611"/>
      <w:bookmarkStart w:id="66" w:name="_Toc20838"/>
      <w:bookmarkStart w:id="67" w:name="_Toc13073"/>
      <w:r>
        <w:rPr>
          <w:rFonts w:hint="eastAsia" w:ascii="仿宋" w:hAnsi="仿宋" w:eastAsia="仿宋" w:cs="仿宋"/>
          <w:b/>
          <w:bCs/>
          <w:spacing w:val="6"/>
        </w:rPr>
        <w:t>(三)加强推进一体化村卫生所标准化建设</w:t>
      </w:r>
    </w:p>
    <w:p>
      <w:pPr>
        <w:pStyle w:val="3"/>
        <w:spacing w:beforeLines="0" w:afterLines="0" w:line="500" w:lineRule="exact"/>
        <w:ind w:firstLine="640" w:firstLineChars="200"/>
        <w:jc w:val="both"/>
        <w:rPr>
          <w:rFonts w:ascii="仿宋" w:hAnsi="仿宋" w:eastAsia="仿宋" w:cs="仿宋"/>
        </w:rPr>
      </w:pPr>
      <w:r>
        <w:rPr>
          <w:rFonts w:hint="eastAsia" w:ascii="仿宋" w:hAnsi="仿宋" w:eastAsia="仿宋" w:cs="仿宋"/>
        </w:rPr>
        <w:t>持续推进村卫生所一体化服务管理，做好村医养老保障，落实乡村医生养老保障和多渠道补偿机制，稳定村医队伍。</w:t>
      </w:r>
      <w:bookmarkEnd w:id="59"/>
      <w:bookmarkEnd w:id="60"/>
      <w:bookmarkEnd w:id="61"/>
      <w:bookmarkEnd w:id="62"/>
      <w:bookmarkEnd w:id="63"/>
      <w:bookmarkEnd w:id="64"/>
      <w:bookmarkEnd w:id="65"/>
      <w:bookmarkEnd w:id="66"/>
      <w:bookmarkEnd w:id="67"/>
    </w:p>
    <w:tbl>
      <w:tblPr>
        <w:tblStyle w:val="1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8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专栏2：基层卫生服务体系建设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580" w:type="dxa"/>
          </w:tcPr>
          <w:p>
            <w:pPr>
              <w:spacing w:line="336" w:lineRule="auto"/>
              <w:ind w:firstLine="480" w:firstLineChars="200"/>
              <w:jc w:val="left"/>
              <w:rPr>
                <w:rFonts w:ascii="仿宋" w:hAnsi="仿宋" w:eastAsia="仿宋" w:cs="仿宋"/>
                <w:sz w:val="24"/>
                <w:szCs w:val="24"/>
              </w:rPr>
            </w:pPr>
            <w:r>
              <w:rPr>
                <w:rFonts w:hint="eastAsia" w:ascii="仿宋" w:hAnsi="仿宋" w:eastAsia="仿宋" w:cs="仿宋"/>
                <w:sz w:val="24"/>
                <w:szCs w:val="24"/>
              </w:rPr>
              <w:t>1.基层医疗卫生机构服务能力提升建设工程：支持所有基层医疗卫生机构完成达标建设；支持乡镇卫生院或社区卫生服务中心，对照社区医院和二级医院建设标准，开展基础设施设备、学科建设等能力提升建设。</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2.基层医疗卫生机构“一乡一品”特色专科建设，基层医疗卫生机构，每所基层医疗卫生机构支持建设1个特色专科科室。落实县域总医院专家下沉基层提供配备设施保障，为农村乡镇卫生院每所建设两套周转房。</w:t>
            </w:r>
          </w:p>
        </w:tc>
      </w:tr>
    </w:tbl>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68" w:name="_Toc26962"/>
      <w:bookmarkStart w:id="69" w:name="_Toc57878434"/>
      <w:r>
        <w:rPr>
          <w:rFonts w:hint="eastAsia" w:ascii="仿宋" w:hAnsi="仿宋" w:eastAsia="仿宋" w:cs="仿宋"/>
          <w:b/>
          <w:spacing w:val="6"/>
          <w:sz w:val="32"/>
          <w:szCs w:val="32"/>
        </w:rPr>
        <w:t>加强全生命周期管理，加强妇幼卫生保健和计生体系服务建设</w:t>
      </w:r>
      <w:bookmarkEnd w:id="68"/>
      <w:bookmarkEnd w:id="69"/>
    </w:p>
    <w:p>
      <w:pPr>
        <w:numPr>
          <w:ilvl w:val="0"/>
          <w:numId w:val="12"/>
        </w:numPr>
        <w:spacing w:beforeLines="50" w:afterLines="50"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保障妇幼健康服务</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1.保障妇幼健康服务</w:t>
      </w:r>
      <w:bookmarkStart w:id="70" w:name="_Toc8960"/>
      <w:bookmarkStart w:id="71" w:name="_Toc16800"/>
      <w:r>
        <w:rPr>
          <w:rFonts w:hint="eastAsia" w:ascii="仿宋" w:hAnsi="仿宋" w:eastAsia="仿宋" w:cs="仿宋"/>
          <w:bCs/>
          <w:spacing w:val="6"/>
          <w:sz w:val="32"/>
          <w:szCs w:val="32"/>
        </w:rPr>
        <w:t>。提升妇幼健康服务质量与水平，按标准化要求加强妇幼保健机构基础设施建设，创建孕产妇健康服务示范市，加强婚前、孕前、孕产期、新生儿期和儿童期、青春期、妇女更年期保健等健康服务。</w:t>
      </w:r>
      <w:bookmarkEnd w:id="70"/>
      <w:bookmarkEnd w:id="71"/>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2.实施健康儿童行动计划。巩固完善新生儿救护网络、儿童医疗救治服务体系建设，推进儿童早期发展服务网络建设，提高儿童早期发展均等化水平。全面开展新生儿疾病筛查，加强筛查阳性病例的随访、确诊、治疗和干预，提高确诊病例治疗率。扩大新生儿疾病筛查病种范围，落实0－6岁儿童健康管理，规范开展新生儿访视。</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3.发展婴幼儿照护服务。加大母婴设施建设力度，指导提升母婴设施服务管理水平，探索机构设置、机构管理、课程教材开发、保育服务等方面一体化标准。推动完善相关托育服务的标准化和规范化建设，发展托育从业人员培训、托育机构管理咨询、家庭养育指导和社区亲子服务等服务。鼓励推动托育服务技术创新和应用，实施托育机构设备提档升级，“十四五”期间至少指导建设1所标准化示范性托幼机构。</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4.逐步扩大35-64岁妇女“两癌”筛查等基本公共卫生项目覆盖面，全面落实城乡均等化。继续实施预防艾滋病、梅毒和乙肝母婴传播项目，以肺炎、腹泻、贫血、哮喘、龋齿、视力不良、心理行为问题等为重点，推广儿童疾病综合管理适宜技术。妇幼保健机构推广应用中医药适宜技术和方法，开展妇幼保健中医特色专科建设，扩大中医药在孕育调养、产后康复等方面应用。加强妇女儿童疾病诊疗中西医临床协作，提高疑难病、急危重症诊疗水平。加强妇幼保健机构公共卫生职能建设，提升公共卫生履职和应急处置能力。</w:t>
      </w:r>
    </w:p>
    <w:tbl>
      <w:tblPr>
        <w:tblStyle w:val="1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00" w:type="dxa"/>
          </w:tcPr>
          <w:p>
            <w:pPr>
              <w:spacing w:line="360" w:lineRule="auto"/>
              <w:ind w:firstLine="480" w:firstLineChars="200"/>
              <w:jc w:val="center"/>
              <w:rPr>
                <w:rFonts w:ascii="仿宋" w:hAnsi="仿宋" w:eastAsia="仿宋" w:cs="仿宋"/>
                <w:bCs/>
                <w:spacing w:val="6"/>
                <w:sz w:val="24"/>
                <w:szCs w:val="24"/>
              </w:rPr>
            </w:pPr>
            <w:r>
              <w:rPr>
                <w:rFonts w:hint="eastAsia" w:ascii="仿宋" w:hAnsi="仿宋" w:eastAsia="仿宋" w:cs="仿宋"/>
                <w:sz w:val="24"/>
                <w:szCs w:val="24"/>
              </w:rPr>
              <w:t>专栏3：妇幼健康工程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0" w:type="dxa"/>
          </w:tcPr>
          <w:p>
            <w:pPr>
              <w:pStyle w:val="11"/>
              <w:widowControl/>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妇幼健康服务体系建设：加强县级妇幼保健院能力建设，重点扩大妇、产和儿科临床服务供给能力，以妇女儿童健康管理和重大疾病防治为重点，开展妇幼保健重点学科建设、重点人才培养以及技术科学研究，引进、推广和应用。加强产儿科和妇幼保健紧缺人才的培养和使用。</w:t>
            </w:r>
          </w:p>
          <w:p>
            <w:pPr>
              <w:pStyle w:val="11"/>
              <w:widowControl/>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妇女儿童健康保障：健全市、乡镇二级孕产妇和新生儿危急重症救治中心，推广应用孕产妇危重急症救治规范和新生儿窒息复苏技术。完善妇幼健康服务规范和技术标准，建立妇幼健康服务安全保障制度，加强新生儿安全监控，确保产妇和新生儿生命安全。</w:t>
            </w:r>
          </w:p>
          <w:p>
            <w:pPr>
              <w:pStyle w:val="11"/>
              <w:widowControl/>
              <w:spacing w:before="0" w:beforeAutospacing="0" w:after="0" w:afterAutospacing="0" w:line="360" w:lineRule="auto"/>
              <w:ind w:firstLine="480" w:firstLineChars="200"/>
              <w:jc w:val="both"/>
              <w:rPr>
                <w:rFonts w:ascii="仿宋" w:hAnsi="仿宋" w:eastAsia="仿宋" w:cs="仿宋"/>
                <w:bCs/>
                <w:spacing w:val="6"/>
              </w:rPr>
            </w:pPr>
            <w:r>
              <w:rPr>
                <w:rFonts w:hint="eastAsia" w:ascii="仿宋" w:hAnsi="仿宋" w:eastAsia="仿宋" w:cs="仿宋"/>
              </w:rPr>
              <w:t>加强出生缺陷综合防治：完善出生缺陷防治的政策措施，将产前筛查、诊断和新生儿疾病筛查制度纳入妇幼基本公共卫生服务项目，推行免费婚前医学检查制度，推广基因筛查等新技术应用。</w:t>
            </w:r>
          </w:p>
        </w:tc>
      </w:tr>
    </w:tbl>
    <w:p>
      <w:pPr>
        <w:numPr>
          <w:ilvl w:val="0"/>
          <w:numId w:val="12"/>
        </w:numPr>
        <w:spacing w:beforeLines="50" w:afterLines="50"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加大供给，满足老年健康需求</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依托专业公共卫生机构、医疗机构、基层医疗卫生机构，探索健全“防、治、管”相结合的老年人健康管理模式。加强老年人群重点慢性病和心理健康问题的早期筛查、早期干预及分类管理，降低65周岁及以上人群老年期痴呆患病率。实施失能预防项目，降低老年人失能发生率。到2025年，创建老年友善医疗卫生机构，全市医疗机构为老年人提供就医便利服务绿色通道的比例达100%。</w:t>
      </w:r>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72" w:name="_Toc8286"/>
      <w:bookmarkStart w:id="73" w:name="_Toc57878435"/>
      <w:r>
        <w:rPr>
          <w:rFonts w:hint="eastAsia" w:ascii="仿宋" w:hAnsi="仿宋" w:eastAsia="仿宋" w:cs="仿宋"/>
          <w:b/>
          <w:spacing w:val="6"/>
          <w:sz w:val="32"/>
          <w:szCs w:val="32"/>
        </w:rPr>
        <w:t>优化医疗资源配置，提升医疗能力及服务水平</w:t>
      </w:r>
      <w:bookmarkEnd w:id="72"/>
      <w:bookmarkEnd w:id="73"/>
    </w:p>
    <w:p>
      <w:pPr>
        <w:spacing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（一）推进落实分级诊疗制度</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bCs/>
          <w:spacing w:val="6"/>
          <w:sz w:val="32"/>
          <w:szCs w:val="32"/>
        </w:rPr>
        <w:t>坚持居民自愿、基层首诊、政策引导、创新机制，以家庭医生签约服务为重要手段，建立符合漳平实际的家庭医生执业方式和服务模式，巩固签约服务覆盖面，重点人群签约率维持在60%以上。以纵向型、紧凑型医联体建设为载体，推动形成基层首诊、双向转诊、急慢分治、上下联动的分级诊疗新格局，稳步提高基层首诊率，控制大型医疗机构的普通门诊规模，逐步提高下转比例，到2025年，确保90%的患者首诊在基层，住院病人下转率逐年提高3个百分点。</w:t>
      </w:r>
    </w:p>
    <w:p>
      <w:pPr>
        <w:spacing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（二）加快临床薄弱学科和核心专科能力建设</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按照《县医院医疗服务能力基本标准》，落实内、外、妇、儿等15个临床科室设置全面覆盖，加快五大临床薄弱学科（新生儿科、精神科、康复科、血液透析科、重症监护等）和五大核心临床专科（内科、外科、妇产科、儿科、急诊科等）能力建设和推广设立预防保健中心（科）。推进精神医学科建设，派出医护人员到上级医院进修学习，提升医疗卫生服务能力。继续推进眼科、心内科等重点专科建设。</w:t>
      </w:r>
    </w:p>
    <w:p>
      <w:pPr>
        <w:spacing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（三）提高医疗卫生服务质量和管理水平</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持续改进医疗服务措施，优化医疗服务环境，强化基层在岗人员培训，重点实施具有全科医学特点、促进基本药物使用等针对性和实用性强的培训项目。强化基本医疗与基本公共卫生服务有机结合机制，进一步转变基层医疗卫生机构服务模式，建立健全医共体与疾病预防控制、卫生监督等专业公共卫生机构的联动协作或融合发展机制，把医疗服务和健康保健融为一体，全面提升县级公立医院和基层医疗卫生机构服务能力。</w:t>
      </w:r>
    </w:p>
    <w:p>
      <w:pPr>
        <w:spacing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（四）实施改善医疗服务行动计划</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健全医疗质量控制体系，持续改进医疗质量。大力推行临床路径，力争市医院60%的出院患者按照临床路径管理。继续扩大优质护理服务覆盖面，市医院所有病房开展优质护理服务。优化诊区设施布局和就医流程，推广预约转诊、诊间结算、手机等移动设备支付等便民服务。在统一质量和标准前提下，实行同级医疗机构检查检验结果互认，医保按共认结果一次付费。大力推行日间手术，推进医学人文建设，构建和谐医患关系。</w:t>
      </w:r>
    </w:p>
    <w:p>
      <w:pPr>
        <w:spacing w:line="500" w:lineRule="exact"/>
        <w:ind w:firstLine="667" w:firstLineChars="200"/>
        <w:rPr>
          <w:rFonts w:ascii="仿宋" w:hAnsi="仿宋" w:eastAsia="仿宋" w:cs="仿宋"/>
          <w:b/>
          <w:bCs/>
          <w:spacing w:val="6"/>
          <w:sz w:val="32"/>
          <w:szCs w:val="32"/>
        </w:rPr>
      </w:pPr>
      <w:bookmarkStart w:id="74" w:name="_Toc5711"/>
      <w:bookmarkStart w:id="75" w:name="_Toc25567"/>
      <w:bookmarkStart w:id="76" w:name="_Toc20405"/>
      <w:bookmarkStart w:id="77" w:name="_Toc10858"/>
      <w:bookmarkStart w:id="78" w:name="_Toc6100"/>
      <w:bookmarkStart w:id="79" w:name="_Toc30951"/>
      <w:bookmarkStart w:id="80" w:name="_Toc15320"/>
      <w:bookmarkStart w:id="81" w:name="_Toc57878436"/>
      <w:bookmarkStart w:id="82" w:name="_Toc28642"/>
      <w:r>
        <w:rPr>
          <w:rFonts w:hint="eastAsia" w:ascii="仿宋" w:hAnsi="仿宋" w:eastAsia="仿宋" w:cs="仿宋"/>
          <w:b/>
          <w:bCs/>
          <w:spacing w:val="6"/>
          <w:sz w:val="32"/>
          <w:szCs w:val="32"/>
        </w:rPr>
        <w:t>(五)完善健康扶贫救治机制</w:t>
      </w:r>
    </w:p>
    <w:p>
      <w:pPr>
        <w:pStyle w:val="3"/>
        <w:spacing w:beforeLines="0" w:afterLines="0" w:line="500" w:lineRule="exact"/>
        <w:ind w:firstLine="664" w:firstLineChars="200"/>
        <w:jc w:val="both"/>
        <w:rPr>
          <w:rFonts w:hint="eastAsia" w:ascii="仿宋" w:hAnsi="仿宋" w:eastAsia="仿宋" w:cs="仿宋"/>
          <w:spacing w:val="6"/>
        </w:rPr>
      </w:pPr>
      <w:r>
        <w:rPr>
          <w:rFonts w:hint="eastAsia" w:ascii="仿宋" w:hAnsi="仿宋" w:eastAsia="仿宋" w:cs="仿宋"/>
          <w:spacing w:val="6"/>
        </w:rPr>
        <w:t>进一步完善健康扶贫政策措施，推进建立健康扶贫长效机制，做好大病专项救治工作。持续做好贫困人口基本医疗卫生服务，保证“贫困人口”已脱贫而健康扶贫政策持续</w:t>
      </w:r>
      <w:bookmarkEnd w:id="74"/>
      <w:bookmarkEnd w:id="75"/>
      <w:bookmarkEnd w:id="76"/>
      <w:bookmarkEnd w:id="77"/>
      <w:bookmarkEnd w:id="78"/>
      <w:bookmarkEnd w:id="79"/>
      <w:bookmarkEnd w:id="80"/>
      <w:bookmarkEnd w:id="81"/>
      <w:bookmarkEnd w:id="82"/>
      <w:r>
        <w:rPr>
          <w:rFonts w:hint="eastAsia" w:ascii="仿宋" w:hAnsi="仿宋" w:eastAsia="仿宋" w:cs="仿宋"/>
          <w:spacing w:val="6"/>
        </w:rPr>
        <w:t>。</w:t>
      </w:r>
    </w:p>
    <w:p>
      <w:pPr>
        <w:rPr>
          <w:rFonts w:hint="eastAsia" w:ascii="仿宋" w:hAnsi="仿宋" w:eastAsia="仿宋" w:cs="仿宋"/>
          <w:spacing w:val="6"/>
        </w:rPr>
      </w:pPr>
    </w:p>
    <w:p>
      <w:pPr>
        <w:rPr>
          <w:rFonts w:hint="eastAsia" w:ascii="仿宋" w:hAnsi="仿宋" w:eastAsia="仿宋" w:cs="仿宋"/>
          <w:spacing w:val="6"/>
        </w:rPr>
      </w:pPr>
    </w:p>
    <w:p>
      <w:pPr>
        <w:rPr>
          <w:rFonts w:hint="eastAsia" w:ascii="仿宋" w:hAnsi="仿宋" w:eastAsia="仿宋" w:cs="仿宋"/>
          <w:spacing w:val="6"/>
        </w:rPr>
      </w:pPr>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83" w:name="_Toc57878437"/>
      <w:bookmarkStart w:id="84" w:name="_Toc2639"/>
      <w:r>
        <w:rPr>
          <w:rFonts w:hint="eastAsia" w:ascii="仿宋" w:hAnsi="仿宋" w:eastAsia="仿宋" w:cs="仿宋"/>
          <w:b/>
          <w:spacing w:val="6"/>
          <w:sz w:val="32"/>
          <w:szCs w:val="32"/>
        </w:rPr>
        <w:t>增加医疗服务供给，推进中医药事业新发展</w:t>
      </w:r>
      <w:bookmarkEnd w:id="83"/>
      <w:bookmarkEnd w:id="84"/>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以强化“传承精华、守正创新”为抓手，推进中医药事业发展，推动中西医药相互补充、协调发展，提高中医院应急救治能力。</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加快完善中医药服务体系建设。认真贯彻实施《中华人民共和国中医药法》，</w:t>
      </w:r>
      <w:r>
        <w:rPr>
          <w:rFonts w:hint="eastAsia" w:ascii="仿宋" w:hAnsi="仿宋" w:eastAsia="仿宋" w:cs="仿宋"/>
          <w:sz w:val="32"/>
          <w:szCs w:val="32"/>
        </w:rPr>
        <w:t>力争全部社区卫生服务中心和乡镇卫生院设置中医馆，配备中医医师。鼓励由市中医医院牵头组建多种形式医联体，</w:t>
      </w:r>
      <w:r>
        <w:rPr>
          <w:rFonts w:hint="eastAsia" w:ascii="仿宋" w:hAnsi="仿宋" w:eastAsia="仿宋" w:cs="仿宋"/>
          <w:bCs/>
          <w:spacing w:val="6"/>
          <w:sz w:val="32"/>
          <w:szCs w:val="32"/>
        </w:rPr>
        <w:t>全面实施社区卫生服务中心中医标准化、规范化和信息化建设，在基层医疗机构实施以中医适宜技术推广为重点的中医能力建设。重点实施漳平市中医院整体迁建项目，总建筑面积25000㎡，预期投资2亿元，其中争取中央预算内投资1.6亿元。以</w:t>
      </w:r>
      <w:r>
        <w:rPr>
          <w:rFonts w:hint="eastAsia" w:ascii="仿宋" w:hAnsi="仿宋" w:eastAsia="仿宋" w:cs="仿宋"/>
          <w:sz w:val="32"/>
          <w:szCs w:val="32"/>
        </w:rPr>
        <w:t>市总医院永福</w:t>
      </w:r>
      <w:r>
        <w:rPr>
          <w:rFonts w:hint="eastAsia" w:ascii="仿宋" w:hAnsi="仿宋" w:eastAsia="仿宋" w:cs="仿宋"/>
          <w:snapToGrid w:val="0"/>
          <w:spacing w:val="6"/>
          <w:sz w:val="32"/>
          <w:szCs w:val="32"/>
        </w:rPr>
        <w:t>中医院</w:t>
      </w:r>
      <w:r>
        <w:rPr>
          <w:rFonts w:hint="eastAsia" w:ascii="仿宋" w:hAnsi="仿宋" w:eastAsia="仿宋" w:cs="仿宋"/>
          <w:bCs/>
          <w:spacing w:val="6"/>
          <w:sz w:val="32"/>
          <w:szCs w:val="32"/>
        </w:rPr>
        <w:t>为主导，</w:t>
      </w:r>
      <w:r>
        <w:rPr>
          <w:rFonts w:hint="eastAsia" w:ascii="仿宋" w:hAnsi="仿宋" w:eastAsia="仿宋" w:cs="仿宋"/>
          <w:snapToGrid w:val="0"/>
          <w:spacing w:val="6"/>
          <w:sz w:val="32"/>
          <w:szCs w:val="32"/>
        </w:rPr>
        <w:t>乡镇</w:t>
      </w:r>
      <w:r>
        <w:rPr>
          <w:rFonts w:hint="eastAsia" w:ascii="仿宋" w:hAnsi="仿宋" w:eastAsia="仿宋" w:cs="仿宋"/>
          <w:bCs/>
          <w:spacing w:val="6"/>
          <w:sz w:val="32"/>
          <w:szCs w:val="32"/>
        </w:rPr>
        <w:t>（街道）社区卫生服务中心和乡镇卫生院逐步建设中医馆，分设中医临床科室、配备中医医师，适应群众医疗保健需求的中医医疗服务体系。改扩建漳平市医院中医康复特色专科项目，预期投资1000万元，其中争取中央预算内投资800万元。到“十四五”末期，基本形成中医医疗和养生保健服务网络基本健全，中医药健康服务人员素质明显提高，中医药健康服务领域不断拓展，基本适应全社会中医药健康服务需求。</w:t>
      </w:r>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85" w:name="_Toc23609"/>
      <w:bookmarkStart w:id="86" w:name="_Toc57878438"/>
      <w:r>
        <w:rPr>
          <w:rFonts w:hint="eastAsia" w:ascii="仿宋" w:hAnsi="仿宋" w:eastAsia="仿宋" w:cs="仿宋"/>
          <w:b/>
          <w:spacing w:val="6"/>
          <w:sz w:val="32"/>
          <w:szCs w:val="32"/>
        </w:rPr>
        <w:t>推动爱国卫生运动与健康促进</w:t>
      </w:r>
      <w:bookmarkEnd w:id="85"/>
      <w:bookmarkEnd w:id="86"/>
    </w:p>
    <w:p>
      <w:pPr>
        <w:spacing w:line="500" w:lineRule="exact"/>
        <w:ind w:firstLine="664" w:firstLineChars="200"/>
        <w:rPr>
          <w:rFonts w:ascii="仿宋" w:hAnsi="仿宋" w:eastAsia="仿宋" w:cs="仿宋"/>
          <w:bCs/>
          <w:color w:val="FF0000"/>
          <w:spacing w:val="6"/>
          <w:sz w:val="32"/>
          <w:szCs w:val="32"/>
        </w:rPr>
      </w:pPr>
      <w:r>
        <w:rPr>
          <w:rFonts w:hint="eastAsia" w:ascii="仿宋" w:hAnsi="仿宋" w:eastAsia="仿宋" w:cs="仿宋"/>
          <w:spacing w:val="6"/>
          <w:sz w:val="32"/>
          <w:szCs w:val="32"/>
        </w:rPr>
        <w:t>坚持将爱国卫生运动作为卫生防病工作实践，丰富爱国卫生工作内涵，创新方式方法，加强创建卫生城镇工作，全面改善人居环境，推进城乡环境卫生整治。强化个人为健康第一责任人的意识，加强公众健康习惯养成教育，大力倡导勤洗手、科学佩戴口罩等文明卫生新风尚，革除滥食野生动物，随地吐痰便等陋习。</w:t>
      </w:r>
      <w:r>
        <w:rPr>
          <w:rFonts w:hint="eastAsia" w:ascii="仿宋" w:hAnsi="仿宋" w:eastAsia="仿宋" w:cs="仿宋"/>
          <w:bCs/>
          <w:spacing w:val="6"/>
          <w:sz w:val="32"/>
          <w:szCs w:val="32"/>
        </w:rPr>
        <w:t>设置专刊专栏，开设健康教育课等多渠道宣传健康教育，注重培养市民卫生行为规范。</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倡导“将健康融入所有政策”理念，增强公民健康素养。加强健康促进和教育，出台有利于健康的政策，创造有利于健康的环境，提高群众健康知识水平和技能。加强重点场所健康促进，开展健康促进学校、健康促进医院、健康家庭、无烟单位等健康单位创建活动。以市为单位每年新开展健康社区、健康单位、健康学校、健康食堂、健康餐厅/酒店等创建至少10个。开展无烟医院、无烟校园、无烟单位等各类无烟环境创建至少10个。创建健康步道、健康一条街、健康主题公园等至少5个。利用互联网+健康教育模式，加大新闻媒体无偿开展健康教育公益宣传力度，开发新媒体健康知识传播平台。推进健康知识进社区、进企业、进农村文化礼堂，广泛开展全民健身活动。加强青少年和职工体育工作，推动公共体育场馆和学校体育场地设施免费向社会开放。加强健康素养监测技术，干预策略研究和效果评估，建立健康素养和烟草流行监测系统，全市15岁及以上公民吸烟率明显下降。</w:t>
      </w:r>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87" w:name="_Toc3738"/>
      <w:bookmarkStart w:id="88" w:name="_Toc57878439"/>
      <w:r>
        <w:rPr>
          <w:rFonts w:hint="eastAsia" w:ascii="仿宋" w:hAnsi="仿宋" w:eastAsia="仿宋" w:cs="仿宋"/>
          <w:b/>
          <w:spacing w:val="6"/>
          <w:sz w:val="32"/>
          <w:szCs w:val="32"/>
        </w:rPr>
        <w:t>推进医诊创新应用，发展互联网+医疗健康模式</w:t>
      </w:r>
      <w:bookmarkEnd w:id="87"/>
      <w:bookmarkEnd w:id="88"/>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加强医疗协同服务体系建设，不断丰富和完善平台功能，强化系统间的功能互撑和资源共享，按照“服务惠民、面向医改、立足当前、着眼长远、统筹规划、重点推进、统一标准、互联共享、业务协同、强化应用”的原则，应用移动互联网、物联网、云计算、可穿戴设备等信息技术，以八闽健康码“多码融合”应用、互联网医院、医学影像共享平台、福建12320热线服务平台、家庭医生签约电子化等为重点，开展医疗健康便民惠民创新服务项目，推进“互联网+医疗健康”应用，促进智慧健康管理。积极探索及完善线上诊疗服务模式，包括预约诊疗、诊间结算、第三方医疗支付、检验检查结果查询、知情通报等，建立远程视频门诊，开展远程会诊解决基层疑难病症的诊疗，开展远程医学教育提升基层医疗机构服务能力，完善实施远程家庭健康监护，充分发挥远程医疗服务的优势。依托互联网建设面向公众的健康服务门户网站，支持个人健康管理，居民健康档案查询等，满足广大群众对人口健康服务诉求多样化、服务个性化、方式便利化的新需要，提升信息便民惠民服务效能。到2025年，完成对所有乡镇卫生院和社区卫生服务中心信息系统建设。</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20" w:type="dxa"/>
          </w:tcPr>
          <w:p>
            <w:pPr>
              <w:pStyle w:val="3"/>
              <w:spacing w:before="156" w:after="156" w:line="360" w:lineRule="auto"/>
              <w:jc w:val="center"/>
              <w:outlineLvl w:val="1"/>
              <w:rPr>
                <w:rFonts w:ascii="仿宋" w:hAnsi="仿宋" w:eastAsia="仿宋" w:cs="仿宋"/>
              </w:rPr>
            </w:pPr>
            <w:bookmarkStart w:id="89" w:name="_Toc19863"/>
            <w:bookmarkStart w:id="90" w:name="_Toc31487"/>
            <w:bookmarkStart w:id="91" w:name="_Toc25776"/>
            <w:bookmarkStart w:id="92" w:name="_Toc20684"/>
            <w:bookmarkStart w:id="93" w:name="_Toc25907"/>
            <w:bookmarkStart w:id="94" w:name="_Toc21133"/>
            <w:bookmarkStart w:id="95" w:name="_Toc28938"/>
            <w:bookmarkStart w:id="96" w:name="_Toc6700"/>
            <w:bookmarkStart w:id="97" w:name="_Toc57878440"/>
            <w:bookmarkStart w:id="98" w:name="_Toc22508"/>
            <w:r>
              <w:rPr>
                <w:rFonts w:hint="eastAsia" w:ascii="仿宋" w:hAnsi="仿宋" w:eastAsia="仿宋" w:cs="仿宋"/>
                <w:sz w:val="24"/>
                <w:szCs w:val="24"/>
              </w:rPr>
              <w:t>专栏4：  智慧健康服务工程</w:t>
            </w:r>
            <w:bookmarkEnd w:id="89"/>
            <w:bookmarkEnd w:id="90"/>
            <w:bookmarkEnd w:id="91"/>
            <w:bookmarkEnd w:id="92"/>
            <w:bookmarkEnd w:id="93"/>
            <w:bookmarkEnd w:id="94"/>
            <w:bookmarkEnd w:id="95"/>
            <w:bookmarkEnd w:id="96"/>
            <w:bookmarkEnd w:id="97"/>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trPr>
        <w:tc>
          <w:tcPr>
            <w:tcW w:w="8420" w:type="dxa"/>
          </w:tcPr>
          <w:p>
            <w:pPr>
              <w:pStyle w:val="11"/>
              <w:widowControl/>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智慧健康基础设施建设：合理构建市、乡镇级健康信息平台和数据中心，综合利用卫生计生信息传输主干网、电子政务网、互联网，建立完善横向到边、纵向到底的网络基础设施。</w:t>
            </w:r>
          </w:p>
          <w:p>
            <w:pPr>
              <w:pStyle w:val="11"/>
              <w:widowControl/>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健康信息共享建设：建立健康医疗信息共享交换标准体系，面向基层医疗卫生机构开展远程会诊、双向转诊、医学咨询等远程医疗业务，支持形成上下联动、急慢分治等健康医疗服务新模式。</w:t>
            </w:r>
          </w:p>
          <w:p>
            <w:pPr>
              <w:pStyle w:val="11"/>
              <w:widowControl/>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健康信息务实应用建设：开展预约诊疗、医患互动、信息查询、健康档案自我管理和运行监测、辅助决策、绩效考评。利用物联网、移动互联网、可穿戴设备等技术探索提供健康指导、康复、慢病管理个性化服务。</w:t>
            </w:r>
          </w:p>
          <w:p>
            <w:pPr>
              <w:spacing w:line="360" w:lineRule="auto"/>
              <w:ind w:firstLine="480" w:firstLineChars="200"/>
              <w:rPr>
                <w:rFonts w:ascii="仿宋" w:hAnsi="仿宋" w:eastAsia="仿宋" w:cs="仿宋"/>
              </w:rPr>
            </w:pPr>
            <w:bookmarkStart w:id="99" w:name="_Toc1276"/>
            <w:r>
              <w:rPr>
                <w:rFonts w:hint="eastAsia" w:ascii="仿宋" w:hAnsi="仿宋" w:eastAsia="仿宋" w:cs="仿宋"/>
                <w:sz w:val="24"/>
                <w:szCs w:val="24"/>
              </w:rPr>
              <w:t>健康医疗大数据应用：建立和完善全员人口、服务资源、电子健康档案、电子病历和健康知识数据库，开展大数据深度挖掘与分析利用。</w:t>
            </w:r>
            <w:bookmarkEnd w:id="99"/>
          </w:p>
        </w:tc>
      </w:tr>
    </w:tbl>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100" w:name="_Toc15137"/>
      <w:bookmarkStart w:id="101" w:name="_Toc57878441"/>
      <w:r>
        <w:rPr>
          <w:rFonts w:hint="eastAsia" w:ascii="仿宋" w:hAnsi="仿宋" w:eastAsia="仿宋" w:cs="仿宋"/>
          <w:b/>
          <w:spacing w:val="6"/>
          <w:sz w:val="32"/>
          <w:szCs w:val="32"/>
        </w:rPr>
        <w:t>推进健康服务新模式,加快康养产业新发展</w:t>
      </w:r>
      <w:bookmarkEnd w:id="100"/>
      <w:bookmarkEnd w:id="101"/>
    </w:p>
    <w:p>
      <w:pPr>
        <w:spacing w:line="500" w:lineRule="exact"/>
        <w:ind w:firstLine="640" w:firstLineChars="200"/>
        <w:rPr>
          <w:rFonts w:ascii="仿宋" w:hAnsi="仿宋" w:eastAsia="仿宋" w:cs="仿宋"/>
          <w:bCs/>
          <w:spacing w:val="6"/>
          <w:sz w:val="32"/>
          <w:szCs w:val="32"/>
        </w:rPr>
      </w:pPr>
      <w:r>
        <w:rPr>
          <w:rFonts w:hint="eastAsia" w:ascii="仿宋" w:hAnsi="仿宋" w:eastAsia="仿宋" w:cs="仿宋"/>
          <w:sz w:val="32"/>
          <w:szCs w:val="32"/>
        </w:rPr>
        <w:t>“十四五”时期</w:t>
      </w:r>
      <w:r>
        <w:rPr>
          <w:rFonts w:hint="eastAsia" w:ascii="仿宋" w:hAnsi="仿宋" w:eastAsia="仿宋" w:cs="仿宋"/>
          <w:bCs/>
          <w:spacing w:val="6"/>
          <w:sz w:val="32"/>
          <w:szCs w:val="32"/>
        </w:rPr>
        <w:t>贯彻执行国家、省、市促进健康服务业发展意见，将健康服务业纳入第三产业的发展规划，加快发展医养、医健、医旅、医体等结合型服务，大力发展多层次健康服务，满足多样化健康需求，逐步形成布局合理、特色鲜明、错位发展的健康产业格局。一是</w:t>
      </w:r>
      <w:r>
        <w:rPr>
          <w:rFonts w:hint="eastAsia" w:ascii="仿宋" w:hAnsi="仿宋" w:eastAsia="仿宋" w:cs="仿宋"/>
          <w:sz w:val="32"/>
          <w:szCs w:val="32"/>
        </w:rPr>
        <w:t>积极应对人口老龄化，</w:t>
      </w:r>
      <w:r>
        <w:rPr>
          <w:rFonts w:hint="eastAsia" w:ascii="仿宋" w:hAnsi="仿宋" w:eastAsia="仿宋" w:cs="仿宋"/>
          <w:bCs/>
          <w:spacing w:val="6"/>
          <w:sz w:val="32"/>
          <w:szCs w:val="32"/>
        </w:rPr>
        <w:t>发展特色健康产业集群，鼓励社会资本参与高端医疗服务、护理康复、养生保健、健康管理等新兴健康产业的投资，提供高水平、差异化、个性化服务</w:t>
      </w:r>
      <w:r>
        <w:rPr>
          <w:rFonts w:hint="eastAsia" w:ascii="仿宋" w:hAnsi="仿宋" w:eastAsia="仿宋" w:cs="仿宋"/>
          <w:sz w:val="32"/>
          <w:szCs w:val="32"/>
        </w:rPr>
        <w:t>。充分利用南学堂片区及永福镇医疗、气候、旅游等资源及区域优势，努力争取中央、省医疗健康服务体系建设项目，加大健康产业投入，推进医养结合，加快健康服务业发展。加大招商引资力度，充分利用国企或社会资本资金，做好项目运营，</w:t>
      </w:r>
      <w:r>
        <w:rPr>
          <w:rFonts w:hint="eastAsia" w:ascii="仿宋" w:hAnsi="仿宋" w:eastAsia="仿宋" w:cs="仿宋"/>
          <w:bCs/>
          <w:spacing w:val="6"/>
          <w:sz w:val="32"/>
          <w:szCs w:val="32"/>
        </w:rPr>
        <w:t>打造成为集智能、养老、疗养、护理、生态、自然等元素为一体的综合性医养结合中心。</w:t>
      </w:r>
      <w:r>
        <w:rPr>
          <w:rFonts w:hint="eastAsia" w:ascii="仿宋" w:hAnsi="仿宋" w:eastAsia="仿宋" w:cs="仿宋"/>
          <w:sz w:val="32"/>
          <w:szCs w:val="32"/>
        </w:rPr>
        <w:t>积极筹备菁和源二期项目建设，计划总投资8亿元，设立疗养床位3000张，力争2021年开工建设。做好市总医院永福分院周边康养项目前期规划</w:t>
      </w:r>
      <w:r>
        <w:rPr>
          <w:rFonts w:hint="eastAsia" w:ascii="仿宋" w:hAnsi="仿宋" w:eastAsia="仿宋" w:cs="仿宋"/>
          <w:bCs/>
          <w:spacing w:val="6"/>
          <w:sz w:val="32"/>
          <w:szCs w:val="32"/>
        </w:rPr>
        <w:t>。二是发展医疗诊疗辅助产业，实现筹资社会化、运行市场化，有效扩展健康产业链。三是发展中医药养老康复服务产业，把医疗康复和养老敬老事业结合起来，打造区域老年人防病、治病、康复、休养、疗养的品牌机构，形成独特的康复养老模式。到2025年，养老机构为入住老年人提供医疗卫生服务的比例达100%。</w:t>
      </w:r>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102" w:name="_Toc21258"/>
      <w:bookmarkStart w:id="103" w:name="_Toc57878442"/>
      <w:r>
        <w:rPr>
          <w:rFonts w:hint="eastAsia" w:ascii="仿宋" w:hAnsi="仿宋" w:eastAsia="仿宋" w:cs="仿宋"/>
          <w:b/>
          <w:spacing w:val="6"/>
          <w:sz w:val="32"/>
          <w:szCs w:val="32"/>
        </w:rPr>
        <w:t>提升防治支撑能力，加强人才队伍建设</w:t>
      </w:r>
      <w:bookmarkEnd w:id="102"/>
      <w:bookmarkEnd w:id="103"/>
    </w:p>
    <w:p>
      <w:pPr>
        <w:numPr>
          <w:ilvl w:val="0"/>
          <w:numId w:val="13"/>
        </w:numPr>
        <w:spacing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创新学科带头人，高端人才引进机制</w:t>
      </w:r>
    </w:p>
    <w:p>
      <w:pPr>
        <w:spacing w:line="500" w:lineRule="exact"/>
        <w:ind w:firstLine="664" w:firstLineChars="200"/>
        <w:rPr>
          <w:rFonts w:ascii="仿宋" w:hAnsi="仿宋" w:eastAsia="仿宋" w:cs="仿宋"/>
          <w:bCs/>
          <w:spacing w:val="6"/>
          <w:sz w:val="32"/>
          <w:szCs w:val="32"/>
          <w:shd w:val="clear" w:color="auto" w:fill="FFFFFF"/>
        </w:rPr>
      </w:pPr>
      <w:r>
        <w:rPr>
          <w:rFonts w:hint="eastAsia" w:ascii="仿宋" w:hAnsi="仿宋" w:eastAsia="仿宋" w:cs="仿宋"/>
          <w:bCs/>
          <w:spacing w:val="6"/>
          <w:sz w:val="32"/>
          <w:szCs w:val="32"/>
        </w:rPr>
        <w:t>建立紧缺急需人才预警和管理机制，实行紧缺急需人才指导目录定期发布制度。</w:t>
      </w:r>
      <w:r>
        <w:rPr>
          <w:rFonts w:hint="eastAsia" w:ascii="仿宋" w:hAnsi="仿宋" w:eastAsia="仿宋" w:cs="仿宋"/>
          <w:bCs/>
          <w:spacing w:val="6"/>
          <w:sz w:val="32"/>
          <w:szCs w:val="32"/>
          <w:shd w:val="clear" w:color="auto" w:fill="FFFFFF"/>
        </w:rPr>
        <w:t>实行公立医院用人自主招聘，对符合当年度</w:t>
      </w:r>
      <w:r>
        <w:rPr>
          <w:rStyle w:val="15"/>
          <w:rFonts w:hint="eastAsia" w:ascii="仿宋" w:hAnsi="仿宋" w:eastAsia="仿宋" w:cs="仿宋"/>
          <w:b w:val="0"/>
          <w:bCs/>
          <w:spacing w:val="6"/>
          <w:sz w:val="32"/>
          <w:szCs w:val="32"/>
          <w:shd w:val="clear" w:color="auto" w:fill="FFFFFF"/>
        </w:rPr>
        <w:t>紧缺急需专业目录的全日制本科</w:t>
      </w:r>
      <w:r>
        <w:rPr>
          <w:rFonts w:hint="eastAsia" w:ascii="仿宋" w:hAnsi="仿宋" w:eastAsia="仿宋" w:cs="仿宋"/>
          <w:bCs/>
          <w:spacing w:val="6"/>
          <w:sz w:val="32"/>
          <w:szCs w:val="32"/>
          <w:shd w:val="clear" w:color="auto" w:fill="FFFFFF"/>
        </w:rPr>
        <w:t>、硕士研究生学历或副高职称人才，专业对口的全日制博士生或正高职称人才，在市委编办、市人社局审核的计划内，由公立医院按人社部门的有关规定自主公开招聘。其他事业医卫人才招聘，按照省市有关事业单位公开招聘工作人员相关规定执行，多形式引进高端医卫人才。以政策激励、事业平台（专家工作室、特聘专家）、“休假+医疗”等模式，吸引副高及以上科主任或学科带头人来漳工作。</w:t>
      </w:r>
    </w:p>
    <w:p>
      <w:pPr>
        <w:numPr>
          <w:ilvl w:val="0"/>
          <w:numId w:val="13"/>
        </w:numPr>
        <w:spacing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普通医护人员培养（包括本土人才培育、定向委培）</w:t>
      </w:r>
    </w:p>
    <w:p>
      <w:pPr>
        <w:spacing w:line="500" w:lineRule="exact"/>
        <w:ind w:firstLine="664" w:firstLineChars="200"/>
        <w:rPr>
          <w:rFonts w:ascii="仿宋" w:hAnsi="仿宋" w:eastAsia="仿宋" w:cs="仿宋"/>
          <w:spacing w:val="6"/>
          <w:sz w:val="32"/>
          <w:szCs w:val="32"/>
          <w:shd w:val="clear" w:color="auto" w:fill="FFFFFF"/>
        </w:rPr>
      </w:pPr>
      <w:r>
        <w:rPr>
          <w:rFonts w:hint="eastAsia" w:ascii="仿宋" w:hAnsi="仿宋" w:eastAsia="仿宋" w:cs="仿宋"/>
          <w:spacing w:val="6"/>
          <w:sz w:val="32"/>
          <w:szCs w:val="32"/>
        </w:rPr>
        <w:t>1.</w:t>
      </w:r>
      <w:r>
        <w:rPr>
          <w:rFonts w:hint="eastAsia" w:ascii="仿宋" w:hAnsi="仿宋" w:eastAsia="仿宋" w:cs="仿宋"/>
          <w:spacing w:val="6"/>
          <w:sz w:val="32"/>
          <w:szCs w:val="32"/>
          <w:shd w:val="clear" w:color="auto" w:fill="FFFFFF"/>
        </w:rPr>
        <w:t>鼓励在职医技人员培训进修，各医疗卫生单位每年针对性安排部分卫技人员外派进修培训，并重点选派爱岗敬业、业务进步较快的中青年业务骨干到省、市重点医院进修培训，并签订培训服务合同。</w:t>
      </w:r>
    </w:p>
    <w:p>
      <w:pPr>
        <w:spacing w:line="50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shd w:val="clear" w:color="auto" w:fill="FFFFFF"/>
        </w:rPr>
        <w:t>2.</w:t>
      </w:r>
      <w:r>
        <w:rPr>
          <w:rFonts w:hint="eastAsia" w:ascii="仿宋" w:hAnsi="仿宋" w:eastAsia="仿宋" w:cs="仿宋"/>
          <w:spacing w:val="6"/>
          <w:sz w:val="32"/>
          <w:szCs w:val="32"/>
        </w:rPr>
        <w:t>超前引进培养乡镇卫生人才，根据医卫人才成长规律及医卫人员年龄结构，提前实施招聘后继人才计划。</w:t>
      </w:r>
    </w:p>
    <w:p>
      <w:pPr>
        <w:spacing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（三）中医药人才培养</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开展中西医协同攻关，强化中医临床思维，优化中医（中西医结合）诊疗方案、临床路径，综合应用中医医疗技术和现代科学技术，提高“急危重疑特”疾病临床疗效。实现专科建设与人才培养协同发展，通过师承教育、学历教育、职业教育与培训，加大中医、中西医结合临床人才的培养力度，加强实用性中医药人才培养，开展基层医疗卫生机构非中医类医生中医药适宜技术培训，积极推进中医药继续教育，加快学术技术带头人和中青年技术骨干的选拔和培养，建设一支职称结构和技术结构合理的中医药专业队伍。</w:t>
      </w:r>
    </w:p>
    <w:p>
      <w:pPr>
        <w:spacing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（四）村医队伍建设</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1.围绕每年乡村医生培训工作，有针对性地安排农村志愿从事乡村医生工作的青年进行定向培训。</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2.鼓励乡医进行学历进修，争取考核通过者由当地财政给予一定补助。</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3</w:t>
      </w:r>
      <w:r>
        <w:rPr>
          <w:rFonts w:ascii="仿宋" w:hAnsi="仿宋" w:eastAsia="仿宋" w:cs="仿宋"/>
          <w:bCs/>
          <w:spacing w:val="6"/>
          <w:sz w:val="32"/>
          <w:szCs w:val="32"/>
        </w:rPr>
        <w:t>.</w:t>
      </w:r>
      <w:r>
        <w:rPr>
          <w:rFonts w:hint="eastAsia" w:ascii="仿宋" w:hAnsi="仿宋" w:eastAsia="仿宋" w:cs="仿宋"/>
          <w:bCs/>
          <w:spacing w:val="6"/>
          <w:sz w:val="32"/>
          <w:szCs w:val="32"/>
        </w:rPr>
        <w:t>在高考招生时招录愿意从事乡医工作的学生，免费培养，定向分配，加强村医队伍建设让基层变“强”。</w:t>
      </w:r>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104" w:name="_Toc2452"/>
      <w:bookmarkStart w:id="105" w:name="_Toc57878443"/>
      <w:r>
        <w:rPr>
          <w:rFonts w:hint="eastAsia" w:ascii="仿宋" w:hAnsi="仿宋" w:eastAsia="仿宋" w:cs="仿宋"/>
          <w:b/>
          <w:spacing w:val="6"/>
          <w:sz w:val="32"/>
          <w:szCs w:val="32"/>
        </w:rPr>
        <w:t>加强综合监督和保障机制建立</w:t>
      </w:r>
      <w:bookmarkEnd w:id="104"/>
      <w:bookmarkEnd w:id="105"/>
    </w:p>
    <w:p>
      <w:pPr>
        <w:numPr>
          <w:ilvl w:val="0"/>
          <w:numId w:val="14"/>
        </w:numPr>
        <w:spacing w:beforeLines="50" w:afterLines="50"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加强卫生健康综合监督</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开展卫生</w:t>
      </w:r>
      <w:r>
        <w:rPr>
          <w:rFonts w:hint="eastAsia" w:ascii="仿宋" w:hAnsi="仿宋" w:eastAsia="仿宋" w:cs="仿宋"/>
          <w:bCs/>
          <w:spacing w:val="6"/>
          <w:sz w:val="32"/>
          <w:szCs w:val="32"/>
          <w:lang w:eastAsia="zh-CN"/>
        </w:rPr>
        <w:t>健康</w:t>
      </w:r>
      <w:r>
        <w:rPr>
          <w:rFonts w:hint="eastAsia" w:ascii="仿宋" w:hAnsi="仿宋" w:eastAsia="仿宋" w:cs="仿宋"/>
          <w:bCs/>
          <w:spacing w:val="6"/>
          <w:sz w:val="32"/>
          <w:szCs w:val="32"/>
        </w:rPr>
        <w:t>监督机构规范化建设，提升执法能力，健全以“双随机、一公开”监管为基本手段，以重点监管为补充，以信用监管为基础的新型监管机制。改革完善医疗卫生行业综合监管制度，从重点监管公立医疗卫生机构向全行业监管转变，从注重事前审批向注重事中事后全流程监管转变，从单项监管向综合协同监管转变。全面实施医疗机构多元化监管，完善医疗机构驻点监督制度，驻点监督覆盖率达到100%。加大公共场所卫生、饮用水卫生、学校卫生、涉水产品、消毒产品、职业健康、餐饮具集中消毒服务单位等监管力度，落实公共场所卫生安全主体责任，运用信息化手段，采取信用监管、智能监管，提升综合监管水平和效果。</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加强食品安全风险监测，完善食品安全地方标准体系，提高食源性疾病监测预警能力，</w:t>
      </w:r>
      <w:r>
        <w:rPr>
          <w:rFonts w:hint="eastAsia" w:ascii="仿宋" w:hAnsi="仿宋" w:eastAsia="仿宋" w:cs="仿宋"/>
          <w:bCs/>
          <w:spacing w:val="6"/>
          <w:sz w:val="32"/>
          <w:szCs w:val="32"/>
          <w:lang w:eastAsia="zh-CN"/>
        </w:rPr>
        <w:t>市总医院</w:t>
      </w:r>
      <w:r>
        <w:rPr>
          <w:rFonts w:hint="eastAsia" w:ascii="仿宋" w:hAnsi="仿宋" w:eastAsia="仿宋" w:cs="仿宋"/>
          <w:bCs/>
          <w:spacing w:val="6"/>
          <w:sz w:val="32"/>
          <w:szCs w:val="32"/>
        </w:rPr>
        <w:t>和乡镇卫生院、社区卫生服务中心实现网络直报，提升聚集性病例的识别、核实、报告、干预能力。健全食品安全风险监测网络，加快风险监测信息化建设，提升风险监测评估水平，实现数据采集自动化、数据共享便捷化、数据分析智能化。</w:t>
      </w:r>
    </w:p>
    <w:p>
      <w:pPr>
        <w:numPr>
          <w:ilvl w:val="0"/>
          <w:numId w:val="14"/>
        </w:numPr>
        <w:spacing w:beforeLines="50" w:afterLines="50" w:line="500" w:lineRule="exact"/>
        <w:ind w:firstLine="667" w:firstLineChars="200"/>
        <w:rPr>
          <w:rFonts w:ascii="仿宋" w:hAnsi="仿宋" w:eastAsia="仿宋" w:cs="仿宋"/>
          <w:b/>
          <w:bCs/>
          <w:spacing w:val="6"/>
          <w:sz w:val="32"/>
          <w:szCs w:val="32"/>
        </w:rPr>
      </w:pPr>
      <w:r>
        <w:rPr>
          <w:rFonts w:hint="eastAsia" w:ascii="仿宋" w:hAnsi="仿宋" w:eastAsia="仿宋" w:cs="仿宋"/>
          <w:b/>
          <w:bCs/>
          <w:spacing w:val="6"/>
          <w:sz w:val="32"/>
          <w:szCs w:val="32"/>
        </w:rPr>
        <w:t>建立公共卫生保障机制</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推动建立与经济社会发展，财政状况和健康指标相适应的卫生健康事业投入机制。落实财政事权和支出责任改革方案，建立健全权责清晰、财力协调、区域均衡的医疗卫生保障机制，加大公共卫生财政投入，保障基本医疗卫生服务的有效提供。落实政府办医责任，重点投入在改革完善疾病预防控制体系，专业公共卫生机构能力建设，强化其技术、能力、人才储备，补齐公共卫生服务短板，健全公共卫生应急管理体系，公立医院传染病救治能力建设，健全完善综合医院传染病防治设施建设，完善城乡医疗服务网络，中医药服务体系建设，卫生健康领域科技创新等方面，推动建立稳定可持续的卫生健康投入保障机制。逐步降低居民个人现金卫生支出占卫生总费用比重。坚持政府主导与发挥市场机制作用相结合，鼓励通过政府购买服务等方式提高医疗卫生领域投入效益。</w:t>
      </w:r>
    </w:p>
    <w:p>
      <w:pPr>
        <w:numPr>
          <w:ilvl w:val="0"/>
          <w:numId w:val="10"/>
        </w:numPr>
        <w:spacing w:beforeLines="50" w:afterLines="50" w:line="500" w:lineRule="exact"/>
        <w:ind w:firstLine="667" w:firstLineChars="200"/>
        <w:outlineLvl w:val="1"/>
        <w:rPr>
          <w:rFonts w:ascii="仿宋" w:hAnsi="仿宋" w:eastAsia="仿宋" w:cs="仿宋"/>
          <w:b/>
          <w:spacing w:val="6"/>
          <w:sz w:val="32"/>
          <w:szCs w:val="32"/>
        </w:rPr>
      </w:pPr>
      <w:bookmarkStart w:id="106" w:name="_Toc20883"/>
      <w:r>
        <w:rPr>
          <w:rFonts w:hint="eastAsia" w:ascii="仿宋" w:hAnsi="仿宋" w:eastAsia="仿宋" w:cs="仿宋"/>
          <w:b/>
          <w:spacing w:val="6"/>
          <w:sz w:val="32"/>
          <w:szCs w:val="32"/>
        </w:rPr>
        <w:t>深化医改新挑战，持续推进紧密型医共体建设</w:t>
      </w:r>
      <w:bookmarkEnd w:id="106"/>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十四五”是贯彻落实中央、省深化医疗体制工作的总体部署和主要深改方向时期，推进医改新进展，在已建立漳平市总医院为载体的紧密型医共体的基础上，进一步理顺体制机制，建立医疗与预防相结合的医防紧密型共同体，深化医疗、医保、医药“三医”联动向“全联深动”迈进，多措并举提升医疗卫生供给能力和水平，不仅要让群众看得上病，看得起病，更要看得好病，乃至少得病，更健康，更好满足人民群众多层次健康需求。</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1.借鉴“三明”医改的经验做法，创建医防融合体制机制。启动疾控机构综合改革，促进医疗机构与专业公共卫生之间的人员通、信息通、资源通。实施健康关口前移，强化医疗机构公共卫生职能，探索医疗保险向健康保险延伸，促进医保基金效益最大化。建立一套医生不看病、不开药，通过加强疾病预防也能获得绩效工资的内在激励机制，引导医疗服务从“治已病为中心”转向“以健康为中心”。</w:t>
      </w:r>
    </w:p>
    <w:p>
      <w:pPr>
        <w:spacing w:line="500" w:lineRule="exact"/>
        <w:ind w:firstLine="664" w:firstLineChars="200"/>
        <w:rPr>
          <w:rFonts w:ascii="仿宋" w:hAnsi="仿宋" w:eastAsia="仿宋" w:cs="仿宋"/>
          <w:bCs/>
          <w:spacing w:val="6"/>
          <w:sz w:val="32"/>
          <w:szCs w:val="32"/>
        </w:rPr>
      </w:pPr>
      <w:r>
        <w:rPr>
          <w:rFonts w:hint="eastAsia" w:ascii="仿宋" w:hAnsi="仿宋" w:eastAsia="仿宋" w:cs="仿宋"/>
          <w:bCs/>
          <w:spacing w:val="6"/>
          <w:sz w:val="32"/>
          <w:szCs w:val="32"/>
        </w:rPr>
        <w:t>2.突出“三医”全联深动，建立医共体内部经济利益纽带。抓好“药价保”改革。实施扩大按疾病诊断相关分组（DRG）收付费改革范围，完善医共体医保基金总额付费机制。建立总额包干、结余留用的机制，即按照1个总医院为一个组团形式，将医保基金总额包干给总医院，建立“一组团、一包干、两确定”机制，促进广大医生积极参与健康宣传、慢性病管理。加大药品耗材集中采购改革力度，及时动态调整医疗服务价格。加大薪酬制度改革创新力度，大力推进医保精细化管理，构建优质高效的整合型医疗卫生服务体系。</w:t>
      </w:r>
    </w:p>
    <w:p>
      <w:pPr>
        <w:spacing w:line="500" w:lineRule="exact"/>
        <w:ind w:firstLine="664" w:firstLineChars="200"/>
        <w:rPr>
          <w:rFonts w:hint="eastAsia" w:ascii="仿宋" w:hAnsi="仿宋" w:eastAsia="仿宋" w:cs="仿宋"/>
          <w:bCs/>
          <w:spacing w:val="6"/>
          <w:sz w:val="32"/>
          <w:szCs w:val="32"/>
        </w:rPr>
      </w:pPr>
      <w:r>
        <w:rPr>
          <w:rFonts w:hint="eastAsia" w:ascii="仿宋" w:hAnsi="仿宋" w:eastAsia="仿宋" w:cs="仿宋"/>
          <w:bCs/>
          <w:spacing w:val="6"/>
          <w:sz w:val="32"/>
          <w:szCs w:val="32"/>
        </w:rPr>
        <w:t>3.建立医共体绩效监督体系。突出规范运行与质量提升，切实提升服务获得感。主要体现包括总院与分院经济运行、诊疗服务质量、分级诊治、收费结算、医保基金支付方式、资源共享、群众满意度等定量指标和定性指标，并赋能分值，进行考核评分，获得总分值。通过季度、半年、全年考核反映紧密型医共体建设及运行的实效，更加有效提升卫生与健康事业发展。</w:t>
      </w:r>
    </w:p>
    <w:p>
      <w:pPr>
        <w:spacing w:line="500" w:lineRule="exact"/>
        <w:ind w:firstLine="664" w:firstLineChars="200"/>
        <w:rPr>
          <w:rFonts w:hint="eastAsia" w:ascii="仿宋" w:hAnsi="仿宋" w:eastAsia="仿宋" w:cs="仿宋"/>
          <w:bCs/>
          <w:spacing w:val="6"/>
          <w:sz w:val="32"/>
          <w:szCs w:val="32"/>
        </w:rPr>
      </w:pPr>
    </w:p>
    <w:p>
      <w:pPr>
        <w:spacing w:line="500" w:lineRule="exact"/>
        <w:ind w:firstLine="664" w:firstLineChars="200"/>
        <w:rPr>
          <w:rFonts w:hint="eastAsia" w:ascii="仿宋" w:hAnsi="仿宋" w:eastAsia="仿宋" w:cs="仿宋"/>
          <w:bCs/>
          <w:spacing w:val="6"/>
          <w:sz w:val="32"/>
          <w:szCs w:val="32"/>
        </w:rPr>
      </w:pPr>
    </w:p>
    <w:p>
      <w:pPr>
        <w:numPr>
          <w:ilvl w:val="0"/>
          <w:numId w:val="2"/>
        </w:numPr>
        <w:spacing w:beforeLines="50" w:afterLines="50" w:line="500" w:lineRule="exact"/>
        <w:jc w:val="center"/>
        <w:outlineLvl w:val="0"/>
        <w:rPr>
          <w:rFonts w:ascii="仿宋" w:hAnsi="仿宋" w:eastAsia="仿宋" w:cs="仿宋"/>
          <w:b/>
          <w:spacing w:val="6"/>
          <w:sz w:val="32"/>
          <w:szCs w:val="32"/>
        </w:rPr>
      </w:pPr>
      <w:bookmarkStart w:id="107" w:name="_Toc57878444"/>
      <w:bookmarkStart w:id="108" w:name="_Toc17268"/>
      <w:r>
        <w:rPr>
          <w:rFonts w:hint="eastAsia" w:ascii="仿宋" w:hAnsi="仿宋" w:eastAsia="仿宋" w:cs="仿宋"/>
          <w:b/>
          <w:spacing w:val="6"/>
          <w:sz w:val="32"/>
          <w:szCs w:val="32"/>
        </w:rPr>
        <w:t>规划保障</w:t>
      </w:r>
      <w:bookmarkEnd w:id="107"/>
      <w:bookmarkEnd w:id="108"/>
    </w:p>
    <w:p>
      <w:pPr>
        <w:numPr>
          <w:ilvl w:val="0"/>
          <w:numId w:val="15"/>
        </w:numPr>
        <w:spacing w:beforeLines="50" w:afterLines="50" w:line="500" w:lineRule="exact"/>
        <w:ind w:firstLine="667" w:firstLineChars="200"/>
        <w:outlineLvl w:val="1"/>
        <w:rPr>
          <w:rFonts w:ascii="仿宋" w:hAnsi="仿宋" w:eastAsia="仿宋" w:cs="仿宋"/>
          <w:b/>
          <w:spacing w:val="6"/>
          <w:kern w:val="0"/>
          <w:sz w:val="32"/>
          <w:szCs w:val="32"/>
        </w:rPr>
      </w:pPr>
      <w:bookmarkStart w:id="109" w:name="_Toc57878445"/>
      <w:bookmarkStart w:id="110" w:name="_Toc10792"/>
      <w:r>
        <w:rPr>
          <w:rFonts w:hint="eastAsia" w:ascii="仿宋" w:hAnsi="仿宋" w:eastAsia="仿宋" w:cs="仿宋"/>
          <w:b/>
          <w:spacing w:val="6"/>
          <w:kern w:val="0"/>
          <w:sz w:val="32"/>
          <w:szCs w:val="32"/>
        </w:rPr>
        <w:t>加强组织领导</w:t>
      </w:r>
      <w:bookmarkEnd w:id="109"/>
      <w:bookmarkEnd w:id="110"/>
    </w:p>
    <w:p>
      <w:pPr>
        <w:spacing w:line="500" w:lineRule="exact"/>
        <w:ind w:firstLine="664" w:firstLineChars="200"/>
        <w:outlineLvl w:val="1"/>
        <w:rPr>
          <w:rFonts w:ascii="仿宋" w:hAnsi="仿宋" w:eastAsia="仿宋" w:cs="仿宋"/>
          <w:spacing w:val="6"/>
          <w:kern w:val="0"/>
          <w:sz w:val="32"/>
          <w:szCs w:val="32"/>
        </w:rPr>
      </w:pPr>
      <w:bookmarkStart w:id="111" w:name="_Toc24974"/>
      <w:bookmarkStart w:id="112" w:name="_Toc22841"/>
      <w:bookmarkStart w:id="113" w:name="_Toc29040"/>
      <w:bookmarkStart w:id="114" w:name="_Toc57878446"/>
      <w:bookmarkStart w:id="115" w:name="_Toc5970"/>
      <w:bookmarkStart w:id="116" w:name="_Toc13110"/>
      <w:r>
        <w:rPr>
          <w:rFonts w:hint="eastAsia" w:ascii="仿宋" w:hAnsi="仿宋" w:eastAsia="仿宋" w:cs="仿宋"/>
          <w:spacing w:val="6"/>
          <w:kern w:val="0"/>
          <w:sz w:val="32"/>
          <w:szCs w:val="32"/>
        </w:rPr>
        <w:t>要强化在卫生与健康事业发展中的责任,加强和改善对卫生与健康工作的领导,将卫生与健康事业发展“十四五”规划纳入漳平市经济和社会发展总体规划,并作为“1号工程”来抓，采取有效措施保证规划的落实。</w:t>
      </w:r>
      <w:bookmarkEnd w:id="111"/>
      <w:bookmarkEnd w:id="112"/>
      <w:bookmarkEnd w:id="113"/>
      <w:bookmarkEnd w:id="114"/>
      <w:bookmarkEnd w:id="115"/>
      <w:bookmarkEnd w:id="116"/>
    </w:p>
    <w:p>
      <w:pPr>
        <w:numPr>
          <w:ilvl w:val="0"/>
          <w:numId w:val="15"/>
        </w:numPr>
        <w:spacing w:beforeLines="50" w:afterLines="50" w:line="500" w:lineRule="exact"/>
        <w:ind w:firstLine="667" w:firstLineChars="200"/>
        <w:outlineLvl w:val="1"/>
        <w:rPr>
          <w:rFonts w:ascii="仿宋" w:hAnsi="仿宋" w:eastAsia="仿宋" w:cs="仿宋"/>
          <w:b/>
          <w:spacing w:val="6"/>
          <w:kern w:val="0"/>
          <w:sz w:val="32"/>
          <w:szCs w:val="32"/>
        </w:rPr>
      </w:pPr>
      <w:bookmarkStart w:id="117" w:name="_Toc18939"/>
      <w:bookmarkStart w:id="118" w:name="_Toc57878447"/>
      <w:r>
        <w:rPr>
          <w:rFonts w:hint="eastAsia" w:ascii="仿宋" w:hAnsi="仿宋" w:eastAsia="仿宋" w:cs="仿宋"/>
          <w:b/>
          <w:spacing w:val="6"/>
          <w:kern w:val="0"/>
          <w:sz w:val="32"/>
          <w:szCs w:val="32"/>
        </w:rPr>
        <w:t>加强部门协调</w:t>
      </w:r>
      <w:bookmarkEnd w:id="117"/>
      <w:bookmarkEnd w:id="118"/>
    </w:p>
    <w:p>
      <w:pPr>
        <w:spacing w:line="500" w:lineRule="exact"/>
        <w:ind w:firstLine="664" w:firstLineChars="200"/>
        <w:rPr>
          <w:rFonts w:ascii="仿宋" w:hAnsi="仿宋" w:eastAsia="仿宋" w:cs="仿宋"/>
          <w:spacing w:val="6"/>
          <w:kern w:val="0"/>
          <w:sz w:val="32"/>
          <w:szCs w:val="32"/>
        </w:rPr>
      </w:pPr>
      <w:r>
        <w:rPr>
          <w:rFonts w:hint="eastAsia" w:ascii="仿宋" w:hAnsi="仿宋" w:eastAsia="仿宋" w:cs="仿宋"/>
          <w:spacing w:val="6"/>
          <w:kern w:val="0"/>
          <w:sz w:val="32"/>
          <w:szCs w:val="32"/>
        </w:rPr>
        <w:t>建立健全卫生与健康工作协调机制,统筹医疗卫生、医疗保障、服务价格、经费保障和药品购销、应急物资保障等有关工作,协调各部门形成合力,共同做好卫生与健康工作。充分发挥联席会议综合协调作用,加强对重难点工作的协调、指导和推进。</w:t>
      </w:r>
    </w:p>
    <w:p>
      <w:pPr>
        <w:numPr>
          <w:ilvl w:val="0"/>
          <w:numId w:val="15"/>
        </w:numPr>
        <w:spacing w:beforeLines="50" w:afterLines="50" w:line="500" w:lineRule="exact"/>
        <w:ind w:firstLine="667" w:firstLineChars="200"/>
        <w:outlineLvl w:val="1"/>
        <w:rPr>
          <w:rFonts w:ascii="仿宋" w:hAnsi="仿宋" w:eastAsia="仿宋" w:cs="仿宋"/>
          <w:b/>
          <w:spacing w:val="6"/>
          <w:kern w:val="0"/>
          <w:sz w:val="32"/>
          <w:szCs w:val="32"/>
        </w:rPr>
      </w:pPr>
      <w:bookmarkStart w:id="119" w:name="_Toc57878448"/>
      <w:bookmarkStart w:id="120" w:name="_Toc29588"/>
      <w:r>
        <w:rPr>
          <w:rFonts w:hint="eastAsia" w:ascii="仿宋" w:hAnsi="仿宋" w:eastAsia="仿宋" w:cs="仿宋"/>
          <w:b/>
          <w:spacing w:val="6"/>
          <w:kern w:val="0"/>
          <w:sz w:val="32"/>
          <w:szCs w:val="32"/>
        </w:rPr>
        <w:t>完善投入机制</w:t>
      </w:r>
      <w:bookmarkEnd w:id="119"/>
      <w:bookmarkEnd w:id="120"/>
    </w:p>
    <w:p>
      <w:pPr>
        <w:spacing w:line="500" w:lineRule="exact"/>
        <w:ind w:firstLine="664" w:firstLineChars="200"/>
        <w:rPr>
          <w:rFonts w:ascii="仿宋" w:hAnsi="仿宋" w:eastAsia="仿宋" w:cs="仿宋"/>
          <w:spacing w:val="6"/>
          <w:kern w:val="0"/>
          <w:sz w:val="32"/>
          <w:szCs w:val="32"/>
        </w:rPr>
      </w:pPr>
      <w:r>
        <w:rPr>
          <w:rFonts w:hint="eastAsia" w:ascii="仿宋" w:hAnsi="仿宋" w:eastAsia="仿宋" w:cs="仿宋"/>
          <w:spacing w:val="6"/>
          <w:kern w:val="0"/>
          <w:sz w:val="32"/>
          <w:szCs w:val="32"/>
        </w:rPr>
        <w:t>明确政府在提供公共卫生、基本医疗服务和生育与健康事业投入中的主导地位。要把深化医药卫生体制改革作为财政支持的重点领域,加大政府对卫生与健康事业的投入。研究对接中央、省、市有关促进卫生与健康事业发展的政策，极大争取中央、省、市预算内投资，在总量增加、结构优化、制度建设与创新上同步推进,保障公共卫生和基本医疗经费。鼓励民间资本投资卫生事业,形成政府投入为主导，其他渠道为补充的多元化投入机制。</w:t>
      </w:r>
    </w:p>
    <w:p>
      <w:pPr>
        <w:numPr>
          <w:ilvl w:val="0"/>
          <w:numId w:val="15"/>
        </w:numPr>
        <w:spacing w:beforeLines="50" w:afterLines="50" w:line="500" w:lineRule="exact"/>
        <w:ind w:firstLine="667" w:firstLineChars="200"/>
        <w:outlineLvl w:val="1"/>
        <w:rPr>
          <w:rFonts w:ascii="仿宋" w:hAnsi="仿宋" w:eastAsia="仿宋" w:cs="仿宋"/>
          <w:b/>
          <w:spacing w:val="6"/>
          <w:kern w:val="0"/>
          <w:sz w:val="32"/>
          <w:szCs w:val="32"/>
        </w:rPr>
      </w:pPr>
      <w:bookmarkStart w:id="121" w:name="_Toc57878449"/>
      <w:bookmarkStart w:id="122" w:name="_Toc25086"/>
      <w:r>
        <w:rPr>
          <w:rFonts w:hint="eastAsia" w:ascii="仿宋" w:hAnsi="仿宋" w:eastAsia="仿宋" w:cs="仿宋"/>
          <w:b/>
          <w:spacing w:val="6"/>
          <w:kern w:val="0"/>
          <w:sz w:val="32"/>
          <w:szCs w:val="32"/>
        </w:rPr>
        <w:t>加强监测评估</w:t>
      </w:r>
      <w:bookmarkEnd w:id="121"/>
      <w:bookmarkEnd w:id="122"/>
    </w:p>
    <w:p>
      <w:pPr>
        <w:spacing w:line="500" w:lineRule="exact"/>
        <w:ind w:firstLine="664" w:firstLineChars="200"/>
        <w:rPr>
          <w:rFonts w:ascii="仿宋" w:hAnsi="仿宋" w:eastAsia="仿宋" w:cs="仿宋"/>
          <w:spacing w:val="6"/>
          <w:kern w:val="0"/>
          <w:sz w:val="32"/>
          <w:szCs w:val="32"/>
        </w:rPr>
      </w:pPr>
      <w:r>
        <w:rPr>
          <w:rFonts w:hint="eastAsia" w:ascii="仿宋" w:hAnsi="仿宋" w:eastAsia="仿宋" w:cs="仿宋"/>
          <w:spacing w:val="6"/>
          <w:kern w:val="0"/>
          <w:sz w:val="32"/>
          <w:szCs w:val="32"/>
        </w:rPr>
        <w:t>加强对规划执行情况的监测、评估和督导,加强对重大政策、重大工程项目的动态跟踪和实施效果的评估。定期公布主要发展目标、主要任务、重大政策与重大工程的</w:t>
      </w:r>
      <w:r>
        <w:rPr>
          <w:rFonts w:hint="eastAsia" w:ascii="仿宋" w:hAnsi="仿宋" w:eastAsia="仿宋" w:cs="仿宋"/>
          <w:spacing w:val="6"/>
          <w:kern w:val="0"/>
          <w:sz w:val="32"/>
          <w:szCs w:val="32"/>
          <w:lang w:eastAsia="zh-CN"/>
        </w:rPr>
        <w:t>进</w:t>
      </w:r>
      <w:r>
        <w:rPr>
          <w:rFonts w:hint="eastAsia" w:ascii="仿宋" w:hAnsi="仿宋" w:eastAsia="仿宋" w:cs="仿宋"/>
          <w:spacing w:val="6"/>
          <w:kern w:val="0"/>
          <w:sz w:val="32"/>
          <w:szCs w:val="32"/>
        </w:rPr>
        <w:t>展和落实情况,以本规划为基本依据,制定和实施相关年度计划。根据实际情况和职责范围,制定本区域、本部门的具体实施方案。要重视规划项目的实施,通过规划引领项目,依靠项目落实规划定期对规划实施进展情况进行总结,并对规划实施过程中存在的</w:t>
      </w:r>
      <w:r>
        <w:rPr>
          <w:rFonts w:hint="eastAsia" w:ascii="仿宋" w:hAnsi="仿宋" w:eastAsia="仿宋" w:cs="仿宋"/>
          <w:spacing w:val="6"/>
          <w:kern w:val="0"/>
          <w:sz w:val="32"/>
          <w:szCs w:val="32"/>
          <w:lang w:eastAsia="zh-CN"/>
        </w:rPr>
        <w:t>问</w:t>
      </w:r>
      <w:r>
        <w:rPr>
          <w:rFonts w:hint="eastAsia" w:ascii="仿宋" w:hAnsi="仿宋" w:eastAsia="仿宋" w:cs="仿宋"/>
          <w:spacing w:val="6"/>
          <w:kern w:val="0"/>
          <w:sz w:val="32"/>
          <w:szCs w:val="32"/>
        </w:rPr>
        <w:t>题进行分析和研究,提出对策。规划在执行过程中确因重大事件和原因需要调整的,必须经过科学论证,并报批准后方可进行调整。</w:t>
      </w:r>
    </w:p>
    <w:p>
      <w:pPr>
        <w:numPr>
          <w:ilvl w:val="0"/>
          <w:numId w:val="15"/>
        </w:numPr>
        <w:spacing w:beforeLines="50" w:afterLines="50" w:line="500" w:lineRule="exact"/>
        <w:ind w:firstLine="667" w:firstLineChars="200"/>
        <w:outlineLvl w:val="1"/>
        <w:rPr>
          <w:rFonts w:ascii="仿宋" w:hAnsi="仿宋" w:eastAsia="仿宋" w:cs="仿宋"/>
          <w:b/>
          <w:spacing w:val="6"/>
          <w:kern w:val="0"/>
          <w:sz w:val="32"/>
          <w:szCs w:val="32"/>
        </w:rPr>
      </w:pPr>
      <w:bookmarkStart w:id="123" w:name="_Toc477502805"/>
      <w:bookmarkStart w:id="124" w:name="_Toc30284"/>
      <w:bookmarkStart w:id="125" w:name="_Toc57878450"/>
      <w:r>
        <w:rPr>
          <w:rFonts w:hint="eastAsia" w:ascii="仿宋" w:hAnsi="仿宋" w:eastAsia="仿宋" w:cs="仿宋"/>
          <w:b/>
          <w:spacing w:val="6"/>
          <w:kern w:val="0"/>
          <w:sz w:val="32"/>
          <w:szCs w:val="32"/>
        </w:rPr>
        <w:t>加强环境</w:t>
      </w:r>
      <w:bookmarkEnd w:id="123"/>
      <w:r>
        <w:rPr>
          <w:rFonts w:hint="eastAsia" w:ascii="仿宋" w:hAnsi="仿宋" w:eastAsia="仿宋" w:cs="仿宋"/>
          <w:b/>
          <w:spacing w:val="6"/>
          <w:kern w:val="0"/>
          <w:sz w:val="32"/>
          <w:szCs w:val="32"/>
        </w:rPr>
        <w:t>营造</w:t>
      </w:r>
      <w:bookmarkEnd w:id="124"/>
      <w:bookmarkEnd w:id="125"/>
    </w:p>
    <w:p>
      <w:pPr>
        <w:spacing w:line="500" w:lineRule="exact"/>
        <w:ind w:firstLine="664" w:firstLineChars="200"/>
        <w:sectPr>
          <w:headerReference r:id="rId7" w:type="default"/>
          <w:footerReference r:id="rId8" w:type="default"/>
          <w:pgSz w:w="11850" w:h="16783"/>
          <w:pgMar w:top="1440" w:right="1800" w:bottom="1440" w:left="1800" w:header="1077" w:footer="992" w:gutter="0"/>
          <w:pgNumType w:start="1"/>
          <w:cols w:space="425" w:num="1"/>
          <w:docGrid w:type="lines" w:linePitch="312" w:charSpace="0"/>
        </w:sectPr>
      </w:pPr>
      <w:r>
        <w:rPr>
          <w:rFonts w:hint="eastAsia" w:ascii="仿宋" w:hAnsi="仿宋" w:eastAsia="仿宋" w:cs="仿宋"/>
          <w:spacing w:val="6"/>
          <w:kern w:val="0"/>
          <w:sz w:val="32"/>
          <w:szCs w:val="32"/>
        </w:rPr>
        <w:t>按照统一开放和公平、公开、公正的要求，打破隶属关系的管理和垄断，取消或调整妨碍多种形式办医的不合理政策，充分发挥市场机制在卫生与健康资源配置和结构调整中的作用，鼓励和扶持发展有一定规模的民营医院和专科医院，全面引入竞争机制，努力营造卫生与健康服务的公平竞争环境。紧紧围绕中央、省、市重大决策部署和重点工作，深入推进典型宣传、对外宣传和文化建设，着力提升新闻发布和舆论引导能力，有效提高健康促进工作水平，完善大健康大联合大宣传工作格局，为推动卫生与健康事业科学发展提供强大的思想保证、精神力量、舆论支持和文化条件。</w:t>
      </w:r>
    </w:p>
    <w:p>
      <w:pPr>
        <w:pStyle w:val="3"/>
        <w:spacing w:beforeLines="0" w:afterLines="0"/>
        <w:jc w:val="center"/>
        <w:rPr>
          <w:rFonts w:ascii="仿宋" w:hAnsi="仿宋" w:eastAsia="仿宋" w:cs="仿宋"/>
          <w:b/>
          <w:bCs/>
          <w:sz w:val="28"/>
          <w:szCs w:val="28"/>
        </w:rPr>
      </w:pPr>
      <w:r>
        <w:rPr>
          <w:rFonts w:hint="eastAsia" w:ascii="仿宋" w:hAnsi="仿宋" w:eastAsia="仿宋" w:cs="仿宋"/>
          <w:b/>
          <w:bCs/>
          <w:sz w:val="28"/>
          <w:szCs w:val="28"/>
        </w:rPr>
        <w:t>漳平市“十四五”卫生与健康事业专项规划重点建设项目表</w:t>
      </w:r>
    </w:p>
    <w:tbl>
      <w:tblPr>
        <w:tblStyle w:val="12"/>
        <w:tblW w:w="14040" w:type="dxa"/>
        <w:tblInd w:w="0" w:type="dxa"/>
        <w:tblLayout w:type="autofit"/>
        <w:tblCellMar>
          <w:top w:w="0" w:type="dxa"/>
          <w:left w:w="0" w:type="dxa"/>
          <w:bottom w:w="0" w:type="dxa"/>
          <w:right w:w="0" w:type="dxa"/>
        </w:tblCellMar>
      </w:tblPr>
      <w:tblGrid>
        <w:gridCol w:w="734"/>
        <w:gridCol w:w="4590"/>
        <w:gridCol w:w="1260"/>
        <w:gridCol w:w="1259"/>
        <w:gridCol w:w="4847"/>
        <w:gridCol w:w="1350"/>
      </w:tblGrid>
      <w:tr>
        <w:tblPrEx>
          <w:tblCellMar>
            <w:top w:w="0" w:type="dxa"/>
            <w:left w:w="0" w:type="dxa"/>
            <w:bottom w:w="0" w:type="dxa"/>
            <w:right w:w="0" w:type="dxa"/>
          </w:tblCellMar>
        </w:tblPrEx>
        <w:trPr>
          <w:trHeight w:val="48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序号</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项目名称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建设性质</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建设规模</w:t>
            </w:r>
            <w:r>
              <w:rPr>
                <w:rFonts w:ascii="宋体" w:hAnsi="宋体" w:eastAsia="宋体" w:cs="宋体"/>
                <w:b/>
                <w:kern w:val="0"/>
                <w:sz w:val="24"/>
                <w:szCs w:val="24"/>
              </w:rPr>
              <w:br w:type="textWrapping"/>
            </w:r>
            <w:r>
              <w:rPr>
                <w:rFonts w:ascii="宋体" w:hAnsi="宋体" w:eastAsia="宋体" w:cs="宋体"/>
                <w:b/>
                <w:kern w:val="0"/>
                <w:sz w:val="24"/>
                <w:szCs w:val="24"/>
              </w:rPr>
              <w:t>（平方米）</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建设内容</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总投资</w:t>
            </w:r>
            <w:r>
              <w:rPr>
                <w:rFonts w:ascii="宋体" w:hAnsi="宋体" w:eastAsia="宋体" w:cs="宋体"/>
                <w:b/>
                <w:kern w:val="0"/>
                <w:sz w:val="24"/>
                <w:szCs w:val="24"/>
              </w:rPr>
              <w:br w:type="textWrapping"/>
            </w:r>
            <w:r>
              <w:rPr>
                <w:rFonts w:ascii="宋体" w:hAnsi="宋体" w:eastAsia="宋体" w:cs="宋体"/>
                <w:b/>
                <w:kern w:val="0"/>
                <w:sz w:val="24"/>
                <w:szCs w:val="24"/>
              </w:rPr>
              <w:t>（万元）</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（一）中医药传承创新工程</w:t>
            </w:r>
          </w:p>
        </w:tc>
      </w:tr>
      <w:tr>
        <w:tblPrEx>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1</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福建漳平香寮森林康养融合基地</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中医药农业研究与推广、特色中草药的种植、利用中草药治未病研究、中医养生、香寮长寿村的发掘、生态康养、地方农特产品和矿泉水品牌</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6,000</w:t>
            </w:r>
          </w:p>
        </w:tc>
      </w:tr>
      <w:tr>
        <w:tblPrEx>
          <w:tblCellMar>
            <w:top w:w="0" w:type="dxa"/>
            <w:left w:w="0" w:type="dxa"/>
            <w:bottom w:w="0" w:type="dxa"/>
            <w:right w:w="0" w:type="dxa"/>
          </w:tblCellMar>
        </w:tblPrEx>
        <w:trPr>
          <w:trHeight w:val="407"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（二）公共卫生服务卫生体系</w:t>
            </w:r>
          </w:p>
        </w:tc>
      </w:tr>
      <w:tr>
        <w:tblPrEx>
          <w:tblCellMar>
            <w:top w:w="0" w:type="dxa"/>
            <w:left w:w="0" w:type="dxa"/>
            <w:bottom w:w="0" w:type="dxa"/>
            <w:right w:w="0" w:type="dxa"/>
          </w:tblCellMar>
        </w:tblPrEx>
        <w:trPr>
          <w:trHeight w:val="377"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1.疾病预防控制体系现代化</w:t>
            </w:r>
          </w:p>
        </w:tc>
      </w:tr>
      <w:tr>
        <w:tblPrEx>
          <w:tblCellMar>
            <w:top w:w="0" w:type="dxa"/>
            <w:left w:w="0" w:type="dxa"/>
            <w:bottom w:w="0" w:type="dxa"/>
            <w:right w:w="0" w:type="dxa"/>
          </w:tblCellMar>
        </w:tblPrEx>
        <w:trPr>
          <w:trHeight w:val="90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sz w:val="24"/>
                <w:szCs w:val="24"/>
              </w:rPr>
            </w:pPr>
            <w:r>
              <w:rPr>
                <w:rFonts w:hint="eastAsia" w:ascii="宋体" w:hAnsi="宋体" w:eastAsia="宋体" w:cs="宋体"/>
                <w:kern w:val="0"/>
                <w:sz w:val="24"/>
                <w:szCs w:val="24"/>
              </w:rPr>
              <w:t>漳平市疾病预防控制中心实验室能力提升项目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sz w:val="24"/>
                <w:szCs w:val="24"/>
              </w:rPr>
            </w:pPr>
            <w:r>
              <w:rPr>
                <w:rFonts w:ascii="宋体" w:hAnsi="宋体" w:eastAsia="宋体" w:cs="宋体"/>
                <w:kern w:val="0"/>
                <w:sz w:val="24"/>
                <w:szCs w:val="24"/>
              </w:rPr>
              <w:t>1.疾控中心实验室改造提升，建设P2实验室，其中重点对病毒核酸实验室进行负压系统升级改造，改造面积2000平方米；</w:t>
            </w:r>
            <w:r>
              <w:rPr>
                <w:rFonts w:ascii="宋体" w:hAnsi="宋体" w:eastAsia="宋体" w:cs="宋体"/>
                <w:kern w:val="0"/>
                <w:sz w:val="24"/>
                <w:szCs w:val="24"/>
              </w:rPr>
              <w:br w:type="textWrapping"/>
            </w:r>
            <w:r>
              <w:rPr>
                <w:rFonts w:ascii="宋体" w:hAnsi="宋体" w:eastAsia="宋体" w:cs="宋体"/>
                <w:kern w:val="0"/>
                <w:sz w:val="24"/>
                <w:szCs w:val="24"/>
              </w:rPr>
              <w:t>2.相关检测仪器设备购置。</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3</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漳平市疾病预防控制中心食品检测实验室建设项目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总建筑面积1000平方米，设置标准的食品检测实验室及配套设备</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4</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疾控中心环境改造项目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改造</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实验室污水处理系统建设、中心环境绿化、交通路面的配套设施建设</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2,000</w:t>
            </w:r>
          </w:p>
        </w:tc>
      </w:tr>
      <w:tr>
        <w:tblPrEx>
          <w:tblCellMar>
            <w:top w:w="0" w:type="dxa"/>
            <w:left w:w="0" w:type="dxa"/>
            <w:bottom w:w="0" w:type="dxa"/>
            <w:right w:w="0" w:type="dxa"/>
          </w:tblCellMar>
        </w:tblPrEx>
        <w:trPr>
          <w:trHeight w:val="719"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5</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疾控中心职业病危害因素检测中心项目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建设面积1000平方米，设置标准职业病危害因素认定实验室、评定中心、药品存放室等</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2,500</w:t>
            </w:r>
          </w:p>
        </w:tc>
      </w:tr>
      <w:tr>
        <w:tblPrEx>
          <w:tblCellMar>
            <w:top w:w="0" w:type="dxa"/>
            <w:left w:w="0" w:type="dxa"/>
            <w:bottom w:w="0" w:type="dxa"/>
            <w:right w:w="0" w:type="dxa"/>
          </w:tblCellMar>
        </w:tblPrEx>
        <w:trPr>
          <w:trHeight w:val="719"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6</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预防接种质量提升和标准化建设</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改建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改造面积500平方米，药品冷链管理提升建设，预防接种场所改造提升</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1,000</w:t>
            </w:r>
          </w:p>
        </w:tc>
      </w:tr>
      <w:tr>
        <w:tblPrEx>
          <w:tblCellMar>
            <w:top w:w="0" w:type="dxa"/>
            <w:left w:w="0" w:type="dxa"/>
            <w:bottom w:w="0" w:type="dxa"/>
            <w:right w:w="0" w:type="dxa"/>
          </w:tblCellMar>
        </w:tblPrEx>
        <w:trPr>
          <w:trHeight w:val="849"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7</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公共卫生医师规范化培训基地</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建设教学中心，实训基地，研究和应用中心，生活区，规划床位100张</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5,000</w:t>
            </w:r>
          </w:p>
        </w:tc>
      </w:tr>
      <w:tr>
        <w:tblPrEx>
          <w:tblCellMar>
            <w:top w:w="0" w:type="dxa"/>
            <w:left w:w="0" w:type="dxa"/>
            <w:bottom w:w="0" w:type="dxa"/>
            <w:right w:w="0" w:type="dxa"/>
          </w:tblCellMar>
        </w:tblPrEx>
        <w:trPr>
          <w:trHeight w:val="24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2.公共卫生中心建设</w:t>
            </w:r>
          </w:p>
        </w:tc>
      </w:tr>
      <w:tr>
        <w:tblPrEx>
          <w:tblCellMar>
            <w:top w:w="0" w:type="dxa"/>
            <w:left w:w="0" w:type="dxa"/>
            <w:bottom w:w="0" w:type="dxa"/>
            <w:right w:w="0" w:type="dxa"/>
          </w:tblCellMar>
        </w:tblPrEx>
        <w:trPr>
          <w:trHeight w:val="11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8</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漳平市传染病密切接触者集中医疗观察点建设项目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1.总建设面积5000平方米，按照传染病密切接触者集中医学观察用房标准要求，建设集医学留观功能（含单人单间住宿、饮食配送服务、日常医学监测）于一体的功能；建设应急物质储备库500平方米等设施。</w:t>
            </w:r>
            <w:r>
              <w:rPr>
                <w:rFonts w:ascii="宋体" w:hAnsi="宋体" w:eastAsia="宋体" w:cs="宋体"/>
                <w:kern w:val="0"/>
                <w:sz w:val="24"/>
                <w:szCs w:val="24"/>
              </w:rPr>
              <w:br w:type="textWrapping"/>
            </w:r>
            <w:r>
              <w:rPr>
                <w:rFonts w:ascii="宋体" w:hAnsi="宋体" w:eastAsia="宋体" w:cs="宋体"/>
                <w:kern w:val="0"/>
                <w:sz w:val="24"/>
                <w:szCs w:val="24"/>
              </w:rPr>
              <w:t>2.附属设施如废物、废水集中无危害化处理等。</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5,000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9</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漳平市总医院传染病房改扩建工程项目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新建建筑面积3000平方米，增设负压病房20间及病房专用标准设备。建成后传染病床位　达100张。</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1,200</w:t>
            </w:r>
          </w:p>
        </w:tc>
      </w:tr>
      <w:tr>
        <w:tblPrEx>
          <w:tblCellMar>
            <w:top w:w="0" w:type="dxa"/>
            <w:left w:w="0" w:type="dxa"/>
            <w:bottom w:w="0" w:type="dxa"/>
            <w:right w:w="0" w:type="dxa"/>
          </w:tblCellMar>
        </w:tblPrEx>
        <w:trPr>
          <w:trHeight w:val="90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10</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福建省卫生应急物资闽西南储备库建设项目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规划建设用地30亩，建设面积10000平方米。设置医疗救援药品库、传染病控制物资库、中毒处置物资库、核与放射类处置物资库等业务用房，建设智能化物联网管理系统、人防工程、地下停车场，以及环境整治等附属设施。</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23,000</w:t>
            </w:r>
          </w:p>
        </w:tc>
      </w:tr>
      <w:tr>
        <w:tblPrEx>
          <w:tblCellMar>
            <w:top w:w="0" w:type="dxa"/>
            <w:left w:w="0" w:type="dxa"/>
            <w:bottom w:w="0" w:type="dxa"/>
            <w:right w:w="0" w:type="dxa"/>
          </w:tblCellMar>
        </w:tblPrEx>
        <w:trPr>
          <w:trHeight w:val="90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11</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漳平市方舱医院</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7400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利用漳平体育馆约7400平方米的运动场所改造成420张床位的方舱医院(每个区42张床位)。完善场地设置、通风系统、后勤保障设施、预留管道、信息接口、空间改造、医疗废物废水处置设施、医用电梯、隔离设施等。</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5,000</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3.紧急医学救治能力</w:t>
            </w:r>
          </w:p>
        </w:tc>
      </w:tr>
      <w:tr>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12</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漳平市总医院西园分院创伤医学分中心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总建筑面积10000㎡；建设门急诊楼、医技楼、病房楼、发热门诊及应急处理综合楼，设置烧伤科、创伤科、急诊CT、拍片室、超声室，以及附属配套设施。</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10,000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13</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漳平市医院胸痛、脑卒中、创伤医学中心建设项目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总建筑面积4000㎡；建设县域急诊120调度平台、急诊杂交手术室，增置DSA一台、心脏彩超机一台，B类救护车一部</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4,000</w:t>
            </w:r>
          </w:p>
        </w:tc>
      </w:tr>
      <w:tr>
        <w:tblPrEx>
          <w:tblCellMar>
            <w:top w:w="0" w:type="dxa"/>
            <w:left w:w="0" w:type="dxa"/>
            <w:bottom w:w="0" w:type="dxa"/>
            <w:right w:w="0" w:type="dxa"/>
          </w:tblCellMar>
        </w:tblPrEx>
        <w:trPr>
          <w:trHeight w:val="90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14</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漳平市总医院溪南分院医疗救治站建设项目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拟建漳平市总医院溪南分院（漳平市溪南中心卫生院）医疗救治站，规模1000平方米，规划设置急诊科、预检分诊、发热门诊、救护车停放、应急物资储备用房和辅助用房等组成。</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5,000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15</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漳平市总医院重症医学科建设项目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新建面积1000㎡；配置呼吸机,8台，无创呼吸机2台、心脏起搏仪1台、纤维支气管镜及相关配套设备等。</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2,000</w:t>
            </w:r>
          </w:p>
        </w:tc>
      </w:tr>
      <w:tr>
        <w:trPr>
          <w:trHeight w:val="13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16</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漳平市公共卫生应急医疗救助能力提升工程项目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30000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新建面积30000㎡；对全市2个院区及16个乡镇卫生院标准化建设，完善传染病区、发热与留观区、PCR实验室建设以及乡镇卫生院公共卫生应急医疗救治能力建设，设置应急床位（平战两用）200张，负压病房20间，采购与公共卫生应急医疗救治相配套的诊疗设备，其中万元以上诊疗仪器100台（件）</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34,200</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（三）医疗卫生机构高质量发展</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1.县域综合服务能力</w:t>
            </w:r>
          </w:p>
        </w:tc>
      </w:tr>
      <w:tr>
        <w:tblPrEx>
          <w:tblCellMar>
            <w:top w:w="0" w:type="dxa"/>
            <w:left w:w="0" w:type="dxa"/>
            <w:bottom w:w="0" w:type="dxa"/>
            <w:right w:w="0" w:type="dxa"/>
          </w:tblCellMar>
        </w:tblPrEx>
        <w:trPr>
          <w:trHeight w:val="75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17</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漳平市总医院新桥分院（新桥中心卫生院）建设项目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15000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总建筑面积15000㎡；建设门诊楼、医技楼、病房楼、发热门诊及应急处理综合楼，医疗设备购置以及附属配套设施。</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15,000</w:t>
            </w:r>
          </w:p>
        </w:tc>
      </w:tr>
      <w:tr>
        <w:tblPrEx>
          <w:tblCellMar>
            <w:top w:w="0" w:type="dxa"/>
            <w:left w:w="0" w:type="dxa"/>
            <w:bottom w:w="0" w:type="dxa"/>
            <w:right w:w="0" w:type="dxa"/>
          </w:tblCellMar>
        </w:tblPrEx>
        <w:trPr>
          <w:trHeight w:val="78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18</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漳平市总医院溪南分院（溪南中心卫生院）建设项目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总建筑面积10000平方米，建设门诊、医技病房综合楼、发热门诊及应急处理综合楼，医疗设备购置以及附属配套设施。</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12,000</w:t>
            </w:r>
          </w:p>
        </w:tc>
      </w:tr>
      <w:tr>
        <w:tblPrEx>
          <w:tblCellMar>
            <w:top w:w="0" w:type="dxa"/>
            <w:left w:w="0" w:type="dxa"/>
            <w:bottom w:w="0" w:type="dxa"/>
            <w:right w:w="0" w:type="dxa"/>
          </w:tblCellMar>
        </w:tblPrEx>
        <w:trPr>
          <w:trHeight w:val="81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19</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漳平市总医院永福分院（永福中心卫生院）整体迁建项目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25000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总建筑面积25000㎡；建设门诊楼、医技楼、病房楼、发热门诊及应急处理综合楼、医疗设备购置以及附属配套设施。</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20,000</w:t>
            </w:r>
          </w:p>
        </w:tc>
      </w:tr>
      <w:tr>
        <w:tblPrEx>
          <w:tblCellMar>
            <w:top w:w="0" w:type="dxa"/>
            <w:left w:w="0" w:type="dxa"/>
            <w:bottom w:w="0" w:type="dxa"/>
            <w:right w:w="0" w:type="dxa"/>
          </w:tblCellMar>
        </w:tblPrEx>
        <w:trPr>
          <w:trHeight w:val="1016"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20</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漳平市总医院赤水分院（赤水卫生院）扩建项目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6000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总建筑面积6000平方米，建设门诊、医技病房综合楼、发热门诊、应急处理综合楼、精神卫生和心理健康服务用房、养老公寓，医疗设备购置及附属工程。</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4,000</w:t>
            </w:r>
          </w:p>
        </w:tc>
      </w:tr>
      <w:tr>
        <w:tblPrEx>
          <w:tblCellMar>
            <w:top w:w="0" w:type="dxa"/>
            <w:left w:w="0" w:type="dxa"/>
            <w:bottom w:w="0" w:type="dxa"/>
            <w:right w:w="0" w:type="dxa"/>
          </w:tblCellMar>
        </w:tblPrEx>
        <w:trPr>
          <w:trHeight w:val="749"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21</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漳平市总医院象湖分院（象湖卫生院）建设项目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建设门急诊综合楼、住院楼、公共卫生服务大楼、康复楼等，以及医疗废物废水处置、环境整治绿化等设施。</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8,000</w:t>
            </w:r>
          </w:p>
        </w:tc>
      </w:tr>
      <w:tr>
        <w:trPr>
          <w:trHeight w:val="78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22</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漳平市总医院体外核酸扩增技术（PCR)工程</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总建筑面积2000平方米，设置标准的PCR实验室及配套设备。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1,500</w:t>
            </w:r>
          </w:p>
        </w:tc>
      </w:tr>
      <w:tr>
        <w:tblPrEx>
          <w:tblCellMar>
            <w:top w:w="0" w:type="dxa"/>
            <w:left w:w="0" w:type="dxa"/>
            <w:bottom w:w="0" w:type="dxa"/>
            <w:right w:w="0" w:type="dxa"/>
          </w:tblCellMar>
        </w:tblPrEx>
        <w:trPr>
          <w:trHeight w:val="13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23</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漳平市基层发热门诊与生物安全建设项目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8000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1.完善基层医疗卫生机构的发热门诊、留观室以及突发公共卫生事件应急网络信息化建设；</w:t>
            </w:r>
            <w:r>
              <w:rPr>
                <w:rFonts w:ascii="宋体" w:hAnsi="宋体" w:eastAsia="宋体" w:cs="宋体"/>
                <w:kern w:val="0"/>
                <w:sz w:val="24"/>
                <w:szCs w:val="24"/>
              </w:rPr>
              <w:br w:type="textWrapping"/>
            </w:r>
            <w:r>
              <w:rPr>
                <w:rFonts w:ascii="宋体" w:hAnsi="宋体" w:eastAsia="宋体" w:cs="宋体"/>
                <w:kern w:val="0"/>
                <w:sz w:val="24"/>
                <w:szCs w:val="24"/>
              </w:rPr>
              <w:t>2.完善基层医疗卫生机构环境改造、医疗废物废水处理；</w:t>
            </w:r>
            <w:r>
              <w:rPr>
                <w:rFonts w:ascii="宋体" w:hAnsi="宋体" w:eastAsia="宋体" w:cs="宋体"/>
                <w:kern w:val="0"/>
                <w:sz w:val="24"/>
                <w:szCs w:val="24"/>
              </w:rPr>
              <w:br w:type="textWrapping"/>
            </w:r>
            <w:r>
              <w:rPr>
                <w:rFonts w:ascii="宋体" w:hAnsi="宋体" w:eastAsia="宋体" w:cs="宋体"/>
                <w:kern w:val="0"/>
                <w:sz w:val="24"/>
                <w:szCs w:val="24"/>
              </w:rPr>
              <w:t>3.厕所无障碍设施（含电梯、扶手、无障碍标识等）等建设。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3,500</w:t>
            </w:r>
          </w:p>
        </w:tc>
      </w:tr>
      <w:tr>
        <w:tblPrEx>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24</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漳平市医院智慧医院及后勤保障设施建设项目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3000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新建智能停车场、医疗废物管理房及管理系统、污水污物处理系统、物联网信息化系统设备建设。</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2,000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25</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漳平市总医院双洋分院项目建设</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4000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新建业务用房及辅助设施，完善医疗废物废水处置和环境整治绿化等。</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3,000</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（四）全生命周期健康保障</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1.妇女儿童健康服务能力</w:t>
            </w:r>
          </w:p>
        </w:tc>
      </w:tr>
      <w:tr>
        <w:tblPrEx>
          <w:tblCellMar>
            <w:top w:w="0" w:type="dxa"/>
            <w:left w:w="0" w:type="dxa"/>
            <w:bottom w:w="0" w:type="dxa"/>
            <w:right w:w="0" w:type="dxa"/>
          </w:tblCellMar>
        </w:tblPrEx>
        <w:trPr>
          <w:trHeight w:val="96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26</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漳平市妇儿保服务能力提升工程</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4200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1、妇幼保健院提升高危重孕产妇和新生儿救治、产前筛查、健康教育等服务和设备配置。</w:t>
            </w:r>
            <w:r>
              <w:rPr>
                <w:rFonts w:ascii="宋体" w:hAnsi="宋体" w:eastAsia="宋体" w:cs="宋体"/>
                <w:kern w:val="0"/>
                <w:sz w:val="24"/>
                <w:szCs w:val="24"/>
              </w:rPr>
              <w:br w:type="textWrapping"/>
            </w:r>
            <w:r>
              <w:rPr>
                <w:rFonts w:ascii="宋体" w:hAnsi="宋体" w:eastAsia="宋体" w:cs="宋体"/>
                <w:kern w:val="0"/>
                <w:sz w:val="24"/>
                <w:szCs w:val="24"/>
              </w:rPr>
              <w:t>2、建设基层医疗卫生机构妇保、儿保标准化规范化用房建设、母婴室及规范化预防接种门诊等。</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6000</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2.精神卫生和心理健康能力</w:t>
            </w:r>
          </w:p>
        </w:tc>
      </w:tr>
      <w:tr>
        <w:tblPrEx>
          <w:tblCellMar>
            <w:top w:w="0" w:type="dxa"/>
            <w:left w:w="0" w:type="dxa"/>
            <w:bottom w:w="0" w:type="dxa"/>
            <w:right w:w="0" w:type="dxa"/>
          </w:tblCellMar>
        </w:tblPrEx>
        <w:trPr>
          <w:trHeight w:val="112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sz w:val="24"/>
                <w:szCs w:val="24"/>
              </w:rPr>
            </w:pPr>
            <w:r>
              <w:rPr>
                <w:rFonts w:ascii="宋体" w:hAnsi="宋体" w:eastAsia="宋体" w:cs="宋体"/>
                <w:b/>
                <w:kern w:val="0"/>
                <w:sz w:val="24"/>
                <w:szCs w:val="24"/>
              </w:rPr>
              <w:t>27</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漳平市精神卫生和心理健康服务能力提升建设项目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6235</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1.漳平市精神卫生和心理健康服务中心改扩建，改造面积6235平方米，完善中央空调；一楼功能区域改造（含配置防护、抢救设备）；完善心理康复区设备配置、添置心理CT 5台。2、改造乡镇卫生院心理咨询室及功能室，配置相关心理健康服务设备。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3,000</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3.康复服务能力</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28</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漳平市桂林社区卫生服务中心医养结合项目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6000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总建筑面积6000平方米，建设门诊、医技病房综合楼、发热门诊及应急处理综合楼，以及附属配套设施。</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5,000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29</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漳平市双洋医养康复中心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8000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项目占地约8000平方米，设置医养结合区、健康养老区、社区综合服务中心、医养床位100床</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6,000</w:t>
            </w:r>
          </w:p>
        </w:tc>
      </w:tr>
      <w:tr>
        <w:tblPrEx>
          <w:tblCellMar>
            <w:top w:w="0" w:type="dxa"/>
            <w:left w:w="0" w:type="dxa"/>
            <w:bottom w:w="0" w:type="dxa"/>
            <w:right w:w="0" w:type="dxa"/>
          </w:tblCellMar>
        </w:tblPrEx>
        <w:trPr>
          <w:trHeight w:val="90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30</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漳平市医院医养康复中心项目（漳平市菁和源医养康复中心一期）</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78721</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项目占地面积44320平方米，总建筑面积78721平方米。设置医养结合区、健康养老区以及医疗培训中心、社区服务中心。设立医养床位1000张，其中自理型床位700张，护理型床位300张。</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31,000</w:t>
            </w:r>
          </w:p>
        </w:tc>
      </w:tr>
      <w:tr>
        <w:tblPrEx>
          <w:tblCellMar>
            <w:top w:w="0" w:type="dxa"/>
            <w:left w:w="0" w:type="dxa"/>
            <w:bottom w:w="0" w:type="dxa"/>
            <w:right w:w="0" w:type="dxa"/>
          </w:tblCellMar>
        </w:tblPrEx>
        <w:trPr>
          <w:trHeight w:val="90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31</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漳平市菁和源医养康复中心二期项目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160000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项目占地面积150亩，建筑面积16万平方米。设置医养结合区、健康养老公寓区、社区综合服务中心，以及与智慧康养配套的智能养老平台、物联网、智能穿戴呼叫系统、智能健康管理服务系统等设施。</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80,000</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（五）中医药能力提升</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1.中医优势专科</w:t>
            </w:r>
          </w:p>
        </w:tc>
      </w:tr>
      <w:tr>
        <w:tblPrEx>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32</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漳平市中医院整体迁建项目（含医养康复中心）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25000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项目占地面积97808平方米，总建筑面积25000㎡；设置床位200张，建设门诊楼、医技楼、病房楼等；医疗设备购置、附属设施及停车位300台。</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20,000</w:t>
            </w:r>
          </w:p>
        </w:tc>
      </w:tr>
      <w:tr>
        <w:tblPrEx>
          <w:tblCellMar>
            <w:top w:w="0" w:type="dxa"/>
            <w:left w:w="0" w:type="dxa"/>
            <w:bottom w:w="0" w:type="dxa"/>
            <w:right w:w="0" w:type="dxa"/>
          </w:tblCellMar>
        </w:tblPrEx>
        <w:trPr>
          <w:trHeight w:val="90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33</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漳平市医院中医康复特色专科建设</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改扩建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1700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1.病房功能改造面积1700㎡。2.购买：重复经颅磁刺激、吞咽电刺激、经颅直流电、肌骨超声、活动插板、神经传导+肌电图等康复设备15台。3.开展球囊扩张术、吞咽造影、肌骨超声联合肌电图定位下肉毒素注射术。</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1,000</w:t>
            </w:r>
          </w:p>
        </w:tc>
      </w:tr>
      <w:tr>
        <w:tblPrEx>
          <w:tblCellMar>
            <w:top w:w="0" w:type="dxa"/>
            <w:left w:w="0" w:type="dxa"/>
            <w:bottom w:w="0" w:type="dxa"/>
            <w:right w:w="0" w:type="dxa"/>
          </w:tblCellMar>
        </w:tblPrEx>
        <w:trPr>
          <w:trHeight w:val="675"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34</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漳平市溪南镇康复理疗中心建设项目</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1000</w:t>
            </w: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拟建漳平市总医院溪南分院康复理疗中心，规模1000平方米，规划设置中医传统疗法、物理疗法、作业疗法、心理康复和辅助配套用房等组成。</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1,000</w:t>
            </w:r>
          </w:p>
        </w:tc>
      </w:tr>
      <w:tr>
        <w:tblPrEx>
          <w:tblCellMar>
            <w:top w:w="0" w:type="dxa"/>
            <w:left w:w="0" w:type="dxa"/>
            <w:bottom w:w="0" w:type="dxa"/>
            <w:right w:w="0" w:type="dxa"/>
          </w:tblCellMar>
        </w:tblPrEx>
        <w:trPr>
          <w:trHeight w:val="270" w:hRule="atLeast"/>
        </w:trPr>
        <w:tc>
          <w:tcPr>
            <w:tcW w:w="140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b/>
                <w:sz w:val="24"/>
                <w:szCs w:val="24"/>
              </w:rPr>
            </w:pPr>
            <w:r>
              <w:rPr>
                <w:rFonts w:ascii="宋体" w:hAnsi="宋体" w:eastAsia="宋体" w:cs="宋体"/>
                <w:b/>
                <w:kern w:val="0"/>
                <w:sz w:val="24"/>
                <w:szCs w:val="24"/>
              </w:rPr>
              <w:t>（六）托育服务体系建设</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35</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漳平市菁城托育中心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sz w:val="24"/>
                <w:szCs w:val="24"/>
              </w:rPr>
            </w:pP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按照《2019年版托儿所、幼儿园建筑设计规范》建设具有120个以上托位的托育中心</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2,000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ascii="宋体" w:hAnsi="宋体" w:eastAsia="宋体" w:cs="宋体"/>
                <w:kern w:val="0"/>
                <w:sz w:val="24"/>
                <w:szCs w:val="24"/>
              </w:rPr>
              <w:t>36</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漳平市桂林托育中心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sz w:val="24"/>
                <w:szCs w:val="24"/>
              </w:rPr>
            </w:pP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sz w:val="24"/>
                <w:szCs w:val="24"/>
              </w:rPr>
            </w:pPr>
            <w:r>
              <w:rPr>
                <w:rFonts w:ascii="宋体" w:hAnsi="宋体" w:eastAsia="宋体" w:cs="宋体"/>
                <w:kern w:val="0"/>
                <w:sz w:val="24"/>
                <w:szCs w:val="24"/>
              </w:rPr>
              <w:t>按照《2019年版托儿所、幼儿园建筑设计规范》建设具有100个以上托位的托育中心</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1,500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37</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漳平市永福托育中心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按照《2019年版托儿所、幼儿园建筑设计规范》建设具有80个以上托位的托育中心</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1,200</w:t>
            </w:r>
          </w:p>
        </w:tc>
      </w:tr>
      <w:tr>
        <w:tblPrEx>
          <w:tblCellMar>
            <w:top w:w="0" w:type="dxa"/>
            <w:left w:w="0" w:type="dxa"/>
            <w:bottom w:w="0" w:type="dxa"/>
            <w:right w:w="0" w:type="dxa"/>
          </w:tblCellMar>
        </w:tblPrEx>
        <w:trPr>
          <w:trHeight w:val="450" w:hRule="atLeast"/>
        </w:trPr>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ascii="宋体" w:hAnsi="宋体" w:eastAsia="宋体" w:cs="宋体"/>
                <w:kern w:val="0"/>
                <w:sz w:val="24"/>
                <w:szCs w:val="24"/>
              </w:rPr>
              <w:t>38</w:t>
            </w:r>
          </w:p>
        </w:tc>
        <w:tc>
          <w:tcPr>
            <w:tcW w:w="45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漳平市新桥托育中心</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新建</w:t>
            </w:r>
          </w:p>
        </w:tc>
        <w:tc>
          <w:tcPr>
            <w:tcW w:w="12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p>
        </w:tc>
        <w:tc>
          <w:tcPr>
            <w:tcW w:w="48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kern w:val="0"/>
                <w:sz w:val="24"/>
                <w:szCs w:val="24"/>
              </w:rPr>
            </w:pPr>
            <w:r>
              <w:rPr>
                <w:rFonts w:ascii="宋体" w:hAnsi="宋体" w:eastAsia="宋体" w:cs="宋体"/>
                <w:kern w:val="0"/>
                <w:sz w:val="24"/>
                <w:szCs w:val="24"/>
              </w:rPr>
              <w:t>按照《2019年版托儿所、幼儿园建筑设计规范》建设具有80个以上托位的托育中心</w:t>
            </w:r>
            <w:r>
              <w:rPr>
                <w:rFonts w:hint="eastAsia" w:ascii="宋体" w:hAnsi="宋体" w:eastAsia="宋体" w:cs="宋体"/>
                <w:kern w:val="0"/>
                <w:sz w:val="24"/>
                <w:szCs w:val="24"/>
              </w:rPr>
              <w:t>。</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1,200</w:t>
            </w:r>
          </w:p>
        </w:tc>
      </w:tr>
    </w:tbl>
    <w:p/>
    <w:sectPr>
      <w:headerReference r:id="rId9" w:type="default"/>
      <w:footerReference r:id="rId10"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120"/>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9700"/>
                      </a:xfrm>
                      <a:prstGeom prst="rect">
                        <a:avLst/>
                      </a:prstGeom>
                      <a:noFill/>
                      <a:ln w="6350">
                        <a:noFill/>
                      </a:ln>
                      <a:effectLst/>
                    </wps:spPr>
                    <wps:txbx>
                      <w:txbxContent>
                        <w:p>
                          <w:pPr>
                            <w:pStyle w:val="7"/>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55pt;mso-position-horizontal:center;mso-position-horizontal-relative:margin;mso-wrap-style:none;z-index:251660288;mso-width-relative:page;mso-height-relative:page;" filled="f" stroked="f" coordsize="21600,21600" o:gfxdata="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QfDY0QAAAAIBAAAPAAAAAAAAAAEAIAAAACIAAABkcnMvZG93bnJldi54bWxQ&#10;SwECFAAUAAAACACHTuJA/iRnnDcCAABgBAAADgAAAAAAAAABACAAAAAg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921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9210" cy="139700"/>
                      </a:xfrm>
                      <a:prstGeom prst="rect">
                        <a:avLst/>
                      </a:prstGeom>
                      <a:noFill/>
                      <a:ln w="6350">
                        <a:noFill/>
                      </a:ln>
                      <a:effectLst/>
                    </wps:spPr>
                    <wps:txbx>
                      <w:txbxContent>
                        <w:p>
                          <w:pPr>
                            <w:pStyle w:val="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2.3pt;mso-position-horizontal:center;mso-position-horizontal-relative:margin;mso-wrap-style:none;z-index:251661312;mso-width-relative:page;mso-height-relative:page;" filled="f" stroked="f" coordsize="21600,21600" o:gfxdata="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vm6ADRAAAAAgEAAA8AAAAAAAAAAQAgAAAAIgAAAGRycy9kb3ducmV2LnhtbFBL&#10;AQIUABQAAAAIAIdO4kAw2vtjNgIAAGAEAAAOAAAAAAAAAAEAIAAAACA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8420"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2336;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AQpUFPNgIAAGAEAAAOAAAAAAAAAAEAIAAAACA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BeJKNIAAAADAQAADwAAAAAAAAABACAAAAAiAAAAZHJzL2Rvd25yZXYueG1s&#10;UEsBAhQAFAAAAAgAh07iQEqVnsU3AgAAYQQAAA4AAAAAAAAAAQAgAAAAIQ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spacing w:after="120"/>
      <w:jc w:val="both"/>
      <w:rPr>
        <w:rFonts w:ascii="仿宋" w:hAnsi="仿宋" w:eastAsia="仿宋" w:cs="仿宋"/>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adjustRightInd w:val="0"/>
      <w:snapToGrid/>
      <w:spacing w:after="120" w:line="120" w:lineRule="atLeast"/>
      <w:jc w:val="both"/>
      <w:textAlignment w:val="baseline"/>
      <w:rPr>
        <w:rFonts w:ascii="仿宋" w:hAnsi="仿宋" w:eastAsia="仿宋" w:cs="仿宋"/>
        <w:kern w:val="0"/>
        <w:sz w:val="21"/>
        <w:szCs w:val="21"/>
      </w:rPr>
    </w:pPr>
    <w:r>
      <w:rPr>
        <w:rFonts w:hint="eastAsia" w:eastAsia="宋体"/>
      </w:rPr>
      <w:drawing>
        <wp:inline distT="0" distB="0" distL="114300" distR="114300">
          <wp:extent cx="874395" cy="200025"/>
          <wp:effectExtent l="0" t="0" r="1905" b="9525"/>
          <wp:docPr id="2742" name="图片 274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2" name="图片 2742" descr="logo"/>
                  <pic:cNvPicPr>
                    <a:picLocks noChangeAspect="1"/>
                  </pic:cNvPicPr>
                </pic:nvPicPr>
                <pic:blipFill>
                  <a:blip r:embed="rId1"/>
                  <a:stretch>
                    <a:fillRect/>
                  </a:stretch>
                </pic:blipFill>
                <pic:spPr>
                  <a:xfrm>
                    <a:off x="0" y="0"/>
                    <a:ext cx="874395" cy="200025"/>
                  </a:xfrm>
                  <a:prstGeom prst="rect">
                    <a:avLst/>
                  </a:prstGeom>
                  <a:noFill/>
                  <a:ln>
                    <a:noFill/>
                  </a:ln>
                </pic:spPr>
              </pic:pic>
            </a:graphicData>
          </a:graphic>
        </wp:inline>
      </w:drawing>
    </w:r>
    <w:r>
      <w:rPr>
        <w:rFonts w:hint="eastAsia"/>
      </w:rPr>
      <w:t xml:space="preserve">                                                                                            </w:t>
    </w:r>
    <w:r>
      <w:rPr>
        <w:rFonts w:hint="eastAsia" w:ascii="仿宋" w:hAnsi="仿宋" w:eastAsia="仿宋" w:cs="仿宋"/>
        <w:kern w:val="0"/>
        <w:sz w:val="21"/>
        <w:szCs w:val="21"/>
      </w:rPr>
      <w:t>漳平市“十四五”卫生健康事业发展专项规划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CFB67"/>
    <w:multiLevelType w:val="singleLevel"/>
    <w:tmpl w:val="806CFB67"/>
    <w:lvl w:ilvl="0" w:tentative="0">
      <w:start w:val="1"/>
      <w:numFmt w:val="chineseCounting"/>
      <w:suff w:val="nothing"/>
      <w:lvlText w:val="（%1）"/>
      <w:lvlJc w:val="left"/>
      <w:rPr>
        <w:rFonts w:hint="eastAsia"/>
      </w:rPr>
    </w:lvl>
  </w:abstractNum>
  <w:abstractNum w:abstractNumId="1">
    <w:nsid w:val="90862983"/>
    <w:multiLevelType w:val="singleLevel"/>
    <w:tmpl w:val="90862983"/>
    <w:lvl w:ilvl="0" w:tentative="0">
      <w:start w:val="1"/>
      <w:numFmt w:val="chineseCounting"/>
      <w:suff w:val="nothing"/>
      <w:lvlText w:val="（%1）"/>
      <w:lvlJc w:val="left"/>
      <w:rPr>
        <w:rFonts w:hint="eastAsia"/>
      </w:rPr>
    </w:lvl>
  </w:abstractNum>
  <w:abstractNum w:abstractNumId="2">
    <w:nsid w:val="A222D0D9"/>
    <w:multiLevelType w:val="singleLevel"/>
    <w:tmpl w:val="A222D0D9"/>
    <w:lvl w:ilvl="0" w:tentative="0">
      <w:start w:val="1"/>
      <w:numFmt w:val="chineseCounting"/>
      <w:suff w:val="nothing"/>
      <w:lvlText w:val="（%1）"/>
      <w:lvlJc w:val="left"/>
      <w:rPr>
        <w:rFonts w:hint="eastAsia"/>
      </w:rPr>
    </w:lvl>
  </w:abstractNum>
  <w:abstractNum w:abstractNumId="3">
    <w:nsid w:val="AB23C9ED"/>
    <w:multiLevelType w:val="singleLevel"/>
    <w:tmpl w:val="AB23C9ED"/>
    <w:lvl w:ilvl="0" w:tentative="0">
      <w:start w:val="1"/>
      <w:numFmt w:val="chineseCounting"/>
      <w:suff w:val="nothing"/>
      <w:lvlText w:val="（%1）"/>
      <w:lvlJc w:val="left"/>
      <w:rPr>
        <w:rFonts w:hint="eastAsia"/>
      </w:rPr>
    </w:lvl>
  </w:abstractNum>
  <w:abstractNum w:abstractNumId="4">
    <w:nsid w:val="BD6F3F76"/>
    <w:multiLevelType w:val="singleLevel"/>
    <w:tmpl w:val="BD6F3F76"/>
    <w:lvl w:ilvl="0" w:tentative="0">
      <w:start w:val="1"/>
      <w:numFmt w:val="chineseCounting"/>
      <w:suff w:val="nothing"/>
      <w:lvlText w:val="（%1）"/>
      <w:lvlJc w:val="left"/>
      <w:rPr>
        <w:rFonts w:hint="eastAsia"/>
      </w:rPr>
    </w:lvl>
  </w:abstractNum>
  <w:abstractNum w:abstractNumId="5">
    <w:nsid w:val="C972A57A"/>
    <w:multiLevelType w:val="singleLevel"/>
    <w:tmpl w:val="C972A57A"/>
    <w:lvl w:ilvl="0" w:tentative="0">
      <w:start w:val="1"/>
      <w:numFmt w:val="chineseCounting"/>
      <w:suff w:val="nothing"/>
      <w:lvlText w:val="%1、"/>
      <w:lvlJc w:val="left"/>
      <w:rPr>
        <w:rFonts w:hint="eastAsia"/>
      </w:rPr>
    </w:lvl>
  </w:abstractNum>
  <w:abstractNum w:abstractNumId="6">
    <w:nsid w:val="F1527D18"/>
    <w:multiLevelType w:val="singleLevel"/>
    <w:tmpl w:val="F1527D18"/>
    <w:lvl w:ilvl="0" w:tentative="0">
      <w:start w:val="1"/>
      <w:numFmt w:val="chineseCounting"/>
      <w:suff w:val="nothing"/>
      <w:lvlText w:val="%1、"/>
      <w:lvlJc w:val="left"/>
      <w:rPr>
        <w:rFonts w:hint="eastAsia"/>
      </w:rPr>
    </w:lvl>
  </w:abstractNum>
  <w:abstractNum w:abstractNumId="7">
    <w:nsid w:val="F3CD24CE"/>
    <w:multiLevelType w:val="singleLevel"/>
    <w:tmpl w:val="F3CD24CE"/>
    <w:lvl w:ilvl="0" w:tentative="0">
      <w:start w:val="1"/>
      <w:numFmt w:val="chineseCounting"/>
      <w:suff w:val="space"/>
      <w:lvlText w:val="第%1章"/>
      <w:lvlJc w:val="left"/>
      <w:rPr>
        <w:rFonts w:hint="eastAsia"/>
      </w:rPr>
    </w:lvl>
  </w:abstractNum>
  <w:abstractNum w:abstractNumId="8">
    <w:nsid w:val="01A8DE68"/>
    <w:multiLevelType w:val="singleLevel"/>
    <w:tmpl w:val="01A8DE68"/>
    <w:lvl w:ilvl="0" w:tentative="0">
      <w:start w:val="1"/>
      <w:numFmt w:val="chineseCounting"/>
      <w:suff w:val="nothing"/>
      <w:lvlText w:val="%1、"/>
      <w:lvlJc w:val="left"/>
      <w:rPr>
        <w:rFonts w:hint="eastAsia"/>
      </w:rPr>
    </w:lvl>
  </w:abstractNum>
  <w:abstractNum w:abstractNumId="9">
    <w:nsid w:val="08768463"/>
    <w:multiLevelType w:val="singleLevel"/>
    <w:tmpl w:val="08768463"/>
    <w:lvl w:ilvl="0" w:tentative="0">
      <w:start w:val="1"/>
      <w:numFmt w:val="bullet"/>
      <w:suff w:val="nothing"/>
      <w:lvlText w:val=""/>
      <w:lvlJc w:val="left"/>
      <w:pPr>
        <w:ind w:left="420" w:hanging="420"/>
      </w:pPr>
      <w:rPr>
        <w:rFonts w:hint="default" w:ascii="Wingdings" w:hAnsi="Wingdings"/>
      </w:rPr>
    </w:lvl>
  </w:abstractNum>
  <w:abstractNum w:abstractNumId="10">
    <w:nsid w:val="20FAC446"/>
    <w:multiLevelType w:val="singleLevel"/>
    <w:tmpl w:val="20FAC446"/>
    <w:lvl w:ilvl="0" w:tentative="0">
      <w:start w:val="1"/>
      <w:numFmt w:val="chineseCounting"/>
      <w:suff w:val="nothing"/>
      <w:lvlText w:val="（%1）"/>
      <w:lvlJc w:val="left"/>
      <w:rPr>
        <w:rFonts w:hint="eastAsia"/>
      </w:rPr>
    </w:lvl>
  </w:abstractNum>
  <w:abstractNum w:abstractNumId="11">
    <w:nsid w:val="2B2CC549"/>
    <w:multiLevelType w:val="singleLevel"/>
    <w:tmpl w:val="2B2CC549"/>
    <w:lvl w:ilvl="0" w:tentative="0">
      <w:start w:val="1"/>
      <w:numFmt w:val="chineseCounting"/>
      <w:suff w:val="nothing"/>
      <w:lvlText w:val="%1、"/>
      <w:lvlJc w:val="left"/>
      <w:rPr>
        <w:rFonts w:hint="eastAsia"/>
      </w:rPr>
    </w:lvl>
  </w:abstractNum>
  <w:abstractNum w:abstractNumId="12">
    <w:nsid w:val="3D64F2F0"/>
    <w:multiLevelType w:val="singleLevel"/>
    <w:tmpl w:val="3D64F2F0"/>
    <w:lvl w:ilvl="0" w:tentative="0">
      <w:start w:val="1"/>
      <w:numFmt w:val="chineseCounting"/>
      <w:suff w:val="nothing"/>
      <w:lvlText w:val="%1、"/>
      <w:lvlJc w:val="left"/>
      <w:rPr>
        <w:rFonts w:hint="eastAsia"/>
      </w:rPr>
    </w:lvl>
  </w:abstractNum>
  <w:abstractNum w:abstractNumId="13">
    <w:nsid w:val="622EFBF1"/>
    <w:multiLevelType w:val="singleLevel"/>
    <w:tmpl w:val="622EFBF1"/>
    <w:lvl w:ilvl="0" w:tentative="0">
      <w:start w:val="1"/>
      <w:numFmt w:val="chineseCounting"/>
      <w:suff w:val="nothing"/>
      <w:lvlText w:val="（%1）"/>
      <w:lvlJc w:val="left"/>
      <w:rPr>
        <w:rFonts w:hint="eastAsia"/>
      </w:rPr>
    </w:lvl>
  </w:abstractNum>
  <w:abstractNum w:abstractNumId="14">
    <w:nsid w:val="6809C52F"/>
    <w:multiLevelType w:val="singleLevel"/>
    <w:tmpl w:val="6809C52F"/>
    <w:lvl w:ilvl="0" w:tentative="0">
      <w:start w:val="1"/>
      <w:numFmt w:val="chineseCounting"/>
      <w:suff w:val="nothing"/>
      <w:lvlText w:val="（%1）"/>
      <w:lvlJc w:val="left"/>
      <w:rPr>
        <w:rFonts w:hint="eastAsia"/>
      </w:rPr>
    </w:lvl>
  </w:abstractNum>
  <w:num w:numId="1">
    <w:abstractNumId w:val="2"/>
  </w:num>
  <w:num w:numId="2">
    <w:abstractNumId w:val="7"/>
  </w:num>
  <w:num w:numId="3">
    <w:abstractNumId w:val="11"/>
  </w:num>
  <w:num w:numId="4">
    <w:abstractNumId w:val="10"/>
  </w:num>
  <w:num w:numId="5">
    <w:abstractNumId w:val="1"/>
  </w:num>
  <w:num w:numId="6">
    <w:abstractNumId w:val="12"/>
  </w:num>
  <w:num w:numId="7">
    <w:abstractNumId w:val="9"/>
  </w:num>
  <w:num w:numId="8">
    <w:abstractNumId w:val="0"/>
  </w:num>
  <w:num w:numId="9">
    <w:abstractNumId w:val="5"/>
  </w:num>
  <w:num w:numId="10">
    <w:abstractNumId w:val="8"/>
  </w:num>
  <w:num w:numId="11">
    <w:abstractNumId w:val="14"/>
  </w:num>
  <w:num w:numId="12">
    <w:abstractNumId w:val="3"/>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YjMzZTFhYTFhNDRhZmQ1ZThlZWNlYTQ1YjgwMGIifQ=="/>
  </w:docVars>
  <w:rsids>
    <w:rsidRoot w:val="00172A27"/>
    <w:rsid w:val="000062F2"/>
    <w:rsid w:val="00082886"/>
    <w:rsid w:val="000C013C"/>
    <w:rsid w:val="000D3567"/>
    <w:rsid w:val="000F38D3"/>
    <w:rsid w:val="000F4100"/>
    <w:rsid w:val="00106264"/>
    <w:rsid w:val="0011194C"/>
    <w:rsid w:val="00121E3B"/>
    <w:rsid w:val="00137362"/>
    <w:rsid w:val="00143ED4"/>
    <w:rsid w:val="00152D87"/>
    <w:rsid w:val="00172A27"/>
    <w:rsid w:val="00182A1F"/>
    <w:rsid w:val="0019273D"/>
    <w:rsid w:val="001971EE"/>
    <w:rsid w:val="001B3864"/>
    <w:rsid w:val="001D5D27"/>
    <w:rsid w:val="001E7BB6"/>
    <w:rsid w:val="002074A6"/>
    <w:rsid w:val="00253551"/>
    <w:rsid w:val="00260B2A"/>
    <w:rsid w:val="00273449"/>
    <w:rsid w:val="0028297F"/>
    <w:rsid w:val="002B0960"/>
    <w:rsid w:val="002B62C1"/>
    <w:rsid w:val="002E334E"/>
    <w:rsid w:val="002F31B9"/>
    <w:rsid w:val="002F649D"/>
    <w:rsid w:val="00312608"/>
    <w:rsid w:val="00315AA0"/>
    <w:rsid w:val="00327CBC"/>
    <w:rsid w:val="00340856"/>
    <w:rsid w:val="00357F71"/>
    <w:rsid w:val="00365D3B"/>
    <w:rsid w:val="00400428"/>
    <w:rsid w:val="00404FB0"/>
    <w:rsid w:val="0041363C"/>
    <w:rsid w:val="00444366"/>
    <w:rsid w:val="00466611"/>
    <w:rsid w:val="004723F6"/>
    <w:rsid w:val="00475805"/>
    <w:rsid w:val="004D13BE"/>
    <w:rsid w:val="004E7BB8"/>
    <w:rsid w:val="004F206A"/>
    <w:rsid w:val="004F7859"/>
    <w:rsid w:val="00503D2E"/>
    <w:rsid w:val="00531872"/>
    <w:rsid w:val="00547BB8"/>
    <w:rsid w:val="005711B1"/>
    <w:rsid w:val="00575742"/>
    <w:rsid w:val="005941BB"/>
    <w:rsid w:val="00594D33"/>
    <w:rsid w:val="005A18DF"/>
    <w:rsid w:val="005A7B6F"/>
    <w:rsid w:val="005D5828"/>
    <w:rsid w:val="005D6A46"/>
    <w:rsid w:val="00610119"/>
    <w:rsid w:val="00640533"/>
    <w:rsid w:val="0065008B"/>
    <w:rsid w:val="00652A8F"/>
    <w:rsid w:val="0065492B"/>
    <w:rsid w:val="00655758"/>
    <w:rsid w:val="00687F8D"/>
    <w:rsid w:val="00696FC7"/>
    <w:rsid w:val="006A0EBA"/>
    <w:rsid w:val="006D34BF"/>
    <w:rsid w:val="006D5587"/>
    <w:rsid w:val="006E363F"/>
    <w:rsid w:val="006E7BD9"/>
    <w:rsid w:val="006F0D8E"/>
    <w:rsid w:val="006F3016"/>
    <w:rsid w:val="006F7AA2"/>
    <w:rsid w:val="0071798A"/>
    <w:rsid w:val="00742386"/>
    <w:rsid w:val="00766366"/>
    <w:rsid w:val="007725D9"/>
    <w:rsid w:val="00783147"/>
    <w:rsid w:val="007957A4"/>
    <w:rsid w:val="007D280E"/>
    <w:rsid w:val="007D4474"/>
    <w:rsid w:val="00801C04"/>
    <w:rsid w:val="008071B2"/>
    <w:rsid w:val="0083218D"/>
    <w:rsid w:val="00840049"/>
    <w:rsid w:val="00844748"/>
    <w:rsid w:val="00873BFF"/>
    <w:rsid w:val="00881C95"/>
    <w:rsid w:val="00892BCB"/>
    <w:rsid w:val="00892EFA"/>
    <w:rsid w:val="008949F3"/>
    <w:rsid w:val="008A2B42"/>
    <w:rsid w:val="008B6924"/>
    <w:rsid w:val="008C5A60"/>
    <w:rsid w:val="008E6D61"/>
    <w:rsid w:val="00901127"/>
    <w:rsid w:val="00902A01"/>
    <w:rsid w:val="00903047"/>
    <w:rsid w:val="00933F47"/>
    <w:rsid w:val="009446FE"/>
    <w:rsid w:val="00951720"/>
    <w:rsid w:val="009F54B7"/>
    <w:rsid w:val="009F7CC8"/>
    <w:rsid w:val="00A1023C"/>
    <w:rsid w:val="00A21CB2"/>
    <w:rsid w:val="00A500C8"/>
    <w:rsid w:val="00A56F75"/>
    <w:rsid w:val="00AC48F6"/>
    <w:rsid w:val="00AC58DC"/>
    <w:rsid w:val="00AD654B"/>
    <w:rsid w:val="00B00761"/>
    <w:rsid w:val="00B05CF5"/>
    <w:rsid w:val="00B17878"/>
    <w:rsid w:val="00B37776"/>
    <w:rsid w:val="00B51908"/>
    <w:rsid w:val="00B74B5B"/>
    <w:rsid w:val="00B82C91"/>
    <w:rsid w:val="00B92B52"/>
    <w:rsid w:val="00BB0EA9"/>
    <w:rsid w:val="00BB1295"/>
    <w:rsid w:val="00BB3CBC"/>
    <w:rsid w:val="00BB7CA1"/>
    <w:rsid w:val="00BF1772"/>
    <w:rsid w:val="00BF5312"/>
    <w:rsid w:val="00C11F95"/>
    <w:rsid w:val="00C4091B"/>
    <w:rsid w:val="00C47BDB"/>
    <w:rsid w:val="00C63324"/>
    <w:rsid w:val="00C924EE"/>
    <w:rsid w:val="00CC5C79"/>
    <w:rsid w:val="00CE1FE6"/>
    <w:rsid w:val="00D001D5"/>
    <w:rsid w:val="00D253A3"/>
    <w:rsid w:val="00D365DA"/>
    <w:rsid w:val="00D679A0"/>
    <w:rsid w:val="00D73317"/>
    <w:rsid w:val="00DA2164"/>
    <w:rsid w:val="00E14728"/>
    <w:rsid w:val="00E20DC6"/>
    <w:rsid w:val="00E55716"/>
    <w:rsid w:val="00E64523"/>
    <w:rsid w:val="00E800EC"/>
    <w:rsid w:val="00E90DE5"/>
    <w:rsid w:val="00E94C64"/>
    <w:rsid w:val="00EC4DA5"/>
    <w:rsid w:val="00EC75E1"/>
    <w:rsid w:val="00EE7FFB"/>
    <w:rsid w:val="00EF11E6"/>
    <w:rsid w:val="00EF7453"/>
    <w:rsid w:val="00F33C32"/>
    <w:rsid w:val="00F41D3E"/>
    <w:rsid w:val="00F841A4"/>
    <w:rsid w:val="00FA153B"/>
    <w:rsid w:val="00FA4AF6"/>
    <w:rsid w:val="00FD4421"/>
    <w:rsid w:val="00FF33E8"/>
    <w:rsid w:val="01047473"/>
    <w:rsid w:val="01346BEC"/>
    <w:rsid w:val="01666D3E"/>
    <w:rsid w:val="01A80EF3"/>
    <w:rsid w:val="01A96FFB"/>
    <w:rsid w:val="01C462D0"/>
    <w:rsid w:val="01FF2772"/>
    <w:rsid w:val="020E013A"/>
    <w:rsid w:val="02432AB9"/>
    <w:rsid w:val="024B03D5"/>
    <w:rsid w:val="024B6788"/>
    <w:rsid w:val="027D28C3"/>
    <w:rsid w:val="02AD19A1"/>
    <w:rsid w:val="02BB520B"/>
    <w:rsid w:val="02DC0EB8"/>
    <w:rsid w:val="02DC54C3"/>
    <w:rsid w:val="02F05636"/>
    <w:rsid w:val="031D1148"/>
    <w:rsid w:val="032476A7"/>
    <w:rsid w:val="0338338B"/>
    <w:rsid w:val="036E3EF9"/>
    <w:rsid w:val="03B57293"/>
    <w:rsid w:val="03D07120"/>
    <w:rsid w:val="04945E54"/>
    <w:rsid w:val="04A13D66"/>
    <w:rsid w:val="04CD5F8A"/>
    <w:rsid w:val="04EE6688"/>
    <w:rsid w:val="051E7A55"/>
    <w:rsid w:val="052A5786"/>
    <w:rsid w:val="052B51C3"/>
    <w:rsid w:val="05504F7F"/>
    <w:rsid w:val="055760AD"/>
    <w:rsid w:val="056E1193"/>
    <w:rsid w:val="05821DCA"/>
    <w:rsid w:val="05834C76"/>
    <w:rsid w:val="058742F2"/>
    <w:rsid w:val="05A76FCE"/>
    <w:rsid w:val="05C11B89"/>
    <w:rsid w:val="05D74BF2"/>
    <w:rsid w:val="05EF55C6"/>
    <w:rsid w:val="06132231"/>
    <w:rsid w:val="06525F9A"/>
    <w:rsid w:val="068C68A4"/>
    <w:rsid w:val="06910F75"/>
    <w:rsid w:val="06AD0DBE"/>
    <w:rsid w:val="06B665B7"/>
    <w:rsid w:val="06D07284"/>
    <w:rsid w:val="06D33EEB"/>
    <w:rsid w:val="06DC392B"/>
    <w:rsid w:val="073665C9"/>
    <w:rsid w:val="0770578B"/>
    <w:rsid w:val="078547E5"/>
    <w:rsid w:val="07D977D2"/>
    <w:rsid w:val="07FA249A"/>
    <w:rsid w:val="08084CB5"/>
    <w:rsid w:val="084A0411"/>
    <w:rsid w:val="08A274C0"/>
    <w:rsid w:val="08C12D0F"/>
    <w:rsid w:val="08E96BC3"/>
    <w:rsid w:val="090738E2"/>
    <w:rsid w:val="092E1BB4"/>
    <w:rsid w:val="09835FAD"/>
    <w:rsid w:val="09853CC4"/>
    <w:rsid w:val="09A01DE3"/>
    <w:rsid w:val="09A2180F"/>
    <w:rsid w:val="09A61E7E"/>
    <w:rsid w:val="09AA47BC"/>
    <w:rsid w:val="09C404D6"/>
    <w:rsid w:val="0A14787D"/>
    <w:rsid w:val="0A4344E1"/>
    <w:rsid w:val="0A506116"/>
    <w:rsid w:val="0A985D56"/>
    <w:rsid w:val="0AE75FCF"/>
    <w:rsid w:val="0B4375EA"/>
    <w:rsid w:val="0B507B9F"/>
    <w:rsid w:val="0B7723BF"/>
    <w:rsid w:val="0B841FF9"/>
    <w:rsid w:val="0BA1497A"/>
    <w:rsid w:val="0BA454F3"/>
    <w:rsid w:val="0BB9274B"/>
    <w:rsid w:val="0BC161C0"/>
    <w:rsid w:val="0BDA08DE"/>
    <w:rsid w:val="0BDA1C3D"/>
    <w:rsid w:val="0BDE48E1"/>
    <w:rsid w:val="0BE022F5"/>
    <w:rsid w:val="0BF87899"/>
    <w:rsid w:val="0C140E00"/>
    <w:rsid w:val="0C3644E6"/>
    <w:rsid w:val="0C402449"/>
    <w:rsid w:val="0C7C5A1D"/>
    <w:rsid w:val="0CB17FEB"/>
    <w:rsid w:val="0D01447D"/>
    <w:rsid w:val="0D334F7D"/>
    <w:rsid w:val="0D4F0C1F"/>
    <w:rsid w:val="0D6F2E7A"/>
    <w:rsid w:val="0D7D7A25"/>
    <w:rsid w:val="0DFD6EA6"/>
    <w:rsid w:val="0E0F528D"/>
    <w:rsid w:val="0E1A7522"/>
    <w:rsid w:val="0E246A0B"/>
    <w:rsid w:val="0E720C79"/>
    <w:rsid w:val="0E7D474B"/>
    <w:rsid w:val="0E857751"/>
    <w:rsid w:val="0EA33F7C"/>
    <w:rsid w:val="0EB63295"/>
    <w:rsid w:val="0EE97C3C"/>
    <w:rsid w:val="0EF54D69"/>
    <w:rsid w:val="0F180FDA"/>
    <w:rsid w:val="0F6967D1"/>
    <w:rsid w:val="0FA51946"/>
    <w:rsid w:val="0FE2071B"/>
    <w:rsid w:val="10042F14"/>
    <w:rsid w:val="10223A71"/>
    <w:rsid w:val="10410751"/>
    <w:rsid w:val="108957CC"/>
    <w:rsid w:val="10E71DD1"/>
    <w:rsid w:val="11044545"/>
    <w:rsid w:val="111E4511"/>
    <w:rsid w:val="11252880"/>
    <w:rsid w:val="11441982"/>
    <w:rsid w:val="11E96106"/>
    <w:rsid w:val="121239C8"/>
    <w:rsid w:val="122B6869"/>
    <w:rsid w:val="12342D0C"/>
    <w:rsid w:val="124F2502"/>
    <w:rsid w:val="12593E15"/>
    <w:rsid w:val="1263748E"/>
    <w:rsid w:val="126831D8"/>
    <w:rsid w:val="12736138"/>
    <w:rsid w:val="129D091C"/>
    <w:rsid w:val="12A81410"/>
    <w:rsid w:val="12C432E4"/>
    <w:rsid w:val="12DC6568"/>
    <w:rsid w:val="130D1402"/>
    <w:rsid w:val="13113A2F"/>
    <w:rsid w:val="137C6C2C"/>
    <w:rsid w:val="139B6187"/>
    <w:rsid w:val="13B81CA0"/>
    <w:rsid w:val="1400281D"/>
    <w:rsid w:val="142A3322"/>
    <w:rsid w:val="14544DE2"/>
    <w:rsid w:val="14791716"/>
    <w:rsid w:val="14AD7D51"/>
    <w:rsid w:val="14EC709A"/>
    <w:rsid w:val="14EE0B35"/>
    <w:rsid w:val="15107577"/>
    <w:rsid w:val="15E60D82"/>
    <w:rsid w:val="16735121"/>
    <w:rsid w:val="167A3206"/>
    <w:rsid w:val="16A52B34"/>
    <w:rsid w:val="16D0354C"/>
    <w:rsid w:val="16D62B2E"/>
    <w:rsid w:val="16FE0FC6"/>
    <w:rsid w:val="17096864"/>
    <w:rsid w:val="171B6230"/>
    <w:rsid w:val="174029BE"/>
    <w:rsid w:val="174E6F84"/>
    <w:rsid w:val="176D270A"/>
    <w:rsid w:val="17A019EF"/>
    <w:rsid w:val="17EE60DC"/>
    <w:rsid w:val="18104EAD"/>
    <w:rsid w:val="18154A0C"/>
    <w:rsid w:val="18166563"/>
    <w:rsid w:val="181974A2"/>
    <w:rsid w:val="1843615C"/>
    <w:rsid w:val="18803B1D"/>
    <w:rsid w:val="18DE6B8C"/>
    <w:rsid w:val="18ED28DF"/>
    <w:rsid w:val="190D03C6"/>
    <w:rsid w:val="19940F2F"/>
    <w:rsid w:val="19EE710A"/>
    <w:rsid w:val="19F52847"/>
    <w:rsid w:val="1A7E3783"/>
    <w:rsid w:val="1AAB76D3"/>
    <w:rsid w:val="1AAD6013"/>
    <w:rsid w:val="1AD44A07"/>
    <w:rsid w:val="1AE86456"/>
    <w:rsid w:val="1AF1182D"/>
    <w:rsid w:val="1B0D7C79"/>
    <w:rsid w:val="1B180534"/>
    <w:rsid w:val="1B4A1222"/>
    <w:rsid w:val="1B541E23"/>
    <w:rsid w:val="1B655606"/>
    <w:rsid w:val="1B734900"/>
    <w:rsid w:val="1B814EB4"/>
    <w:rsid w:val="1B946D27"/>
    <w:rsid w:val="1BCB58F2"/>
    <w:rsid w:val="1BD92754"/>
    <w:rsid w:val="1BDF0229"/>
    <w:rsid w:val="1BF644F4"/>
    <w:rsid w:val="1BF72426"/>
    <w:rsid w:val="1BFA285A"/>
    <w:rsid w:val="1BFF2DF8"/>
    <w:rsid w:val="1C036A00"/>
    <w:rsid w:val="1C2D2C14"/>
    <w:rsid w:val="1C33174B"/>
    <w:rsid w:val="1C3376C4"/>
    <w:rsid w:val="1C5359C7"/>
    <w:rsid w:val="1CBD088F"/>
    <w:rsid w:val="1CC5766A"/>
    <w:rsid w:val="1CCE731D"/>
    <w:rsid w:val="1CDE74BE"/>
    <w:rsid w:val="1CE25115"/>
    <w:rsid w:val="1CF31B96"/>
    <w:rsid w:val="1CF63CDD"/>
    <w:rsid w:val="1D192AA2"/>
    <w:rsid w:val="1D4C6CB3"/>
    <w:rsid w:val="1D980D7A"/>
    <w:rsid w:val="1D9959F6"/>
    <w:rsid w:val="1D9C2BAB"/>
    <w:rsid w:val="1DB3076D"/>
    <w:rsid w:val="1DB62082"/>
    <w:rsid w:val="1DD41AD7"/>
    <w:rsid w:val="1DDA4634"/>
    <w:rsid w:val="1DF109C0"/>
    <w:rsid w:val="1E11404D"/>
    <w:rsid w:val="1E4428C8"/>
    <w:rsid w:val="1E5E6063"/>
    <w:rsid w:val="1E756B56"/>
    <w:rsid w:val="1E924311"/>
    <w:rsid w:val="1EA027C3"/>
    <w:rsid w:val="1EA84747"/>
    <w:rsid w:val="1ED97968"/>
    <w:rsid w:val="1EF15D62"/>
    <w:rsid w:val="1F030851"/>
    <w:rsid w:val="1F3B2A69"/>
    <w:rsid w:val="1F486B41"/>
    <w:rsid w:val="1F555EA3"/>
    <w:rsid w:val="1FD21B18"/>
    <w:rsid w:val="200C53EC"/>
    <w:rsid w:val="201F30A0"/>
    <w:rsid w:val="20653CC4"/>
    <w:rsid w:val="20757B7D"/>
    <w:rsid w:val="209A31B9"/>
    <w:rsid w:val="20C176F3"/>
    <w:rsid w:val="20D93DCF"/>
    <w:rsid w:val="20EC3F45"/>
    <w:rsid w:val="20ED28F1"/>
    <w:rsid w:val="211D5641"/>
    <w:rsid w:val="21264A7D"/>
    <w:rsid w:val="213D4424"/>
    <w:rsid w:val="214D436A"/>
    <w:rsid w:val="21503E80"/>
    <w:rsid w:val="21637ABD"/>
    <w:rsid w:val="21806105"/>
    <w:rsid w:val="21947CD1"/>
    <w:rsid w:val="219B0FD7"/>
    <w:rsid w:val="21B143DD"/>
    <w:rsid w:val="21D20A41"/>
    <w:rsid w:val="21D56613"/>
    <w:rsid w:val="21D844F0"/>
    <w:rsid w:val="21E95068"/>
    <w:rsid w:val="220D1E8E"/>
    <w:rsid w:val="222F55CA"/>
    <w:rsid w:val="223959EF"/>
    <w:rsid w:val="225E2584"/>
    <w:rsid w:val="22660D75"/>
    <w:rsid w:val="22691266"/>
    <w:rsid w:val="22795271"/>
    <w:rsid w:val="22820871"/>
    <w:rsid w:val="22DA3A1C"/>
    <w:rsid w:val="22EC63B0"/>
    <w:rsid w:val="233D2177"/>
    <w:rsid w:val="23752169"/>
    <w:rsid w:val="2392592A"/>
    <w:rsid w:val="23A900DB"/>
    <w:rsid w:val="23E225ED"/>
    <w:rsid w:val="23F72715"/>
    <w:rsid w:val="23FA0A41"/>
    <w:rsid w:val="24064886"/>
    <w:rsid w:val="24286199"/>
    <w:rsid w:val="244548F7"/>
    <w:rsid w:val="246A2B4C"/>
    <w:rsid w:val="24974810"/>
    <w:rsid w:val="249A313A"/>
    <w:rsid w:val="24B24DF1"/>
    <w:rsid w:val="24DA204D"/>
    <w:rsid w:val="25132031"/>
    <w:rsid w:val="25325FC8"/>
    <w:rsid w:val="2534492A"/>
    <w:rsid w:val="25B347A3"/>
    <w:rsid w:val="25D80E3E"/>
    <w:rsid w:val="260D693A"/>
    <w:rsid w:val="260F6372"/>
    <w:rsid w:val="26183255"/>
    <w:rsid w:val="261D1C8A"/>
    <w:rsid w:val="263154E9"/>
    <w:rsid w:val="26344067"/>
    <w:rsid w:val="263C36BA"/>
    <w:rsid w:val="265D30D0"/>
    <w:rsid w:val="26617F2B"/>
    <w:rsid w:val="266B30E2"/>
    <w:rsid w:val="26CB4330"/>
    <w:rsid w:val="271E09C9"/>
    <w:rsid w:val="2775681A"/>
    <w:rsid w:val="27762D7C"/>
    <w:rsid w:val="27EC7011"/>
    <w:rsid w:val="27F8456B"/>
    <w:rsid w:val="28031464"/>
    <w:rsid w:val="281E70BD"/>
    <w:rsid w:val="2822489F"/>
    <w:rsid w:val="28340A15"/>
    <w:rsid w:val="2863418B"/>
    <w:rsid w:val="28A0682E"/>
    <w:rsid w:val="28B137FC"/>
    <w:rsid w:val="28C0604A"/>
    <w:rsid w:val="28EA0E43"/>
    <w:rsid w:val="291676B4"/>
    <w:rsid w:val="29584C2F"/>
    <w:rsid w:val="296235AC"/>
    <w:rsid w:val="298E0983"/>
    <w:rsid w:val="29B821F0"/>
    <w:rsid w:val="29DF2355"/>
    <w:rsid w:val="29FE377C"/>
    <w:rsid w:val="2A25484A"/>
    <w:rsid w:val="2A3A2C33"/>
    <w:rsid w:val="2A6110B0"/>
    <w:rsid w:val="2A8E5A41"/>
    <w:rsid w:val="2AB04AF6"/>
    <w:rsid w:val="2AC10A6B"/>
    <w:rsid w:val="2AC27939"/>
    <w:rsid w:val="2AFA6832"/>
    <w:rsid w:val="2B0561C8"/>
    <w:rsid w:val="2B0C446B"/>
    <w:rsid w:val="2B1632E1"/>
    <w:rsid w:val="2B2260FC"/>
    <w:rsid w:val="2B3312A3"/>
    <w:rsid w:val="2B47095B"/>
    <w:rsid w:val="2B4D1046"/>
    <w:rsid w:val="2B5B3C33"/>
    <w:rsid w:val="2B6A16AD"/>
    <w:rsid w:val="2B935846"/>
    <w:rsid w:val="2BBC4B6F"/>
    <w:rsid w:val="2BC028C7"/>
    <w:rsid w:val="2BC04D0F"/>
    <w:rsid w:val="2BF96B14"/>
    <w:rsid w:val="2C330DBE"/>
    <w:rsid w:val="2C3C3A03"/>
    <w:rsid w:val="2C635AC0"/>
    <w:rsid w:val="2C6D65DB"/>
    <w:rsid w:val="2C782AE5"/>
    <w:rsid w:val="2CA23368"/>
    <w:rsid w:val="2CA42930"/>
    <w:rsid w:val="2CB05D21"/>
    <w:rsid w:val="2D1332BC"/>
    <w:rsid w:val="2D38742E"/>
    <w:rsid w:val="2D3C657F"/>
    <w:rsid w:val="2D4735E9"/>
    <w:rsid w:val="2D5008D8"/>
    <w:rsid w:val="2D5F2EDE"/>
    <w:rsid w:val="2D61706E"/>
    <w:rsid w:val="2D66162D"/>
    <w:rsid w:val="2D67598C"/>
    <w:rsid w:val="2D9A46C2"/>
    <w:rsid w:val="2DF60829"/>
    <w:rsid w:val="2E0200A0"/>
    <w:rsid w:val="2E167193"/>
    <w:rsid w:val="2E1811CC"/>
    <w:rsid w:val="2E625F1E"/>
    <w:rsid w:val="2E790D38"/>
    <w:rsid w:val="2E956B2F"/>
    <w:rsid w:val="2EDE7588"/>
    <w:rsid w:val="2F323C84"/>
    <w:rsid w:val="2FA0198F"/>
    <w:rsid w:val="2FA57AE4"/>
    <w:rsid w:val="2FC3679F"/>
    <w:rsid w:val="304F66A9"/>
    <w:rsid w:val="30A92DC8"/>
    <w:rsid w:val="30CB6D55"/>
    <w:rsid w:val="30DA7AC2"/>
    <w:rsid w:val="30F74E08"/>
    <w:rsid w:val="31303EB6"/>
    <w:rsid w:val="313A2B33"/>
    <w:rsid w:val="31596B17"/>
    <w:rsid w:val="31C029FB"/>
    <w:rsid w:val="31ED398A"/>
    <w:rsid w:val="31ED3BC6"/>
    <w:rsid w:val="31F66843"/>
    <w:rsid w:val="32077151"/>
    <w:rsid w:val="32126D29"/>
    <w:rsid w:val="321504B6"/>
    <w:rsid w:val="32563FB9"/>
    <w:rsid w:val="326A3999"/>
    <w:rsid w:val="326C6F32"/>
    <w:rsid w:val="32893EC1"/>
    <w:rsid w:val="32924292"/>
    <w:rsid w:val="32EB37A5"/>
    <w:rsid w:val="33085167"/>
    <w:rsid w:val="3335731E"/>
    <w:rsid w:val="33424783"/>
    <w:rsid w:val="334561EA"/>
    <w:rsid w:val="336514E5"/>
    <w:rsid w:val="336A246F"/>
    <w:rsid w:val="33865D34"/>
    <w:rsid w:val="338C1F91"/>
    <w:rsid w:val="33A85637"/>
    <w:rsid w:val="340D6E54"/>
    <w:rsid w:val="3413655E"/>
    <w:rsid w:val="34336FB5"/>
    <w:rsid w:val="343E0C80"/>
    <w:rsid w:val="34CB7343"/>
    <w:rsid w:val="34D70C84"/>
    <w:rsid w:val="34DA27CC"/>
    <w:rsid w:val="34FF5245"/>
    <w:rsid w:val="351B7A08"/>
    <w:rsid w:val="35274D8D"/>
    <w:rsid w:val="35460697"/>
    <w:rsid w:val="35527E7F"/>
    <w:rsid w:val="355C3C5C"/>
    <w:rsid w:val="356B1DCF"/>
    <w:rsid w:val="356D503A"/>
    <w:rsid w:val="358C5682"/>
    <w:rsid w:val="35C34DF8"/>
    <w:rsid w:val="35CF61CA"/>
    <w:rsid w:val="35E337FF"/>
    <w:rsid w:val="36A71661"/>
    <w:rsid w:val="36DA6CF4"/>
    <w:rsid w:val="37017D0C"/>
    <w:rsid w:val="374C22B5"/>
    <w:rsid w:val="37830DD2"/>
    <w:rsid w:val="37CD0133"/>
    <w:rsid w:val="37D210B3"/>
    <w:rsid w:val="37EC2E1E"/>
    <w:rsid w:val="37F62C11"/>
    <w:rsid w:val="37FD357E"/>
    <w:rsid w:val="380B5E41"/>
    <w:rsid w:val="38667090"/>
    <w:rsid w:val="387A4F8C"/>
    <w:rsid w:val="38912462"/>
    <w:rsid w:val="389629CD"/>
    <w:rsid w:val="38AF61B1"/>
    <w:rsid w:val="38E175DA"/>
    <w:rsid w:val="38FB1C09"/>
    <w:rsid w:val="39035A89"/>
    <w:rsid w:val="390A25A9"/>
    <w:rsid w:val="391D68E7"/>
    <w:rsid w:val="392963AF"/>
    <w:rsid w:val="394B5135"/>
    <w:rsid w:val="39840508"/>
    <w:rsid w:val="39BC510C"/>
    <w:rsid w:val="39E07F29"/>
    <w:rsid w:val="3A067E55"/>
    <w:rsid w:val="3A154DCD"/>
    <w:rsid w:val="3A155DD2"/>
    <w:rsid w:val="3A1C50DF"/>
    <w:rsid w:val="3A231C94"/>
    <w:rsid w:val="3A430342"/>
    <w:rsid w:val="3A4E3E0F"/>
    <w:rsid w:val="3A5B40AD"/>
    <w:rsid w:val="3A6E0190"/>
    <w:rsid w:val="3ADA3406"/>
    <w:rsid w:val="3AE52EFD"/>
    <w:rsid w:val="3B0D47D4"/>
    <w:rsid w:val="3B71192B"/>
    <w:rsid w:val="3B984133"/>
    <w:rsid w:val="3BA21077"/>
    <w:rsid w:val="3BB62457"/>
    <w:rsid w:val="3BB84498"/>
    <w:rsid w:val="3BBF7D0A"/>
    <w:rsid w:val="3C022DB5"/>
    <w:rsid w:val="3C0B597D"/>
    <w:rsid w:val="3C1032A4"/>
    <w:rsid w:val="3C37394D"/>
    <w:rsid w:val="3C3C5494"/>
    <w:rsid w:val="3C810DA0"/>
    <w:rsid w:val="3C8C3546"/>
    <w:rsid w:val="3C944F21"/>
    <w:rsid w:val="3CAE7F0F"/>
    <w:rsid w:val="3CE97038"/>
    <w:rsid w:val="3D225CEF"/>
    <w:rsid w:val="3D282D15"/>
    <w:rsid w:val="3D4015D1"/>
    <w:rsid w:val="3D6B39E5"/>
    <w:rsid w:val="3DA24F4B"/>
    <w:rsid w:val="3DCA487A"/>
    <w:rsid w:val="3DE57783"/>
    <w:rsid w:val="3DEB7AF5"/>
    <w:rsid w:val="3DEE68B3"/>
    <w:rsid w:val="3DFE37B9"/>
    <w:rsid w:val="3E396154"/>
    <w:rsid w:val="3E3E6661"/>
    <w:rsid w:val="3E681C48"/>
    <w:rsid w:val="3E8E50B5"/>
    <w:rsid w:val="3EE03C2E"/>
    <w:rsid w:val="3F5D2CB2"/>
    <w:rsid w:val="3F5F4E34"/>
    <w:rsid w:val="3F826588"/>
    <w:rsid w:val="3F9838B1"/>
    <w:rsid w:val="3FE448B1"/>
    <w:rsid w:val="3FEF06F0"/>
    <w:rsid w:val="4021199A"/>
    <w:rsid w:val="40494C9F"/>
    <w:rsid w:val="409B0513"/>
    <w:rsid w:val="40CB1AF1"/>
    <w:rsid w:val="40D9122D"/>
    <w:rsid w:val="40DF1CB1"/>
    <w:rsid w:val="40F50748"/>
    <w:rsid w:val="41312560"/>
    <w:rsid w:val="41407FEE"/>
    <w:rsid w:val="415F753C"/>
    <w:rsid w:val="418047E9"/>
    <w:rsid w:val="41895A3D"/>
    <w:rsid w:val="41A11B1F"/>
    <w:rsid w:val="41B22E40"/>
    <w:rsid w:val="41C21502"/>
    <w:rsid w:val="41F648C8"/>
    <w:rsid w:val="42026441"/>
    <w:rsid w:val="4212162C"/>
    <w:rsid w:val="42141CC4"/>
    <w:rsid w:val="4239742A"/>
    <w:rsid w:val="42AF4E9F"/>
    <w:rsid w:val="42D92862"/>
    <w:rsid w:val="42EE29D2"/>
    <w:rsid w:val="42F9643C"/>
    <w:rsid w:val="4333596C"/>
    <w:rsid w:val="435A2447"/>
    <w:rsid w:val="436A1A55"/>
    <w:rsid w:val="438C15FA"/>
    <w:rsid w:val="43A60B98"/>
    <w:rsid w:val="43AE771E"/>
    <w:rsid w:val="43DC4513"/>
    <w:rsid w:val="43E157E5"/>
    <w:rsid w:val="440100B9"/>
    <w:rsid w:val="440E0017"/>
    <w:rsid w:val="44245CD8"/>
    <w:rsid w:val="442B4793"/>
    <w:rsid w:val="442C7C8F"/>
    <w:rsid w:val="443371F6"/>
    <w:rsid w:val="444B5304"/>
    <w:rsid w:val="44E95A54"/>
    <w:rsid w:val="44EA6698"/>
    <w:rsid w:val="45046EAA"/>
    <w:rsid w:val="450D4965"/>
    <w:rsid w:val="459D03D9"/>
    <w:rsid w:val="45BB7231"/>
    <w:rsid w:val="45DE441A"/>
    <w:rsid w:val="462C2617"/>
    <w:rsid w:val="46747A59"/>
    <w:rsid w:val="46CB239E"/>
    <w:rsid w:val="46F913AA"/>
    <w:rsid w:val="47090509"/>
    <w:rsid w:val="47460E2C"/>
    <w:rsid w:val="475E74AA"/>
    <w:rsid w:val="478F33B4"/>
    <w:rsid w:val="47B22660"/>
    <w:rsid w:val="47BD5086"/>
    <w:rsid w:val="47DD5DC2"/>
    <w:rsid w:val="48024914"/>
    <w:rsid w:val="480B7AA3"/>
    <w:rsid w:val="489B346A"/>
    <w:rsid w:val="48E62CFD"/>
    <w:rsid w:val="490F39FE"/>
    <w:rsid w:val="495046A4"/>
    <w:rsid w:val="497C277A"/>
    <w:rsid w:val="49812065"/>
    <w:rsid w:val="498E4DDC"/>
    <w:rsid w:val="49A33752"/>
    <w:rsid w:val="49CB6631"/>
    <w:rsid w:val="49D47C45"/>
    <w:rsid w:val="49DB51F8"/>
    <w:rsid w:val="4A1E133A"/>
    <w:rsid w:val="4A2909BD"/>
    <w:rsid w:val="4A53792E"/>
    <w:rsid w:val="4A604BF9"/>
    <w:rsid w:val="4A7F4659"/>
    <w:rsid w:val="4AAA5FDD"/>
    <w:rsid w:val="4AAC51FD"/>
    <w:rsid w:val="4AC0270B"/>
    <w:rsid w:val="4AD12DBA"/>
    <w:rsid w:val="4AD373C9"/>
    <w:rsid w:val="4AD74D13"/>
    <w:rsid w:val="4ADD4494"/>
    <w:rsid w:val="4ADE6B30"/>
    <w:rsid w:val="4AEE19F7"/>
    <w:rsid w:val="4AF0018A"/>
    <w:rsid w:val="4B014161"/>
    <w:rsid w:val="4B1C0A89"/>
    <w:rsid w:val="4B2E109D"/>
    <w:rsid w:val="4B302515"/>
    <w:rsid w:val="4B7F4A83"/>
    <w:rsid w:val="4B9B4C18"/>
    <w:rsid w:val="4BB5418E"/>
    <w:rsid w:val="4C0A2600"/>
    <w:rsid w:val="4C147063"/>
    <w:rsid w:val="4C522D3C"/>
    <w:rsid w:val="4C861648"/>
    <w:rsid w:val="4CCE04A1"/>
    <w:rsid w:val="4D106008"/>
    <w:rsid w:val="4D1F370A"/>
    <w:rsid w:val="4D3B1CA3"/>
    <w:rsid w:val="4D3F58B4"/>
    <w:rsid w:val="4D54636C"/>
    <w:rsid w:val="4D7D2BE9"/>
    <w:rsid w:val="4DA20C45"/>
    <w:rsid w:val="4DC1499A"/>
    <w:rsid w:val="4DCD1DA8"/>
    <w:rsid w:val="4DE91AC9"/>
    <w:rsid w:val="4DF94F0E"/>
    <w:rsid w:val="4E0A5E8C"/>
    <w:rsid w:val="4E2B704A"/>
    <w:rsid w:val="4E4D60A1"/>
    <w:rsid w:val="4E511CF5"/>
    <w:rsid w:val="4E915B8F"/>
    <w:rsid w:val="4EB11CE0"/>
    <w:rsid w:val="4ED37430"/>
    <w:rsid w:val="4EFB18B5"/>
    <w:rsid w:val="4F1C30BC"/>
    <w:rsid w:val="4F4F2E3B"/>
    <w:rsid w:val="4F586DB0"/>
    <w:rsid w:val="4F892CCB"/>
    <w:rsid w:val="4F9F57CC"/>
    <w:rsid w:val="4FCD7201"/>
    <w:rsid w:val="50232EFD"/>
    <w:rsid w:val="503D0D61"/>
    <w:rsid w:val="505D4C3A"/>
    <w:rsid w:val="509F034C"/>
    <w:rsid w:val="50A80194"/>
    <w:rsid w:val="50BD1584"/>
    <w:rsid w:val="50F9794F"/>
    <w:rsid w:val="50FC6038"/>
    <w:rsid w:val="51385C6E"/>
    <w:rsid w:val="51A268B0"/>
    <w:rsid w:val="526E09E9"/>
    <w:rsid w:val="527830F0"/>
    <w:rsid w:val="529B1AA1"/>
    <w:rsid w:val="52EC2020"/>
    <w:rsid w:val="52EF226E"/>
    <w:rsid w:val="52FB7411"/>
    <w:rsid w:val="53223FF5"/>
    <w:rsid w:val="53450DB7"/>
    <w:rsid w:val="535D363C"/>
    <w:rsid w:val="536D408B"/>
    <w:rsid w:val="536F03D9"/>
    <w:rsid w:val="53875AA3"/>
    <w:rsid w:val="53CE4692"/>
    <w:rsid w:val="54192049"/>
    <w:rsid w:val="54244C92"/>
    <w:rsid w:val="543075D3"/>
    <w:rsid w:val="54335333"/>
    <w:rsid w:val="543E5EBA"/>
    <w:rsid w:val="544D1808"/>
    <w:rsid w:val="54751510"/>
    <w:rsid w:val="547669AF"/>
    <w:rsid w:val="549452DE"/>
    <w:rsid w:val="549A4B29"/>
    <w:rsid w:val="54BD03C1"/>
    <w:rsid w:val="54C07319"/>
    <w:rsid w:val="54CF741F"/>
    <w:rsid w:val="5503596B"/>
    <w:rsid w:val="551D150F"/>
    <w:rsid w:val="55631987"/>
    <w:rsid w:val="55DA06BA"/>
    <w:rsid w:val="55E75328"/>
    <w:rsid w:val="55EE7D11"/>
    <w:rsid w:val="56305772"/>
    <w:rsid w:val="56427F14"/>
    <w:rsid w:val="56486435"/>
    <w:rsid w:val="56526DA3"/>
    <w:rsid w:val="568004DF"/>
    <w:rsid w:val="56842D81"/>
    <w:rsid w:val="568B0563"/>
    <w:rsid w:val="56AE6B8F"/>
    <w:rsid w:val="56E35F19"/>
    <w:rsid w:val="57030812"/>
    <w:rsid w:val="57157E36"/>
    <w:rsid w:val="57214BD2"/>
    <w:rsid w:val="57875BB1"/>
    <w:rsid w:val="57EE1223"/>
    <w:rsid w:val="584E446F"/>
    <w:rsid w:val="58A509DC"/>
    <w:rsid w:val="58A773F1"/>
    <w:rsid w:val="58B14BCB"/>
    <w:rsid w:val="58D01536"/>
    <w:rsid w:val="58D07F93"/>
    <w:rsid w:val="58DF6B51"/>
    <w:rsid w:val="58F12789"/>
    <w:rsid w:val="595A3F3F"/>
    <w:rsid w:val="59704541"/>
    <w:rsid w:val="599036F3"/>
    <w:rsid w:val="5A413EC6"/>
    <w:rsid w:val="5A676B79"/>
    <w:rsid w:val="5A70061F"/>
    <w:rsid w:val="5A8C3D07"/>
    <w:rsid w:val="5A8D5072"/>
    <w:rsid w:val="5AF842E5"/>
    <w:rsid w:val="5B042E27"/>
    <w:rsid w:val="5B084EE1"/>
    <w:rsid w:val="5B3556C8"/>
    <w:rsid w:val="5B382B16"/>
    <w:rsid w:val="5B530CFF"/>
    <w:rsid w:val="5B617B14"/>
    <w:rsid w:val="5B8228A6"/>
    <w:rsid w:val="5BD13F45"/>
    <w:rsid w:val="5BDE13C4"/>
    <w:rsid w:val="5C10647C"/>
    <w:rsid w:val="5C1E3305"/>
    <w:rsid w:val="5C293BF7"/>
    <w:rsid w:val="5C2D3DD2"/>
    <w:rsid w:val="5C654697"/>
    <w:rsid w:val="5C7A1ACA"/>
    <w:rsid w:val="5C81078D"/>
    <w:rsid w:val="5CA21F5A"/>
    <w:rsid w:val="5CBC4EEE"/>
    <w:rsid w:val="5CD315C2"/>
    <w:rsid w:val="5CED11EC"/>
    <w:rsid w:val="5D013BF6"/>
    <w:rsid w:val="5D0D5AB2"/>
    <w:rsid w:val="5D156BA1"/>
    <w:rsid w:val="5D600754"/>
    <w:rsid w:val="5D926130"/>
    <w:rsid w:val="5D92680F"/>
    <w:rsid w:val="5D9A399A"/>
    <w:rsid w:val="5D9C0584"/>
    <w:rsid w:val="5E0464D2"/>
    <w:rsid w:val="5E056102"/>
    <w:rsid w:val="5E0B747F"/>
    <w:rsid w:val="5E12484B"/>
    <w:rsid w:val="5E136BBC"/>
    <w:rsid w:val="5E1A2DB2"/>
    <w:rsid w:val="5E2147A3"/>
    <w:rsid w:val="5E2C09E8"/>
    <w:rsid w:val="5E51036E"/>
    <w:rsid w:val="5E8050BC"/>
    <w:rsid w:val="5EA56F6E"/>
    <w:rsid w:val="5EB46E02"/>
    <w:rsid w:val="5ED201B5"/>
    <w:rsid w:val="5EE5200C"/>
    <w:rsid w:val="5EF66CB6"/>
    <w:rsid w:val="5F145553"/>
    <w:rsid w:val="5F302D42"/>
    <w:rsid w:val="5F3D730B"/>
    <w:rsid w:val="5F3E1823"/>
    <w:rsid w:val="5F4A6BF9"/>
    <w:rsid w:val="5F4D3A31"/>
    <w:rsid w:val="5F892AA6"/>
    <w:rsid w:val="5F920E6B"/>
    <w:rsid w:val="5FB75988"/>
    <w:rsid w:val="5FD53321"/>
    <w:rsid w:val="5FDF15C8"/>
    <w:rsid w:val="6047052A"/>
    <w:rsid w:val="60557EA7"/>
    <w:rsid w:val="6061402C"/>
    <w:rsid w:val="607A1BB4"/>
    <w:rsid w:val="607F60FF"/>
    <w:rsid w:val="60826CC9"/>
    <w:rsid w:val="60A26A21"/>
    <w:rsid w:val="60B9251E"/>
    <w:rsid w:val="60B95A32"/>
    <w:rsid w:val="60C546A9"/>
    <w:rsid w:val="60CF6BB8"/>
    <w:rsid w:val="60D27982"/>
    <w:rsid w:val="60DC6888"/>
    <w:rsid w:val="60F51266"/>
    <w:rsid w:val="61094A69"/>
    <w:rsid w:val="611647A9"/>
    <w:rsid w:val="612955ED"/>
    <w:rsid w:val="61764411"/>
    <w:rsid w:val="617A4678"/>
    <w:rsid w:val="61E910A4"/>
    <w:rsid w:val="620C05EB"/>
    <w:rsid w:val="620E54D4"/>
    <w:rsid w:val="622258DF"/>
    <w:rsid w:val="62CA063C"/>
    <w:rsid w:val="62FE2E90"/>
    <w:rsid w:val="63060FF8"/>
    <w:rsid w:val="6308501A"/>
    <w:rsid w:val="63C00561"/>
    <w:rsid w:val="63C32408"/>
    <w:rsid w:val="63CE115E"/>
    <w:rsid w:val="63DA2429"/>
    <w:rsid w:val="63FB30B3"/>
    <w:rsid w:val="64141F99"/>
    <w:rsid w:val="64197F76"/>
    <w:rsid w:val="64303A6F"/>
    <w:rsid w:val="643B7F5F"/>
    <w:rsid w:val="645D1896"/>
    <w:rsid w:val="648D2B35"/>
    <w:rsid w:val="64B94103"/>
    <w:rsid w:val="64BA0B65"/>
    <w:rsid w:val="64BB194A"/>
    <w:rsid w:val="64CE4755"/>
    <w:rsid w:val="650506F5"/>
    <w:rsid w:val="65070576"/>
    <w:rsid w:val="650D1CB7"/>
    <w:rsid w:val="651B3011"/>
    <w:rsid w:val="651E17D4"/>
    <w:rsid w:val="652D2924"/>
    <w:rsid w:val="654A5C49"/>
    <w:rsid w:val="65661CAD"/>
    <w:rsid w:val="65EE66C8"/>
    <w:rsid w:val="66076F03"/>
    <w:rsid w:val="664F3439"/>
    <w:rsid w:val="66526D6C"/>
    <w:rsid w:val="66A03ED5"/>
    <w:rsid w:val="66D565E2"/>
    <w:rsid w:val="66FC6FF8"/>
    <w:rsid w:val="675E7885"/>
    <w:rsid w:val="67624D51"/>
    <w:rsid w:val="676A0C23"/>
    <w:rsid w:val="67837E1A"/>
    <w:rsid w:val="67AF1871"/>
    <w:rsid w:val="67BF504C"/>
    <w:rsid w:val="67C76DF0"/>
    <w:rsid w:val="68281FB0"/>
    <w:rsid w:val="68347C16"/>
    <w:rsid w:val="68CE4C8E"/>
    <w:rsid w:val="68E21308"/>
    <w:rsid w:val="68F708F5"/>
    <w:rsid w:val="68F81B9A"/>
    <w:rsid w:val="68FB03D2"/>
    <w:rsid w:val="690414E6"/>
    <w:rsid w:val="69142625"/>
    <w:rsid w:val="692660D8"/>
    <w:rsid w:val="695A42F9"/>
    <w:rsid w:val="69650C0F"/>
    <w:rsid w:val="69762326"/>
    <w:rsid w:val="699A5750"/>
    <w:rsid w:val="6A1F0B96"/>
    <w:rsid w:val="6A296A52"/>
    <w:rsid w:val="6A5579CA"/>
    <w:rsid w:val="6A5B0722"/>
    <w:rsid w:val="6AAF4628"/>
    <w:rsid w:val="6B494E92"/>
    <w:rsid w:val="6B7D424A"/>
    <w:rsid w:val="6BAD7A1D"/>
    <w:rsid w:val="6BAF7327"/>
    <w:rsid w:val="6BD2405E"/>
    <w:rsid w:val="6BE65C9F"/>
    <w:rsid w:val="6C047126"/>
    <w:rsid w:val="6C2037BB"/>
    <w:rsid w:val="6C46417B"/>
    <w:rsid w:val="6C761C62"/>
    <w:rsid w:val="6C804A14"/>
    <w:rsid w:val="6CB0442F"/>
    <w:rsid w:val="6CB93FEC"/>
    <w:rsid w:val="6D6B7F0B"/>
    <w:rsid w:val="6D7B0227"/>
    <w:rsid w:val="6D8F1EC8"/>
    <w:rsid w:val="6DA325F4"/>
    <w:rsid w:val="6DBD5B44"/>
    <w:rsid w:val="6E0E768A"/>
    <w:rsid w:val="6E635AAA"/>
    <w:rsid w:val="6E855B0B"/>
    <w:rsid w:val="6EC43C6E"/>
    <w:rsid w:val="6F20763F"/>
    <w:rsid w:val="6F302651"/>
    <w:rsid w:val="6F372A3F"/>
    <w:rsid w:val="6F4A380B"/>
    <w:rsid w:val="6F9265E7"/>
    <w:rsid w:val="6F9F2315"/>
    <w:rsid w:val="6FB57C9C"/>
    <w:rsid w:val="6FBD496C"/>
    <w:rsid w:val="6FE236DD"/>
    <w:rsid w:val="6FEE5BD7"/>
    <w:rsid w:val="7025393C"/>
    <w:rsid w:val="703F4185"/>
    <w:rsid w:val="705B5D59"/>
    <w:rsid w:val="705E7DBF"/>
    <w:rsid w:val="70744DFD"/>
    <w:rsid w:val="707F5536"/>
    <w:rsid w:val="70A85623"/>
    <w:rsid w:val="70C6671F"/>
    <w:rsid w:val="70CF029F"/>
    <w:rsid w:val="70D34B28"/>
    <w:rsid w:val="70EC20BC"/>
    <w:rsid w:val="7105545F"/>
    <w:rsid w:val="713342C9"/>
    <w:rsid w:val="71934206"/>
    <w:rsid w:val="719846E1"/>
    <w:rsid w:val="71A806CD"/>
    <w:rsid w:val="71B945F8"/>
    <w:rsid w:val="71CC74BD"/>
    <w:rsid w:val="71E50897"/>
    <w:rsid w:val="71EF5C6D"/>
    <w:rsid w:val="723662E5"/>
    <w:rsid w:val="72625E5B"/>
    <w:rsid w:val="72700B73"/>
    <w:rsid w:val="72AB0C50"/>
    <w:rsid w:val="72B34E77"/>
    <w:rsid w:val="72D07BC9"/>
    <w:rsid w:val="72F052EC"/>
    <w:rsid w:val="732F66CE"/>
    <w:rsid w:val="734F5212"/>
    <w:rsid w:val="73826483"/>
    <w:rsid w:val="7387000A"/>
    <w:rsid w:val="73965E0D"/>
    <w:rsid w:val="73A8745A"/>
    <w:rsid w:val="73BC2E8F"/>
    <w:rsid w:val="744F4780"/>
    <w:rsid w:val="747D2B71"/>
    <w:rsid w:val="7493654D"/>
    <w:rsid w:val="749821BB"/>
    <w:rsid w:val="749B33DA"/>
    <w:rsid w:val="74BC6E3C"/>
    <w:rsid w:val="75143D39"/>
    <w:rsid w:val="752D4FA5"/>
    <w:rsid w:val="75324713"/>
    <w:rsid w:val="75967B36"/>
    <w:rsid w:val="75DE5C5E"/>
    <w:rsid w:val="75FC5240"/>
    <w:rsid w:val="75FF5C43"/>
    <w:rsid w:val="76123ABF"/>
    <w:rsid w:val="76295077"/>
    <w:rsid w:val="76624948"/>
    <w:rsid w:val="76653E56"/>
    <w:rsid w:val="768F59D3"/>
    <w:rsid w:val="76B92A29"/>
    <w:rsid w:val="76D8042C"/>
    <w:rsid w:val="771144C2"/>
    <w:rsid w:val="77295EDD"/>
    <w:rsid w:val="773842D7"/>
    <w:rsid w:val="77946B34"/>
    <w:rsid w:val="77984EA3"/>
    <w:rsid w:val="77BF1928"/>
    <w:rsid w:val="77D40D04"/>
    <w:rsid w:val="77D57105"/>
    <w:rsid w:val="77E140BA"/>
    <w:rsid w:val="78181608"/>
    <w:rsid w:val="789E03B0"/>
    <w:rsid w:val="79115235"/>
    <w:rsid w:val="794E1AFD"/>
    <w:rsid w:val="79747B61"/>
    <w:rsid w:val="79AA098A"/>
    <w:rsid w:val="79BD4C6A"/>
    <w:rsid w:val="7A061BF1"/>
    <w:rsid w:val="7A383644"/>
    <w:rsid w:val="7A56471F"/>
    <w:rsid w:val="7A631889"/>
    <w:rsid w:val="7A6B0587"/>
    <w:rsid w:val="7A6F4888"/>
    <w:rsid w:val="7A7C1B81"/>
    <w:rsid w:val="7A8371C9"/>
    <w:rsid w:val="7A937975"/>
    <w:rsid w:val="7ACB46DF"/>
    <w:rsid w:val="7ACD3B05"/>
    <w:rsid w:val="7AF73D2A"/>
    <w:rsid w:val="7B280AFB"/>
    <w:rsid w:val="7B3048D8"/>
    <w:rsid w:val="7B4774DB"/>
    <w:rsid w:val="7B510977"/>
    <w:rsid w:val="7B990752"/>
    <w:rsid w:val="7B9D18A3"/>
    <w:rsid w:val="7BA1197D"/>
    <w:rsid w:val="7BB53869"/>
    <w:rsid w:val="7BB97F65"/>
    <w:rsid w:val="7BC31A4F"/>
    <w:rsid w:val="7BEB6246"/>
    <w:rsid w:val="7BF61AC9"/>
    <w:rsid w:val="7BFC175F"/>
    <w:rsid w:val="7C22568B"/>
    <w:rsid w:val="7C236B58"/>
    <w:rsid w:val="7C715AC7"/>
    <w:rsid w:val="7C784C3C"/>
    <w:rsid w:val="7CD7279F"/>
    <w:rsid w:val="7CEF31BA"/>
    <w:rsid w:val="7CEF5972"/>
    <w:rsid w:val="7D3D3235"/>
    <w:rsid w:val="7DAD097F"/>
    <w:rsid w:val="7DC409AC"/>
    <w:rsid w:val="7E025866"/>
    <w:rsid w:val="7E153061"/>
    <w:rsid w:val="7E7977C5"/>
    <w:rsid w:val="7E8F6AF4"/>
    <w:rsid w:val="7E9C3921"/>
    <w:rsid w:val="7EBC1D88"/>
    <w:rsid w:val="7F01063F"/>
    <w:rsid w:val="7F0E2032"/>
    <w:rsid w:val="7F3A579F"/>
    <w:rsid w:val="7F8063A1"/>
    <w:rsid w:val="7F81232D"/>
    <w:rsid w:val="7F894FD7"/>
    <w:rsid w:val="7FC45191"/>
    <w:rsid w:val="7FE37F9C"/>
    <w:rsid w:val="7FEE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0"/>
    <w:pPr>
      <w:spacing w:beforeLines="50" w:afterLines="50"/>
      <w:jc w:val="left"/>
      <w:outlineLvl w:val="1"/>
    </w:pPr>
    <w:rPr>
      <w:sz w:val="32"/>
      <w:szCs w:val="32"/>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0"/>
    <w:pPr>
      <w:shd w:val="clear" w:color="auto" w:fill="FFFFFF"/>
      <w:spacing w:before="300" w:after="720" w:line="240" w:lineRule="atLeast"/>
      <w:jc w:val="center"/>
    </w:pPr>
    <w:rPr>
      <w:rFonts w:ascii="MingLiU" w:eastAsia="MingLiU"/>
      <w:kern w:val="0"/>
      <w:sz w:val="25"/>
      <w:szCs w:val="25"/>
    </w:rPr>
  </w:style>
  <w:style w:type="paragraph" w:styleId="6">
    <w:name w:val="Balloon Text"/>
    <w:basedOn w:val="1"/>
    <w:link w:val="34"/>
    <w:semiHidden/>
    <w:unhideWhenUsed/>
    <w:qFormat/>
    <w:uiPriority w:val="99"/>
    <w:rPr>
      <w:sz w:val="18"/>
      <w:szCs w:val="18"/>
    </w:rPr>
  </w:style>
  <w:style w:type="paragraph" w:styleId="7">
    <w:name w:val="footer"/>
    <w:basedOn w:val="1"/>
    <w:link w:val="20"/>
    <w:semiHidden/>
    <w:unhideWhenUsed/>
    <w:qFormat/>
    <w:uiPriority w:val="99"/>
    <w:pPr>
      <w:tabs>
        <w:tab w:val="center" w:pos="4153"/>
        <w:tab w:val="right" w:pos="8306"/>
      </w:tabs>
      <w:snapToGrid w:val="0"/>
      <w:jc w:val="left"/>
    </w:pPr>
    <w:rPr>
      <w:sz w:val="18"/>
      <w:szCs w:val="18"/>
    </w:rPr>
  </w:style>
  <w:style w:type="paragraph" w:styleId="8">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unhideWhenUsed/>
    <w:qFormat/>
    <w:uiPriority w:val="39"/>
    <w:pPr>
      <w:ind w:left="420" w:leftChars="200"/>
    </w:p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FollowedHyperlink"/>
    <w:basedOn w:val="14"/>
    <w:semiHidden/>
    <w:unhideWhenUsed/>
    <w:qFormat/>
    <w:uiPriority w:val="99"/>
    <w:rPr>
      <w:color w:val="333333"/>
      <w:u w:val="none"/>
    </w:rPr>
  </w:style>
  <w:style w:type="character" w:styleId="17">
    <w:name w:val="Emphasis"/>
    <w:basedOn w:val="14"/>
    <w:qFormat/>
    <w:uiPriority w:val="20"/>
  </w:style>
  <w:style w:type="character" w:styleId="18">
    <w:name w:val="Hyperlink"/>
    <w:basedOn w:val="14"/>
    <w:unhideWhenUsed/>
    <w:qFormat/>
    <w:uiPriority w:val="99"/>
    <w:rPr>
      <w:color w:val="0000FF"/>
      <w:u w:val="single"/>
    </w:rPr>
  </w:style>
  <w:style w:type="character" w:customStyle="1" w:styleId="19">
    <w:name w:val="页眉 Char"/>
    <w:basedOn w:val="14"/>
    <w:link w:val="8"/>
    <w:semiHidden/>
    <w:qFormat/>
    <w:uiPriority w:val="99"/>
    <w:rPr>
      <w:sz w:val="18"/>
      <w:szCs w:val="18"/>
    </w:rPr>
  </w:style>
  <w:style w:type="character" w:customStyle="1" w:styleId="20">
    <w:name w:val="页脚 Char"/>
    <w:basedOn w:val="14"/>
    <w:link w:val="7"/>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正文文本 Char"/>
    <w:link w:val="5"/>
    <w:qFormat/>
    <w:uiPriority w:val="0"/>
    <w:rPr>
      <w:rFonts w:ascii="MingLiU" w:eastAsia="MingLiU"/>
      <w:kern w:val="0"/>
      <w:sz w:val="25"/>
      <w:szCs w:val="25"/>
    </w:rPr>
  </w:style>
  <w:style w:type="character" w:customStyle="1" w:styleId="23">
    <w:name w:val="font01"/>
    <w:basedOn w:val="14"/>
    <w:qFormat/>
    <w:uiPriority w:val="0"/>
    <w:rPr>
      <w:rFonts w:hint="eastAsia" w:ascii="宋体" w:hAnsi="宋体" w:eastAsia="宋体" w:cs="宋体"/>
      <w:color w:val="000000"/>
      <w:sz w:val="22"/>
      <w:szCs w:val="22"/>
      <w:u w:val="none"/>
    </w:rPr>
  </w:style>
  <w:style w:type="paragraph" w:customStyle="1" w:styleId="24">
    <w:name w:val="WPSOffice手动目录 1"/>
    <w:qFormat/>
    <w:uiPriority w:val="0"/>
    <w:rPr>
      <w:rFonts w:eastAsia="微软雅黑" w:asciiTheme="minorHAnsi" w:hAnsiTheme="minorHAnsi" w:cstheme="minorBidi"/>
      <w:lang w:val="en-US" w:eastAsia="zh-CN" w:bidi="ar-SA"/>
    </w:rPr>
  </w:style>
  <w:style w:type="paragraph" w:customStyle="1" w:styleId="25">
    <w:name w:val="WPSOffice手动目录 2"/>
    <w:qFormat/>
    <w:uiPriority w:val="0"/>
    <w:pPr>
      <w:ind w:left="200" w:leftChars="200"/>
    </w:pPr>
    <w:rPr>
      <w:rFonts w:eastAsia="微软雅黑" w:asciiTheme="minorHAnsi" w:hAnsiTheme="minorHAnsi" w:cstheme="minorBidi"/>
      <w:lang w:val="en-US" w:eastAsia="zh-CN" w:bidi="ar-SA"/>
    </w:rPr>
  </w:style>
  <w:style w:type="character" w:customStyle="1" w:styleId="26">
    <w:name w:val="current"/>
    <w:basedOn w:val="14"/>
    <w:qFormat/>
    <w:uiPriority w:val="0"/>
    <w:rPr>
      <w:color w:val="FFFFFF"/>
      <w:u w:val="none"/>
      <w:bdr w:val="single" w:color="0085D1" w:sz="6" w:space="0"/>
      <w:shd w:val="clear" w:color="auto" w:fill="0085D1"/>
    </w:rPr>
  </w:style>
  <w:style w:type="character" w:customStyle="1" w:styleId="27">
    <w:name w:val="disab"/>
    <w:basedOn w:val="14"/>
    <w:qFormat/>
    <w:uiPriority w:val="0"/>
    <w:rPr>
      <w:bdr w:val="single" w:color="E4E4E4" w:sz="6" w:space="0"/>
      <w:shd w:val="clear" w:color="auto" w:fill="EEEEEE"/>
    </w:rPr>
  </w:style>
  <w:style w:type="character" w:customStyle="1" w:styleId="28">
    <w:name w:val="disabled"/>
    <w:basedOn w:val="14"/>
    <w:qFormat/>
    <w:uiPriority w:val="0"/>
    <w:rPr>
      <w:bdr w:val="single" w:color="E4E4E4" w:sz="6" w:space="0"/>
      <w:shd w:val="clear" w:color="auto" w:fill="EEEEEE"/>
    </w:rPr>
  </w:style>
  <w:style w:type="character" w:customStyle="1" w:styleId="29">
    <w:name w:val="go"/>
    <w:basedOn w:val="14"/>
    <w:qFormat/>
    <w:uiPriority w:val="0"/>
    <w:rPr>
      <w:shd w:val="clear" w:color="auto" w:fill="E2E2E2"/>
    </w:rPr>
  </w:style>
  <w:style w:type="character" w:customStyle="1" w:styleId="30">
    <w:name w:val="hover14"/>
    <w:basedOn w:val="14"/>
    <w:qFormat/>
    <w:uiPriority w:val="0"/>
    <w:rPr>
      <w:color w:val="FFFFFF"/>
      <w:u w:val="none"/>
      <w:bdr w:val="single" w:color="0085D1" w:sz="6" w:space="0"/>
      <w:shd w:val="clear" w:color="auto" w:fill="0085D1"/>
    </w:rPr>
  </w:style>
  <w:style w:type="character" w:customStyle="1" w:styleId="31">
    <w:name w:val="t_bg1"/>
    <w:basedOn w:val="14"/>
    <w:qFormat/>
    <w:uiPriority w:val="0"/>
    <w:rPr>
      <w:color w:val="FFFFFF"/>
      <w:bdr w:val="single" w:color="35B36A" w:sz="6" w:space="0"/>
      <w:shd w:val="clear" w:color="auto" w:fill="35B36A"/>
    </w:rPr>
  </w:style>
  <w:style w:type="character" w:customStyle="1" w:styleId="32">
    <w:name w:val="t_bg2"/>
    <w:basedOn w:val="14"/>
    <w:qFormat/>
    <w:uiPriority w:val="0"/>
    <w:rPr>
      <w:color w:val="FFFFFF"/>
      <w:bdr w:val="single" w:color="FAA72D" w:sz="6" w:space="0"/>
      <w:shd w:val="clear" w:color="auto" w:fill="FAA72D"/>
    </w:rPr>
  </w:style>
  <w:style w:type="character" w:customStyle="1" w:styleId="33">
    <w:name w:val="t_bg3"/>
    <w:basedOn w:val="14"/>
    <w:qFormat/>
    <w:uiPriority w:val="0"/>
    <w:rPr>
      <w:color w:val="FFFFFF"/>
      <w:bdr w:val="single" w:color="01AEFF" w:sz="6" w:space="0"/>
      <w:shd w:val="clear" w:color="auto" w:fill="01AEFF"/>
    </w:rPr>
  </w:style>
  <w:style w:type="character" w:customStyle="1" w:styleId="34">
    <w:name w:val="批注框文本 Char"/>
    <w:basedOn w:val="14"/>
    <w:link w:val="6"/>
    <w:semiHidden/>
    <w:qFormat/>
    <w:uiPriority w:val="99"/>
    <w:rPr>
      <w:rFonts w:asciiTheme="minorHAnsi" w:hAnsiTheme="minorHAnsi" w:eastAsiaTheme="minorEastAsia" w:cstheme="minorBidi"/>
      <w:kern w:val="2"/>
      <w:sz w:val="18"/>
      <w:szCs w:val="18"/>
    </w:rPr>
  </w:style>
  <w:style w:type="paragraph" w:customStyle="1" w:styleId="35">
    <w:name w:val="Default"/>
    <w:unhideWhenUsed/>
    <w:qFormat/>
    <w:uiPriority w:val="99"/>
    <w:pPr>
      <w:widowControl w:val="0"/>
      <w:autoSpaceDE w:val="0"/>
      <w:autoSpaceDN w:val="0"/>
      <w:adjustRightInd w:val="0"/>
    </w:pPr>
    <w:rPr>
      <w:rFonts w:ascii="楷体_GB2312" w:hAnsi="楷体_GB2312" w:eastAsia="楷体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6EECF1-BF13-48B7-BBAE-4E3A69D0115D}">
  <ds:schemaRefs/>
</ds:datastoreItem>
</file>

<file path=docProps/app.xml><?xml version="1.0" encoding="utf-8"?>
<Properties xmlns="http://schemas.openxmlformats.org/officeDocument/2006/extended-properties" xmlns:vt="http://schemas.openxmlformats.org/officeDocument/2006/docPropsVTypes">
  <Template>Normal</Template>
  <Pages>45</Pages>
  <Words>23649</Words>
  <Characters>24726</Characters>
  <Lines>32</Lines>
  <Paragraphs>57</Paragraphs>
  <TotalTime>16</TotalTime>
  <ScaleCrop>false</ScaleCrop>
  <LinksUpToDate>false</LinksUpToDate>
  <CharactersWithSpaces>24783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2020-12-03T02:01:00Z</dcterms:created>
  <dc:creator>Administrator</dc:creator>
  <cp:lastModifiedBy>Administrator</cp:lastModifiedBy>
  <cp:lastPrinted>2020-12-11T00:58:00Z</cp:lastPrinted>
  <dcterms:modified xsi:type="dcterms:W3CDTF">2022-06-30T08:22:44Z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EF05A67EBE864269898866AC51FB85E5</vt:lpwstr>
  </property>
</Properties>
</file>