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cs="仿宋"/>
          <w:spacing w:val="6"/>
        </w:rPr>
      </w:pPr>
    </w:p>
    <w:p>
      <w:pPr>
        <w:spacing w:line="360" w:lineRule="auto"/>
        <w:rPr>
          <w:rFonts w:ascii="仿宋" w:hAnsi="仿宋" w:eastAsia="仿宋" w:cs="仿宋"/>
          <w:spacing w:val="6"/>
        </w:rPr>
      </w:pPr>
    </w:p>
    <w:p>
      <w:pPr>
        <w:spacing w:line="720" w:lineRule="auto"/>
        <w:jc w:val="center"/>
        <w:rPr>
          <w:rFonts w:ascii="仿宋" w:hAnsi="仿宋" w:eastAsia="仿宋" w:cs="仿宋"/>
          <w:b/>
          <w:sz w:val="48"/>
          <w:szCs w:val="48"/>
        </w:rPr>
      </w:pPr>
      <w:r>
        <w:rPr>
          <w:rFonts w:hint="eastAsia" w:ascii="仿宋" w:hAnsi="仿宋" w:eastAsia="仿宋" w:cs="仿宋"/>
          <w:b/>
          <w:sz w:val="48"/>
          <w:szCs w:val="48"/>
        </w:rPr>
        <w:t>漳平市“十四五”卫生健康事业</w:t>
      </w:r>
    </w:p>
    <w:p>
      <w:pPr>
        <w:spacing w:line="720" w:lineRule="auto"/>
        <w:jc w:val="center"/>
        <w:rPr>
          <w:rFonts w:hint="default" w:ascii="仿宋" w:hAnsi="仿宋" w:eastAsia="仿宋" w:cs="仿宋"/>
          <w:b/>
          <w:sz w:val="48"/>
          <w:szCs w:val="48"/>
          <w:lang w:val="en-US" w:eastAsia="zh-CN"/>
        </w:rPr>
      </w:pPr>
      <w:r>
        <w:rPr>
          <w:rFonts w:hint="eastAsia" w:ascii="仿宋" w:hAnsi="仿宋" w:eastAsia="仿宋" w:cs="仿宋"/>
          <w:b/>
          <w:sz w:val="48"/>
          <w:szCs w:val="48"/>
        </w:rPr>
        <w:t>发展专项规划</w:t>
      </w:r>
      <w:r>
        <w:rPr>
          <w:rFonts w:hint="eastAsia" w:ascii="仿宋" w:hAnsi="仿宋" w:eastAsia="仿宋" w:cs="仿宋"/>
          <w:b/>
          <w:sz w:val="48"/>
          <w:szCs w:val="48"/>
          <w:lang w:val="en-US" w:eastAsia="zh-CN"/>
        </w:rPr>
        <w:t>(征求意见稿）</w:t>
      </w:r>
    </w:p>
    <w:p>
      <w:pPr>
        <w:spacing w:line="360" w:lineRule="auto"/>
        <w:jc w:val="center"/>
        <w:rPr>
          <w:rFonts w:hint="eastAsia" w:ascii="仿宋" w:hAnsi="仿宋" w:eastAsia="仿宋" w:cs="仿宋"/>
          <w:bCs/>
          <w:spacing w:val="6"/>
          <w:sz w:val="32"/>
          <w:szCs w:val="32"/>
        </w:rPr>
      </w:pPr>
      <w:r>
        <w:rPr>
          <w:rFonts w:hint="eastAsia" w:ascii="仿宋" w:hAnsi="仿宋" w:eastAsia="仿宋" w:cs="仿宋"/>
          <w:bCs/>
          <w:spacing w:val="6"/>
          <w:sz w:val="32"/>
          <w:szCs w:val="32"/>
        </w:rPr>
        <w:t>（2021-2025年）</w:t>
      </w:r>
    </w:p>
    <w:p>
      <w:pPr>
        <w:spacing w:line="360" w:lineRule="auto"/>
        <w:jc w:val="center"/>
        <w:rPr>
          <w:rFonts w:hint="eastAsia" w:ascii="仿宋" w:hAnsi="仿宋" w:eastAsia="仿宋" w:cs="仿宋"/>
          <w:bCs/>
          <w:spacing w:val="6"/>
          <w:sz w:val="32"/>
          <w:szCs w:val="32"/>
        </w:rPr>
      </w:pPr>
    </w:p>
    <w:p>
      <w:pPr>
        <w:rPr>
          <w:rFonts w:ascii="仿宋" w:hAnsi="仿宋" w:eastAsia="仿宋" w:cs="仿宋"/>
          <w:spacing w:val="6"/>
        </w:rPr>
      </w:pPr>
    </w:p>
    <w:p>
      <w:pPr>
        <w:rPr>
          <w:rFonts w:ascii="仿宋" w:hAnsi="仿宋" w:eastAsia="仿宋" w:cs="仿宋"/>
          <w:spacing w:val="6"/>
        </w:rPr>
      </w:pPr>
    </w:p>
    <w:p>
      <w:pPr>
        <w:rPr>
          <w:rFonts w:ascii="仿宋" w:hAnsi="仿宋" w:eastAsia="仿宋" w:cs="仿宋"/>
          <w:spacing w:val="6"/>
        </w:rPr>
      </w:pPr>
    </w:p>
    <w:p>
      <w:pPr>
        <w:rPr>
          <w:rFonts w:ascii="仿宋" w:hAnsi="仿宋" w:eastAsia="仿宋" w:cs="仿宋"/>
          <w:spacing w:val="6"/>
        </w:rPr>
      </w:pPr>
    </w:p>
    <w:p>
      <w:pPr>
        <w:rPr>
          <w:rFonts w:ascii="仿宋" w:hAnsi="仿宋" w:eastAsia="仿宋" w:cs="仿宋"/>
          <w:spacing w:val="6"/>
        </w:rPr>
      </w:pPr>
    </w:p>
    <w:p>
      <w:pPr>
        <w:rPr>
          <w:rFonts w:ascii="仿宋" w:hAnsi="仿宋" w:eastAsia="仿宋" w:cs="仿宋"/>
          <w:spacing w:val="6"/>
        </w:rPr>
      </w:pPr>
    </w:p>
    <w:p>
      <w:pPr>
        <w:rPr>
          <w:rFonts w:ascii="仿宋" w:hAnsi="仿宋" w:eastAsia="仿宋" w:cs="仿宋"/>
          <w:spacing w:val="6"/>
        </w:rPr>
      </w:pPr>
    </w:p>
    <w:p>
      <w:pPr>
        <w:rPr>
          <w:rFonts w:ascii="仿宋" w:hAnsi="仿宋" w:eastAsia="仿宋" w:cs="仿宋"/>
          <w:spacing w:val="6"/>
        </w:rPr>
      </w:pPr>
    </w:p>
    <w:p>
      <w:pPr>
        <w:rPr>
          <w:rFonts w:ascii="仿宋" w:hAnsi="仿宋" w:eastAsia="仿宋" w:cs="仿宋"/>
          <w:spacing w:val="6"/>
        </w:rPr>
      </w:pPr>
    </w:p>
    <w:p>
      <w:pPr>
        <w:rPr>
          <w:rFonts w:ascii="仿宋" w:hAnsi="仿宋" w:eastAsia="仿宋" w:cs="仿宋"/>
          <w:spacing w:val="6"/>
        </w:rPr>
      </w:pPr>
    </w:p>
    <w:p>
      <w:pPr>
        <w:rPr>
          <w:rFonts w:ascii="仿宋" w:hAnsi="仿宋" w:eastAsia="仿宋" w:cs="仿宋"/>
          <w:spacing w:val="6"/>
        </w:rPr>
      </w:pPr>
    </w:p>
    <w:p>
      <w:pPr>
        <w:rPr>
          <w:rFonts w:ascii="仿宋" w:hAnsi="仿宋" w:eastAsia="仿宋" w:cs="仿宋"/>
          <w:spacing w:val="6"/>
        </w:rPr>
      </w:pPr>
    </w:p>
    <w:p>
      <w:pPr>
        <w:rPr>
          <w:rFonts w:ascii="仿宋" w:hAnsi="仿宋" w:eastAsia="仿宋" w:cs="仿宋"/>
          <w:spacing w:val="6"/>
        </w:rPr>
      </w:pPr>
    </w:p>
    <w:p>
      <w:pPr>
        <w:rPr>
          <w:rFonts w:ascii="仿宋" w:hAnsi="仿宋" w:eastAsia="仿宋" w:cs="仿宋"/>
          <w:spacing w:val="6"/>
        </w:rPr>
      </w:pPr>
    </w:p>
    <w:p>
      <w:pPr>
        <w:rPr>
          <w:rFonts w:ascii="仿宋" w:hAnsi="仿宋" w:eastAsia="仿宋" w:cs="仿宋"/>
          <w:spacing w:val="6"/>
        </w:rPr>
      </w:pPr>
    </w:p>
    <w:p>
      <w:pPr>
        <w:rPr>
          <w:rFonts w:ascii="仿宋" w:hAnsi="仿宋" w:eastAsia="仿宋" w:cs="仿宋"/>
          <w:spacing w:val="6"/>
        </w:rPr>
      </w:pPr>
    </w:p>
    <w:p>
      <w:pPr>
        <w:rPr>
          <w:rFonts w:ascii="仿宋" w:hAnsi="仿宋" w:eastAsia="仿宋" w:cs="仿宋"/>
          <w:spacing w:val="6"/>
        </w:rPr>
      </w:pPr>
    </w:p>
    <w:p>
      <w:pPr>
        <w:rPr>
          <w:rFonts w:ascii="仿宋" w:hAnsi="仿宋" w:eastAsia="仿宋" w:cs="仿宋"/>
          <w:spacing w:val="6"/>
        </w:rPr>
      </w:pPr>
    </w:p>
    <w:p>
      <w:pPr>
        <w:rPr>
          <w:rFonts w:ascii="仿宋" w:hAnsi="仿宋" w:eastAsia="仿宋" w:cs="仿宋"/>
          <w:spacing w:val="6"/>
        </w:rPr>
      </w:pPr>
    </w:p>
    <w:p>
      <w:pPr>
        <w:rPr>
          <w:rFonts w:ascii="仿宋" w:hAnsi="仿宋" w:eastAsia="仿宋" w:cs="仿宋"/>
          <w:spacing w:val="6"/>
        </w:rPr>
      </w:pPr>
    </w:p>
    <w:p>
      <w:pPr>
        <w:rPr>
          <w:rFonts w:ascii="仿宋" w:hAnsi="仿宋" w:eastAsia="仿宋" w:cs="仿宋"/>
          <w:spacing w:val="6"/>
        </w:rPr>
      </w:pPr>
    </w:p>
    <w:p>
      <w:pPr>
        <w:rPr>
          <w:rFonts w:ascii="仿宋" w:hAnsi="仿宋" w:eastAsia="仿宋" w:cs="仿宋"/>
          <w:spacing w:val="6"/>
        </w:rPr>
      </w:pPr>
    </w:p>
    <w:p>
      <w:pPr>
        <w:rPr>
          <w:rFonts w:ascii="仿宋" w:hAnsi="仿宋" w:eastAsia="仿宋" w:cs="仿宋"/>
          <w:spacing w:val="6"/>
        </w:rPr>
      </w:pPr>
    </w:p>
    <w:p>
      <w:pPr>
        <w:rPr>
          <w:rFonts w:ascii="仿宋" w:hAnsi="仿宋" w:eastAsia="仿宋" w:cs="仿宋"/>
          <w:spacing w:val="6"/>
        </w:rPr>
      </w:pPr>
    </w:p>
    <w:p>
      <w:pPr>
        <w:rPr>
          <w:rFonts w:ascii="仿宋" w:hAnsi="仿宋" w:eastAsia="仿宋" w:cs="仿宋"/>
          <w:spacing w:val="6"/>
        </w:rPr>
      </w:pPr>
    </w:p>
    <w:p>
      <w:pPr>
        <w:rPr>
          <w:rFonts w:ascii="仿宋" w:hAnsi="仿宋" w:eastAsia="仿宋" w:cs="仿宋"/>
          <w:spacing w:val="6"/>
        </w:rPr>
      </w:pPr>
    </w:p>
    <w:p>
      <w:pPr>
        <w:rPr>
          <w:rFonts w:ascii="仿宋" w:hAnsi="仿宋" w:eastAsia="仿宋" w:cs="仿宋"/>
          <w:spacing w:val="6"/>
        </w:rPr>
      </w:pPr>
    </w:p>
    <w:p>
      <w:pPr>
        <w:rPr>
          <w:rFonts w:ascii="仿宋" w:hAnsi="仿宋" w:eastAsia="仿宋" w:cs="仿宋"/>
          <w:spacing w:val="6"/>
        </w:rPr>
      </w:pPr>
    </w:p>
    <w:p>
      <w:pPr>
        <w:rPr>
          <w:rFonts w:ascii="仿宋" w:hAnsi="仿宋" w:eastAsia="仿宋" w:cs="仿宋"/>
          <w:spacing w:val="6"/>
        </w:rPr>
      </w:pPr>
    </w:p>
    <w:p>
      <w:pPr>
        <w:rPr>
          <w:rFonts w:ascii="仿宋" w:hAnsi="仿宋" w:eastAsia="仿宋" w:cs="仿宋"/>
          <w:spacing w:val="6"/>
        </w:rPr>
      </w:pPr>
    </w:p>
    <w:p>
      <w:pPr>
        <w:rPr>
          <w:rFonts w:ascii="仿宋" w:hAnsi="仿宋" w:eastAsia="仿宋" w:cs="仿宋"/>
          <w:spacing w:val="6"/>
        </w:rPr>
      </w:pPr>
    </w:p>
    <w:p>
      <w:pPr>
        <w:rPr>
          <w:rFonts w:ascii="仿宋" w:hAnsi="仿宋" w:eastAsia="仿宋" w:cs="仿宋"/>
          <w:spacing w:val="6"/>
        </w:rPr>
      </w:pPr>
    </w:p>
    <w:p>
      <w:pPr>
        <w:rPr>
          <w:rFonts w:ascii="仿宋" w:hAnsi="仿宋" w:eastAsia="仿宋" w:cs="仿宋"/>
          <w:spacing w:val="6"/>
        </w:rPr>
      </w:pPr>
    </w:p>
    <w:sdt>
      <w:sdtPr>
        <w:rPr>
          <w:rFonts w:ascii="宋体" w:hAnsi="宋体" w:eastAsia="宋体"/>
        </w:rPr>
        <w:id w:val="147480249"/>
        <w:docPartObj>
          <w:docPartGallery w:val="Table of Contents"/>
          <w:docPartUnique/>
        </w:docPartObj>
      </w:sdtPr>
      <w:sdtEndPr>
        <w:rPr>
          <w:rFonts w:hint="eastAsia" w:ascii="仿宋" w:hAnsi="仿宋" w:eastAsia="仿宋" w:cs="仿宋"/>
          <w:b/>
        </w:rPr>
      </w:sdtEndPr>
      <w:sdtContent>
        <w:p>
          <w:pPr>
            <w:spacing w:line="360" w:lineRule="auto"/>
            <w:jc w:val="center"/>
            <w:rPr>
              <w:rFonts w:ascii="仿宋" w:hAnsi="仿宋" w:eastAsia="仿宋" w:cs="仿宋"/>
              <w:sz w:val="28"/>
              <w:szCs w:val="28"/>
            </w:rPr>
          </w:pPr>
          <w:r>
            <w:rPr>
              <w:rFonts w:hint="eastAsia" w:ascii="仿宋" w:hAnsi="仿宋" w:eastAsia="仿宋" w:cs="仿宋"/>
              <w:b/>
              <w:bCs/>
              <w:sz w:val="32"/>
              <w:szCs w:val="32"/>
            </w:rPr>
            <w:t>目录</w:t>
          </w:r>
        </w:p>
        <w:p>
          <w:pPr>
            <w:pStyle w:val="24"/>
            <w:tabs>
              <w:tab w:val="right" w:leader="dot" w:pos="8250"/>
            </w:tabs>
            <w:spacing w:line="360" w:lineRule="auto"/>
            <w:rPr>
              <w:rFonts w:ascii="仿宋" w:hAnsi="仿宋" w:eastAsia="仿宋" w:cs="仿宋"/>
              <w:b/>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"1-2" \h \u </w:instrText>
          </w:r>
          <w:r>
            <w:rPr>
              <w:rFonts w:hint="eastAsia" w:ascii="仿宋" w:hAnsi="仿宋" w:eastAsia="仿宋" w:cs="仿宋"/>
              <w:sz w:val="28"/>
              <w:szCs w:val="28"/>
            </w:rPr>
            <w:fldChar w:fldCharType="separate"/>
          </w:r>
          <w:r>
            <w:fldChar w:fldCharType="begin"/>
          </w:r>
          <w:r>
            <w:instrText xml:space="preserve"> HYPERLINK \l "_Toc21446" </w:instrText>
          </w:r>
          <w:r>
            <w:fldChar w:fldCharType="separate"/>
          </w:r>
          <w:r>
            <w:rPr>
              <w:rFonts w:hint="eastAsia" w:ascii="仿宋" w:hAnsi="仿宋" w:eastAsia="仿宋" w:cs="仿宋"/>
              <w:b/>
              <w:spacing w:val="6"/>
              <w:sz w:val="28"/>
              <w:szCs w:val="28"/>
              <w:lang w:val="en-US" w:eastAsia="zh-CN"/>
            </w:rPr>
            <w:t>前言</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_Toc21446 </w:instrText>
          </w:r>
          <w:r>
            <w:rPr>
              <w:rFonts w:hint="eastAsia" w:ascii="仿宋" w:hAnsi="仿宋" w:eastAsia="仿宋" w:cs="仿宋"/>
              <w:b/>
              <w:sz w:val="28"/>
              <w:szCs w:val="28"/>
            </w:rPr>
            <w:fldChar w:fldCharType="separate"/>
          </w:r>
          <w:r>
            <w:rPr>
              <w:rFonts w:ascii="仿宋" w:hAnsi="仿宋" w:eastAsia="仿宋" w:cs="仿宋"/>
              <w:b/>
              <w:sz w:val="28"/>
              <w:szCs w:val="28"/>
            </w:rPr>
            <w:t>1</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24"/>
            <w:tabs>
              <w:tab w:val="right" w:leader="dot" w:pos="8250"/>
            </w:tabs>
            <w:spacing w:line="360" w:lineRule="auto"/>
            <w:rPr>
              <w:rFonts w:ascii="仿宋" w:hAnsi="仿宋" w:eastAsia="仿宋" w:cs="仿宋"/>
              <w:b/>
              <w:sz w:val="28"/>
              <w:szCs w:val="28"/>
            </w:rPr>
          </w:pPr>
          <w:r>
            <w:fldChar w:fldCharType="begin"/>
          </w:r>
          <w:r>
            <w:instrText xml:space="preserve"> HYPERLINK \l "_Toc17925" </w:instrText>
          </w:r>
          <w:r>
            <w:fldChar w:fldCharType="separate"/>
          </w:r>
          <w:r>
            <w:rPr>
              <w:rFonts w:hint="eastAsia" w:ascii="仿宋" w:hAnsi="仿宋" w:eastAsia="仿宋" w:cs="仿宋"/>
              <w:b/>
              <w:spacing w:val="6"/>
              <w:sz w:val="28"/>
              <w:szCs w:val="28"/>
            </w:rPr>
            <w:t>一、</w:t>
          </w:r>
          <w:r>
            <w:rPr>
              <w:rFonts w:hint="eastAsia" w:ascii="仿宋" w:hAnsi="仿宋" w:eastAsia="仿宋" w:cs="仿宋"/>
              <w:b/>
              <w:spacing w:val="6"/>
              <w:sz w:val="28"/>
              <w:szCs w:val="28"/>
              <w:lang w:eastAsia="zh-CN"/>
            </w:rPr>
            <w:t>“</w:t>
          </w:r>
          <w:r>
            <w:rPr>
              <w:rFonts w:hint="eastAsia" w:ascii="仿宋" w:hAnsi="仿宋" w:eastAsia="仿宋" w:cs="仿宋"/>
              <w:b/>
              <w:spacing w:val="6"/>
              <w:sz w:val="28"/>
              <w:szCs w:val="28"/>
              <w:lang w:val="en-US" w:eastAsia="zh-CN"/>
            </w:rPr>
            <w:t>十三五”时期</w:t>
          </w:r>
          <w:r>
            <w:rPr>
              <w:rFonts w:hint="eastAsia" w:ascii="仿宋" w:hAnsi="仿宋" w:eastAsia="仿宋" w:cs="仿宋"/>
              <w:b/>
              <w:spacing w:val="6"/>
              <w:sz w:val="28"/>
              <w:szCs w:val="28"/>
            </w:rPr>
            <w:t>主要成就</w:t>
          </w:r>
          <w:r>
            <w:rPr>
              <w:rFonts w:hint="eastAsia" w:ascii="仿宋" w:hAnsi="仿宋" w:eastAsia="仿宋" w:cs="仿宋"/>
              <w:b/>
              <w:sz w:val="28"/>
              <w:szCs w:val="28"/>
            </w:rPr>
            <w:tab/>
          </w:r>
          <w:r>
            <w:rPr>
              <w:rFonts w:hint="eastAsia" w:ascii="仿宋" w:hAnsi="仿宋" w:eastAsia="仿宋" w:cs="仿宋"/>
              <w:b/>
              <w:sz w:val="28"/>
              <w:szCs w:val="28"/>
              <w:lang w:val="en-US" w:eastAsia="zh-CN"/>
            </w:rPr>
            <w:t>2</w:t>
          </w:r>
          <w:r>
            <w:rPr>
              <w:rFonts w:hint="eastAsia" w:ascii="仿宋" w:hAnsi="仿宋" w:eastAsia="仿宋" w:cs="仿宋"/>
              <w:b/>
              <w:sz w:val="28"/>
              <w:szCs w:val="28"/>
            </w:rPr>
            <w:fldChar w:fldCharType="end"/>
          </w:r>
        </w:p>
        <w:p>
          <w:pPr>
            <w:pStyle w:val="25"/>
            <w:tabs>
              <w:tab w:val="right" w:leader="dot" w:pos="8250"/>
            </w:tabs>
            <w:spacing w:line="360" w:lineRule="auto"/>
            <w:ind w:left="420"/>
            <w:rPr>
              <w:rFonts w:ascii="仿宋" w:hAnsi="仿宋" w:eastAsia="仿宋" w:cs="仿宋"/>
              <w:sz w:val="28"/>
              <w:szCs w:val="28"/>
            </w:rPr>
          </w:pPr>
          <w:r>
            <w:fldChar w:fldCharType="begin"/>
          </w:r>
          <w:r>
            <w:instrText xml:space="preserve"> HYPERLINK \l "_Toc11391" </w:instrText>
          </w:r>
          <w:r>
            <w:fldChar w:fldCharType="separate"/>
          </w:r>
          <w:r>
            <w:rPr>
              <w:rFonts w:hint="eastAsia" w:ascii="仿宋" w:hAnsi="仿宋" w:eastAsia="仿宋" w:cs="仿宋"/>
              <w:spacing w:val="6"/>
              <w:sz w:val="28"/>
              <w:szCs w:val="28"/>
            </w:rPr>
            <w:t>（一）医药卫生体制改革取得新突破</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p>
        <w:p>
          <w:pPr>
            <w:pStyle w:val="25"/>
            <w:tabs>
              <w:tab w:val="right" w:leader="dot" w:pos="8250"/>
            </w:tabs>
            <w:spacing w:line="360" w:lineRule="auto"/>
            <w:ind w:left="420"/>
            <w:rPr>
              <w:rFonts w:ascii="仿宋" w:hAnsi="仿宋" w:eastAsia="仿宋" w:cs="仿宋"/>
              <w:sz w:val="28"/>
              <w:szCs w:val="28"/>
            </w:rPr>
          </w:pPr>
          <w:r>
            <w:fldChar w:fldCharType="begin"/>
          </w:r>
          <w:r>
            <w:instrText xml:space="preserve"> HYPERLINK \l "_Toc23904" </w:instrText>
          </w:r>
          <w:r>
            <w:fldChar w:fldCharType="separate"/>
          </w:r>
          <w:r>
            <w:rPr>
              <w:rFonts w:hint="eastAsia" w:ascii="仿宋" w:hAnsi="仿宋" w:eastAsia="仿宋" w:cs="仿宋"/>
              <w:spacing w:val="6"/>
              <w:sz w:val="28"/>
              <w:szCs w:val="28"/>
            </w:rPr>
            <w:t>（二）医疗及基本公共服务水平稳步提升</w:t>
          </w:r>
          <w:r>
            <w:rPr>
              <w:rFonts w:hint="eastAsia" w:ascii="仿宋" w:hAnsi="仿宋" w:eastAsia="仿宋" w:cs="仿宋"/>
              <w:sz w:val="28"/>
              <w:szCs w:val="28"/>
            </w:rPr>
            <w:tab/>
          </w:r>
          <w:r>
            <w:rPr>
              <w:rFonts w:hint="eastAsia" w:ascii="仿宋" w:hAnsi="仿宋" w:eastAsia="仿宋" w:cs="仿宋"/>
              <w:sz w:val="28"/>
              <w:szCs w:val="28"/>
              <w:lang w:val="en-US" w:eastAsia="zh-CN"/>
            </w:rPr>
            <w:t>3</w:t>
          </w:r>
          <w:r>
            <w:rPr>
              <w:rFonts w:hint="eastAsia" w:ascii="仿宋" w:hAnsi="仿宋" w:eastAsia="仿宋" w:cs="仿宋"/>
              <w:sz w:val="28"/>
              <w:szCs w:val="28"/>
            </w:rPr>
            <w:fldChar w:fldCharType="end"/>
          </w:r>
        </w:p>
        <w:p>
          <w:pPr>
            <w:pStyle w:val="25"/>
            <w:tabs>
              <w:tab w:val="right" w:leader="dot" w:pos="8250"/>
            </w:tabs>
            <w:spacing w:line="360" w:lineRule="auto"/>
            <w:ind w:left="420"/>
            <w:rPr>
              <w:rFonts w:ascii="仿宋" w:hAnsi="仿宋" w:eastAsia="仿宋" w:cs="仿宋"/>
              <w:sz w:val="28"/>
              <w:szCs w:val="28"/>
            </w:rPr>
          </w:pPr>
          <w:r>
            <w:fldChar w:fldCharType="begin"/>
          </w:r>
          <w:r>
            <w:instrText xml:space="preserve"> HYPERLINK \l "_Toc2563" </w:instrText>
          </w:r>
          <w:r>
            <w:fldChar w:fldCharType="separate"/>
          </w:r>
          <w:r>
            <w:rPr>
              <w:rFonts w:hint="eastAsia" w:ascii="仿宋" w:hAnsi="仿宋" w:eastAsia="仿宋" w:cs="仿宋"/>
              <w:spacing w:val="6"/>
              <w:sz w:val="28"/>
              <w:szCs w:val="28"/>
            </w:rPr>
            <w:t>（三）应急处置和疾病防控能力得到提升</w:t>
          </w:r>
          <w:r>
            <w:rPr>
              <w:rFonts w:hint="eastAsia" w:ascii="仿宋" w:hAnsi="仿宋" w:eastAsia="仿宋" w:cs="仿宋"/>
              <w:sz w:val="28"/>
              <w:szCs w:val="28"/>
            </w:rPr>
            <w:tab/>
          </w:r>
          <w:r>
            <w:rPr>
              <w:rFonts w:hint="eastAsia" w:ascii="仿宋" w:hAnsi="仿宋" w:eastAsia="仿宋" w:cs="仿宋"/>
              <w:sz w:val="28"/>
              <w:szCs w:val="28"/>
              <w:lang w:val="en-US" w:eastAsia="zh-CN"/>
            </w:rPr>
            <w:t>4</w:t>
          </w:r>
          <w:r>
            <w:rPr>
              <w:rFonts w:hint="eastAsia" w:ascii="仿宋" w:hAnsi="仿宋" w:eastAsia="仿宋" w:cs="仿宋"/>
              <w:sz w:val="28"/>
              <w:szCs w:val="28"/>
            </w:rPr>
            <w:fldChar w:fldCharType="end"/>
          </w:r>
        </w:p>
        <w:p>
          <w:pPr>
            <w:pStyle w:val="25"/>
            <w:tabs>
              <w:tab w:val="right" w:leader="dot" w:pos="8250"/>
            </w:tabs>
            <w:spacing w:line="360" w:lineRule="auto"/>
            <w:ind w:left="420"/>
            <w:rPr>
              <w:rFonts w:ascii="仿宋" w:hAnsi="仿宋" w:eastAsia="仿宋" w:cs="仿宋"/>
              <w:sz w:val="28"/>
              <w:szCs w:val="28"/>
            </w:rPr>
          </w:pPr>
          <w:r>
            <w:fldChar w:fldCharType="begin"/>
          </w:r>
          <w:r>
            <w:instrText xml:space="preserve"> HYPERLINK \l "_Toc16817" </w:instrText>
          </w:r>
          <w:r>
            <w:fldChar w:fldCharType="separate"/>
          </w:r>
          <w:r>
            <w:rPr>
              <w:rFonts w:hint="eastAsia" w:ascii="仿宋" w:hAnsi="仿宋" w:eastAsia="仿宋" w:cs="仿宋"/>
              <w:spacing w:val="6"/>
              <w:sz w:val="28"/>
              <w:szCs w:val="28"/>
            </w:rPr>
            <w:t>（四）城乡居民健康服务水平持续提高</w:t>
          </w:r>
          <w:r>
            <w:rPr>
              <w:rFonts w:hint="eastAsia" w:ascii="仿宋" w:hAnsi="仿宋" w:eastAsia="仿宋" w:cs="仿宋"/>
              <w:sz w:val="28"/>
              <w:szCs w:val="28"/>
            </w:rPr>
            <w:tab/>
          </w:r>
          <w:r>
            <w:rPr>
              <w:rFonts w:hint="eastAsia" w:ascii="仿宋" w:hAnsi="仿宋" w:eastAsia="仿宋" w:cs="仿宋"/>
              <w:sz w:val="28"/>
              <w:szCs w:val="28"/>
              <w:lang w:val="en-US" w:eastAsia="zh-CN"/>
            </w:rPr>
            <w:t>5</w:t>
          </w:r>
          <w:r>
            <w:rPr>
              <w:rFonts w:hint="eastAsia" w:ascii="仿宋" w:hAnsi="仿宋" w:eastAsia="仿宋" w:cs="仿宋"/>
              <w:sz w:val="28"/>
              <w:szCs w:val="28"/>
            </w:rPr>
            <w:fldChar w:fldCharType="end"/>
          </w:r>
        </w:p>
        <w:p>
          <w:pPr>
            <w:pStyle w:val="25"/>
            <w:tabs>
              <w:tab w:val="right" w:leader="dot" w:pos="8250"/>
            </w:tabs>
            <w:spacing w:line="360" w:lineRule="auto"/>
            <w:ind w:left="420"/>
            <w:rPr>
              <w:rFonts w:ascii="仿宋" w:hAnsi="仿宋" w:eastAsia="仿宋" w:cs="仿宋"/>
              <w:sz w:val="28"/>
              <w:szCs w:val="28"/>
            </w:rPr>
          </w:pPr>
          <w:r>
            <w:fldChar w:fldCharType="begin"/>
          </w:r>
          <w:r>
            <w:instrText xml:space="preserve"> HYPERLINK \l "_Toc12177" </w:instrText>
          </w:r>
          <w:r>
            <w:fldChar w:fldCharType="separate"/>
          </w:r>
          <w:r>
            <w:rPr>
              <w:rFonts w:hint="eastAsia" w:ascii="仿宋" w:hAnsi="仿宋" w:eastAsia="仿宋" w:cs="仿宋"/>
              <w:spacing w:val="6"/>
              <w:sz w:val="28"/>
              <w:szCs w:val="28"/>
            </w:rPr>
            <w:t>（五）人口和家庭服务管理扎实推进</w:t>
          </w:r>
          <w:r>
            <w:rPr>
              <w:rFonts w:hint="eastAsia" w:ascii="仿宋" w:hAnsi="仿宋" w:eastAsia="仿宋" w:cs="仿宋"/>
              <w:sz w:val="28"/>
              <w:szCs w:val="28"/>
            </w:rPr>
            <w:tab/>
          </w:r>
          <w:r>
            <w:rPr>
              <w:rFonts w:hint="eastAsia" w:ascii="仿宋" w:hAnsi="仿宋" w:eastAsia="仿宋" w:cs="仿宋"/>
              <w:sz w:val="28"/>
              <w:szCs w:val="28"/>
              <w:lang w:val="en-US" w:eastAsia="zh-CN"/>
            </w:rPr>
            <w:t>6</w:t>
          </w:r>
          <w:r>
            <w:rPr>
              <w:rFonts w:hint="eastAsia" w:ascii="仿宋" w:hAnsi="仿宋" w:eastAsia="仿宋" w:cs="仿宋"/>
              <w:sz w:val="28"/>
              <w:szCs w:val="28"/>
            </w:rPr>
            <w:fldChar w:fldCharType="end"/>
          </w:r>
        </w:p>
        <w:p>
          <w:pPr>
            <w:pStyle w:val="25"/>
            <w:tabs>
              <w:tab w:val="right" w:leader="dot" w:pos="8250"/>
            </w:tabs>
            <w:spacing w:line="360" w:lineRule="auto"/>
            <w:ind w:left="420"/>
            <w:rPr>
              <w:rFonts w:ascii="仿宋" w:hAnsi="仿宋" w:eastAsia="仿宋" w:cs="仿宋"/>
              <w:sz w:val="28"/>
              <w:szCs w:val="28"/>
            </w:rPr>
          </w:pPr>
          <w:r>
            <w:fldChar w:fldCharType="begin"/>
          </w:r>
          <w:r>
            <w:instrText xml:space="preserve"> HYPERLINK \l "_Toc32295" </w:instrText>
          </w:r>
          <w:r>
            <w:fldChar w:fldCharType="separate"/>
          </w:r>
          <w:r>
            <w:rPr>
              <w:rFonts w:hint="eastAsia" w:ascii="仿宋" w:hAnsi="仿宋" w:eastAsia="仿宋" w:cs="仿宋"/>
              <w:spacing w:val="6"/>
              <w:sz w:val="28"/>
              <w:szCs w:val="28"/>
            </w:rPr>
            <w:t>（六）健康产业建设发展取得新突破</w:t>
          </w:r>
          <w:r>
            <w:rPr>
              <w:rFonts w:hint="eastAsia" w:ascii="仿宋" w:hAnsi="仿宋" w:eastAsia="仿宋" w:cs="仿宋"/>
              <w:sz w:val="28"/>
              <w:szCs w:val="28"/>
            </w:rPr>
            <w:tab/>
          </w:r>
          <w:r>
            <w:rPr>
              <w:rFonts w:hint="eastAsia" w:ascii="仿宋" w:hAnsi="仿宋" w:eastAsia="仿宋" w:cs="仿宋"/>
              <w:sz w:val="28"/>
              <w:szCs w:val="28"/>
              <w:lang w:val="en-US" w:eastAsia="zh-CN"/>
            </w:rPr>
            <w:t>6</w:t>
          </w:r>
          <w:r>
            <w:rPr>
              <w:rFonts w:hint="eastAsia" w:ascii="仿宋" w:hAnsi="仿宋" w:eastAsia="仿宋" w:cs="仿宋"/>
              <w:sz w:val="28"/>
              <w:szCs w:val="28"/>
            </w:rPr>
            <w:fldChar w:fldCharType="end"/>
          </w:r>
        </w:p>
        <w:p>
          <w:pPr>
            <w:pStyle w:val="25"/>
            <w:tabs>
              <w:tab w:val="right" w:leader="dot" w:pos="8250"/>
            </w:tabs>
            <w:spacing w:line="360" w:lineRule="auto"/>
            <w:ind w:left="420"/>
            <w:rPr>
              <w:rFonts w:ascii="仿宋" w:hAnsi="仿宋" w:eastAsia="仿宋" w:cs="仿宋"/>
              <w:sz w:val="28"/>
              <w:szCs w:val="28"/>
            </w:rPr>
          </w:pPr>
          <w:r>
            <w:fldChar w:fldCharType="begin"/>
          </w:r>
          <w:r>
            <w:instrText xml:space="preserve"> HYPERLINK \l "_Toc1269" </w:instrText>
          </w:r>
          <w:r>
            <w:fldChar w:fldCharType="separate"/>
          </w:r>
          <w:r>
            <w:rPr>
              <w:rFonts w:hint="eastAsia" w:ascii="仿宋" w:hAnsi="仿宋" w:eastAsia="仿宋" w:cs="仿宋"/>
              <w:spacing w:val="6"/>
              <w:sz w:val="28"/>
              <w:szCs w:val="28"/>
            </w:rPr>
            <w:t>（七）卫生健康发展保障能力不断增强</w:t>
          </w:r>
          <w:r>
            <w:rPr>
              <w:rFonts w:hint="eastAsia" w:ascii="仿宋" w:hAnsi="仿宋" w:eastAsia="仿宋" w:cs="仿宋"/>
              <w:sz w:val="28"/>
              <w:szCs w:val="28"/>
            </w:rPr>
            <w:tab/>
          </w:r>
          <w:r>
            <w:rPr>
              <w:rFonts w:hint="eastAsia" w:ascii="仿宋" w:hAnsi="仿宋" w:eastAsia="仿宋" w:cs="仿宋"/>
              <w:sz w:val="28"/>
              <w:szCs w:val="28"/>
              <w:lang w:val="en-US" w:eastAsia="zh-CN"/>
            </w:rPr>
            <w:t>7</w:t>
          </w:r>
          <w:r>
            <w:rPr>
              <w:rFonts w:hint="eastAsia" w:ascii="仿宋" w:hAnsi="仿宋" w:eastAsia="仿宋" w:cs="仿宋"/>
              <w:sz w:val="28"/>
              <w:szCs w:val="28"/>
            </w:rPr>
            <w:fldChar w:fldCharType="end"/>
          </w:r>
        </w:p>
        <w:p>
          <w:pPr>
            <w:pStyle w:val="24"/>
            <w:tabs>
              <w:tab w:val="right" w:leader="dot" w:pos="8250"/>
            </w:tabs>
            <w:spacing w:line="360" w:lineRule="auto"/>
            <w:rPr>
              <w:rFonts w:ascii="仿宋" w:hAnsi="仿宋" w:eastAsia="仿宋" w:cs="仿宋"/>
              <w:b/>
              <w:sz w:val="28"/>
              <w:szCs w:val="28"/>
            </w:rPr>
          </w:pPr>
          <w:r>
            <w:fldChar w:fldCharType="begin"/>
          </w:r>
          <w:r>
            <w:instrText xml:space="preserve"> HYPERLINK \l "_Toc14729" </w:instrText>
          </w:r>
          <w:r>
            <w:fldChar w:fldCharType="separate"/>
          </w:r>
          <w:r>
            <w:rPr>
              <w:rFonts w:hint="eastAsia" w:ascii="仿宋" w:hAnsi="仿宋" w:eastAsia="仿宋" w:cs="仿宋"/>
              <w:b/>
              <w:spacing w:val="6"/>
              <w:sz w:val="28"/>
              <w:szCs w:val="28"/>
            </w:rPr>
            <w:t>“十四五”时期发展规划</w:t>
          </w:r>
          <w:r>
            <w:rPr>
              <w:rFonts w:hint="eastAsia" w:ascii="仿宋" w:hAnsi="仿宋" w:eastAsia="仿宋" w:cs="仿宋"/>
              <w:b/>
              <w:sz w:val="28"/>
              <w:szCs w:val="28"/>
            </w:rPr>
            <w:tab/>
          </w:r>
          <w:r>
            <w:rPr>
              <w:rFonts w:hint="eastAsia" w:ascii="仿宋" w:hAnsi="仿宋" w:eastAsia="仿宋" w:cs="仿宋"/>
              <w:b/>
              <w:sz w:val="28"/>
              <w:szCs w:val="28"/>
              <w:lang w:val="en-US" w:eastAsia="zh-CN"/>
            </w:rPr>
            <w:t>8</w:t>
          </w:r>
          <w:r>
            <w:rPr>
              <w:rFonts w:hint="eastAsia" w:ascii="仿宋" w:hAnsi="仿宋" w:eastAsia="仿宋" w:cs="仿宋"/>
              <w:b/>
              <w:sz w:val="28"/>
              <w:szCs w:val="28"/>
            </w:rPr>
            <w:fldChar w:fldCharType="end"/>
          </w:r>
        </w:p>
        <w:p>
          <w:pPr>
            <w:pStyle w:val="24"/>
            <w:tabs>
              <w:tab w:val="right" w:leader="dot" w:pos="8250"/>
            </w:tabs>
            <w:spacing w:line="360" w:lineRule="auto"/>
            <w:rPr>
              <w:rFonts w:ascii="仿宋" w:hAnsi="仿宋" w:eastAsia="仿宋" w:cs="仿宋"/>
              <w:b/>
              <w:sz w:val="28"/>
              <w:szCs w:val="28"/>
            </w:rPr>
          </w:pPr>
          <w:r>
            <w:fldChar w:fldCharType="begin"/>
          </w:r>
          <w:r>
            <w:instrText xml:space="preserve"> HYPERLINK \l "_Toc31379" </w:instrText>
          </w:r>
          <w:r>
            <w:fldChar w:fldCharType="separate"/>
          </w:r>
          <w:r>
            <w:rPr>
              <w:rFonts w:hint="eastAsia" w:ascii="仿宋" w:hAnsi="仿宋" w:eastAsia="仿宋" w:cs="仿宋"/>
              <w:b/>
              <w:spacing w:val="6"/>
              <w:sz w:val="28"/>
              <w:szCs w:val="28"/>
            </w:rPr>
            <w:t>第一章 发展面临的机遇与挑战</w:t>
          </w:r>
          <w:r>
            <w:rPr>
              <w:rFonts w:hint="eastAsia" w:ascii="仿宋" w:hAnsi="仿宋" w:eastAsia="仿宋" w:cs="仿宋"/>
              <w:b/>
              <w:sz w:val="28"/>
              <w:szCs w:val="28"/>
            </w:rPr>
            <w:tab/>
          </w:r>
          <w:r>
            <w:rPr>
              <w:rFonts w:hint="eastAsia" w:ascii="仿宋" w:hAnsi="仿宋" w:eastAsia="仿宋" w:cs="仿宋"/>
              <w:b/>
              <w:sz w:val="28"/>
              <w:szCs w:val="28"/>
              <w:lang w:val="en-US" w:eastAsia="zh-CN"/>
            </w:rPr>
            <w:t>8</w:t>
          </w:r>
          <w:r>
            <w:rPr>
              <w:rFonts w:hint="eastAsia" w:ascii="仿宋" w:hAnsi="仿宋" w:eastAsia="仿宋" w:cs="仿宋"/>
              <w:b/>
              <w:sz w:val="28"/>
              <w:szCs w:val="28"/>
            </w:rPr>
            <w:fldChar w:fldCharType="end"/>
          </w:r>
        </w:p>
        <w:p>
          <w:pPr>
            <w:pStyle w:val="25"/>
            <w:tabs>
              <w:tab w:val="right" w:leader="dot" w:pos="8250"/>
            </w:tabs>
            <w:spacing w:line="360" w:lineRule="auto"/>
            <w:ind w:left="420"/>
            <w:rPr>
              <w:rFonts w:ascii="仿宋" w:hAnsi="仿宋" w:eastAsia="仿宋" w:cs="仿宋"/>
              <w:sz w:val="28"/>
              <w:szCs w:val="28"/>
            </w:rPr>
          </w:pPr>
          <w:r>
            <w:fldChar w:fldCharType="begin"/>
          </w:r>
          <w:r>
            <w:instrText xml:space="preserve"> HYPERLINK \l "_Toc18337" </w:instrText>
          </w:r>
          <w:r>
            <w:fldChar w:fldCharType="separate"/>
          </w:r>
          <w:r>
            <w:rPr>
              <w:rFonts w:hint="eastAsia" w:ascii="仿宋" w:hAnsi="仿宋" w:eastAsia="仿宋" w:cs="仿宋"/>
              <w:spacing w:val="6"/>
              <w:sz w:val="28"/>
              <w:szCs w:val="28"/>
            </w:rPr>
            <w:t>一、面临的机遇</w:t>
          </w:r>
          <w:r>
            <w:rPr>
              <w:rFonts w:hint="eastAsia" w:ascii="仿宋" w:hAnsi="仿宋" w:eastAsia="仿宋" w:cs="仿宋"/>
              <w:sz w:val="28"/>
              <w:szCs w:val="28"/>
            </w:rPr>
            <w:tab/>
          </w:r>
          <w:r>
            <w:rPr>
              <w:rFonts w:hint="eastAsia" w:ascii="仿宋" w:hAnsi="仿宋" w:eastAsia="仿宋" w:cs="仿宋"/>
              <w:sz w:val="28"/>
              <w:szCs w:val="28"/>
              <w:lang w:val="en-US" w:eastAsia="zh-CN"/>
            </w:rPr>
            <w:t>8</w:t>
          </w:r>
          <w:r>
            <w:rPr>
              <w:rFonts w:hint="eastAsia" w:ascii="仿宋" w:hAnsi="仿宋" w:eastAsia="仿宋" w:cs="仿宋"/>
              <w:sz w:val="28"/>
              <w:szCs w:val="28"/>
            </w:rPr>
            <w:fldChar w:fldCharType="end"/>
          </w:r>
        </w:p>
        <w:p>
          <w:pPr>
            <w:pStyle w:val="25"/>
            <w:tabs>
              <w:tab w:val="right" w:leader="dot" w:pos="8250"/>
            </w:tabs>
            <w:spacing w:line="360" w:lineRule="auto"/>
            <w:ind w:left="420"/>
            <w:rPr>
              <w:rFonts w:ascii="仿宋" w:hAnsi="仿宋" w:eastAsia="仿宋" w:cs="仿宋"/>
              <w:sz w:val="28"/>
              <w:szCs w:val="28"/>
            </w:rPr>
          </w:pPr>
          <w:r>
            <w:fldChar w:fldCharType="begin"/>
          </w:r>
          <w:r>
            <w:instrText xml:space="preserve"> HYPERLINK \l "_Toc25249" </w:instrText>
          </w:r>
          <w:r>
            <w:fldChar w:fldCharType="separate"/>
          </w:r>
          <w:r>
            <w:rPr>
              <w:rFonts w:hint="eastAsia" w:ascii="仿宋" w:hAnsi="仿宋" w:eastAsia="仿宋" w:cs="仿宋"/>
              <w:spacing w:val="6"/>
              <w:sz w:val="28"/>
              <w:szCs w:val="28"/>
            </w:rPr>
            <w:t>二、面临的挑战</w:t>
          </w:r>
          <w:r>
            <w:rPr>
              <w:rFonts w:hint="eastAsia" w:ascii="仿宋" w:hAnsi="仿宋" w:eastAsia="仿宋" w:cs="仿宋"/>
              <w:sz w:val="28"/>
              <w:szCs w:val="28"/>
            </w:rPr>
            <w:tab/>
          </w:r>
          <w:r>
            <w:rPr>
              <w:rFonts w:hint="eastAsia" w:ascii="仿宋" w:hAnsi="仿宋" w:eastAsia="仿宋" w:cs="仿宋"/>
              <w:sz w:val="28"/>
              <w:szCs w:val="28"/>
              <w:lang w:val="en-US" w:eastAsia="zh-CN"/>
            </w:rPr>
            <w:t>9</w:t>
          </w:r>
          <w:r>
            <w:rPr>
              <w:rFonts w:hint="eastAsia" w:ascii="仿宋" w:hAnsi="仿宋" w:eastAsia="仿宋" w:cs="仿宋"/>
              <w:sz w:val="28"/>
              <w:szCs w:val="28"/>
            </w:rPr>
            <w:fldChar w:fldCharType="end"/>
          </w:r>
        </w:p>
        <w:p>
          <w:pPr>
            <w:pStyle w:val="24"/>
            <w:tabs>
              <w:tab w:val="right" w:leader="dot" w:pos="8250"/>
            </w:tabs>
            <w:spacing w:line="360" w:lineRule="auto"/>
            <w:rPr>
              <w:rFonts w:hint="eastAsia" w:ascii="仿宋" w:hAnsi="仿宋" w:eastAsia="仿宋" w:cs="仿宋"/>
              <w:b/>
              <w:sz w:val="28"/>
              <w:szCs w:val="28"/>
              <w:lang w:val="en-US" w:eastAsia="zh-CN"/>
            </w:rPr>
          </w:pPr>
          <w:r>
            <w:fldChar w:fldCharType="begin"/>
          </w:r>
          <w:r>
            <w:instrText xml:space="preserve"> HYPERLINK \l "_Toc13077" </w:instrText>
          </w:r>
          <w:r>
            <w:fldChar w:fldCharType="separate"/>
          </w:r>
          <w:r>
            <w:rPr>
              <w:rFonts w:hint="eastAsia" w:ascii="仿宋" w:hAnsi="仿宋" w:eastAsia="仿宋" w:cs="仿宋"/>
              <w:b/>
              <w:spacing w:val="6"/>
              <w:sz w:val="28"/>
              <w:szCs w:val="28"/>
            </w:rPr>
            <w:t>第二章 规划背景、规划依据和原则</w:t>
          </w:r>
          <w:r>
            <w:rPr>
              <w:rFonts w:hint="eastAsia" w:ascii="仿宋" w:hAnsi="仿宋" w:eastAsia="仿宋" w:cs="仿宋"/>
              <w:b/>
              <w:sz w:val="28"/>
              <w:szCs w:val="28"/>
            </w:rPr>
            <w:tab/>
          </w:r>
          <w:r>
            <w:rPr>
              <w:rFonts w:hint="eastAsia" w:ascii="仿宋" w:hAnsi="仿宋" w:eastAsia="仿宋" w:cs="仿宋"/>
              <w:b/>
              <w:sz w:val="28"/>
              <w:szCs w:val="28"/>
              <w:lang w:val="en-US" w:eastAsia="zh-CN"/>
            </w:rPr>
            <w:t>1</w:t>
          </w:r>
          <w:r>
            <w:rPr>
              <w:rFonts w:hint="eastAsia" w:ascii="仿宋" w:hAnsi="仿宋" w:eastAsia="仿宋" w:cs="仿宋"/>
              <w:b/>
              <w:sz w:val="28"/>
              <w:szCs w:val="28"/>
            </w:rPr>
            <w:fldChar w:fldCharType="end"/>
          </w:r>
          <w:r>
            <w:rPr>
              <w:rFonts w:hint="eastAsia" w:ascii="仿宋" w:hAnsi="仿宋" w:eastAsia="仿宋" w:cs="仿宋"/>
              <w:b/>
              <w:sz w:val="28"/>
              <w:szCs w:val="28"/>
              <w:lang w:val="en-US" w:eastAsia="zh-CN"/>
            </w:rPr>
            <w:t>1</w:t>
          </w:r>
        </w:p>
        <w:p>
          <w:pPr>
            <w:pStyle w:val="25"/>
            <w:tabs>
              <w:tab w:val="right" w:leader="dot" w:pos="8250"/>
            </w:tabs>
            <w:spacing w:line="360" w:lineRule="auto"/>
            <w:ind w:left="420"/>
            <w:rPr>
              <w:rFonts w:hint="eastAsia" w:ascii="仿宋" w:hAnsi="仿宋" w:eastAsia="仿宋" w:cs="仿宋"/>
              <w:sz w:val="28"/>
              <w:szCs w:val="28"/>
              <w:lang w:val="en-US" w:eastAsia="zh-CN"/>
            </w:rPr>
          </w:pPr>
          <w:r>
            <w:fldChar w:fldCharType="begin"/>
          </w:r>
          <w:r>
            <w:instrText xml:space="preserve"> HYPERLINK \l "_Toc9614" </w:instrText>
          </w:r>
          <w:r>
            <w:fldChar w:fldCharType="separate"/>
          </w:r>
          <w:r>
            <w:rPr>
              <w:rFonts w:hint="eastAsia" w:ascii="仿宋" w:hAnsi="仿宋" w:eastAsia="仿宋" w:cs="仿宋"/>
              <w:spacing w:val="6"/>
              <w:sz w:val="28"/>
              <w:szCs w:val="28"/>
            </w:rPr>
            <w:t>一、规划背景</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1</w:t>
          </w:r>
        </w:p>
        <w:p>
          <w:pPr>
            <w:pStyle w:val="25"/>
            <w:tabs>
              <w:tab w:val="right" w:leader="dot" w:pos="8250"/>
            </w:tabs>
            <w:spacing w:line="360" w:lineRule="auto"/>
            <w:ind w:left="420"/>
            <w:rPr>
              <w:rFonts w:ascii="仿宋" w:hAnsi="仿宋" w:eastAsia="仿宋" w:cs="仿宋"/>
              <w:sz w:val="28"/>
              <w:szCs w:val="28"/>
            </w:rPr>
          </w:pPr>
          <w:r>
            <w:fldChar w:fldCharType="begin"/>
          </w:r>
          <w:r>
            <w:instrText xml:space="preserve"> HYPERLINK \l "_Toc2585" </w:instrText>
          </w:r>
          <w:r>
            <w:fldChar w:fldCharType="separate"/>
          </w:r>
          <w:r>
            <w:rPr>
              <w:rFonts w:hint="eastAsia" w:ascii="仿宋" w:hAnsi="仿宋" w:eastAsia="仿宋" w:cs="仿宋"/>
              <w:spacing w:val="6"/>
              <w:sz w:val="28"/>
              <w:szCs w:val="28"/>
            </w:rPr>
            <w:t>二、规划依据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_Toc2585 </w:instrText>
          </w:r>
          <w:r>
            <w:rPr>
              <w:rFonts w:hint="eastAsia" w:ascii="仿宋" w:hAnsi="仿宋" w:eastAsia="仿宋" w:cs="仿宋"/>
              <w:sz w:val="28"/>
              <w:szCs w:val="28"/>
            </w:rPr>
            <w:fldChar w:fldCharType="separate"/>
          </w:r>
          <w:r>
            <w:rPr>
              <w:rFonts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5"/>
            <w:tabs>
              <w:tab w:val="right" w:leader="dot" w:pos="8250"/>
            </w:tabs>
            <w:spacing w:line="360" w:lineRule="auto"/>
            <w:ind w:left="420"/>
            <w:rPr>
              <w:rFonts w:ascii="仿宋" w:hAnsi="仿宋" w:eastAsia="仿宋" w:cs="仿宋"/>
              <w:sz w:val="28"/>
              <w:szCs w:val="28"/>
            </w:rPr>
          </w:pPr>
          <w:r>
            <w:fldChar w:fldCharType="begin"/>
          </w:r>
          <w:r>
            <w:instrText xml:space="preserve"> HYPERLINK \l "_Toc12869" </w:instrText>
          </w:r>
          <w:r>
            <w:fldChar w:fldCharType="separate"/>
          </w:r>
          <w:r>
            <w:rPr>
              <w:rFonts w:hint="eastAsia" w:ascii="仿宋" w:hAnsi="仿宋" w:eastAsia="仿宋" w:cs="仿宋"/>
              <w:spacing w:val="6"/>
              <w:sz w:val="28"/>
              <w:szCs w:val="28"/>
            </w:rPr>
            <w:t>三、规划原则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_Toc12869 </w:instrText>
          </w:r>
          <w:r>
            <w:rPr>
              <w:rFonts w:hint="eastAsia" w:ascii="仿宋" w:hAnsi="仿宋" w:eastAsia="仿宋" w:cs="仿宋"/>
              <w:sz w:val="28"/>
              <w:szCs w:val="28"/>
            </w:rPr>
            <w:fldChar w:fldCharType="separate"/>
          </w:r>
          <w:r>
            <w:rPr>
              <w:rFonts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4"/>
            <w:tabs>
              <w:tab w:val="right" w:leader="dot" w:pos="8250"/>
            </w:tabs>
            <w:spacing w:line="360" w:lineRule="auto"/>
            <w:rPr>
              <w:rFonts w:ascii="仿宋" w:hAnsi="仿宋" w:eastAsia="仿宋" w:cs="仿宋"/>
              <w:b/>
              <w:sz w:val="28"/>
              <w:szCs w:val="28"/>
            </w:rPr>
          </w:pPr>
          <w:r>
            <w:fldChar w:fldCharType="begin"/>
          </w:r>
          <w:r>
            <w:instrText xml:space="preserve"> HYPERLINK \l "_Toc23373" </w:instrText>
          </w:r>
          <w:r>
            <w:fldChar w:fldCharType="separate"/>
          </w:r>
          <w:r>
            <w:rPr>
              <w:rFonts w:hint="eastAsia" w:ascii="仿宋" w:hAnsi="仿宋" w:eastAsia="仿宋" w:cs="仿宋"/>
              <w:b/>
              <w:spacing w:val="6"/>
              <w:sz w:val="28"/>
              <w:szCs w:val="28"/>
            </w:rPr>
            <w:t>第三章 规划指导思想和发展目标</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_Toc23373 </w:instrText>
          </w:r>
          <w:r>
            <w:rPr>
              <w:rFonts w:hint="eastAsia" w:ascii="仿宋" w:hAnsi="仿宋" w:eastAsia="仿宋" w:cs="仿宋"/>
              <w:b/>
              <w:sz w:val="28"/>
              <w:szCs w:val="28"/>
            </w:rPr>
            <w:fldChar w:fldCharType="separate"/>
          </w:r>
          <w:r>
            <w:rPr>
              <w:rFonts w:ascii="仿宋" w:hAnsi="仿宋" w:eastAsia="仿宋" w:cs="仿宋"/>
              <w:b/>
              <w:sz w:val="28"/>
              <w:szCs w:val="28"/>
            </w:rPr>
            <w:t>1</w:t>
          </w:r>
          <w:r>
            <w:rPr>
              <w:rFonts w:hint="eastAsia" w:ascii="仿宋" w:hAnsi="仿宋" w:eastAsia="仿宋" w:cs="仿宋"/>
              <w:b/>
              <w:sz w:val="28"/>
              <w:szCs w:val="28"/>
              <w:lang w:val="en-US" w:eastAsia="zh-CN"/>
            </w:rPr>
            <w:t>4</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25"/>
            <w:tabs>
              <w:tab w:val="right" w:leader="dot" w:pos="8250"/>
            </w:tabs>
            <w:spacing w:line="360" w:lineRule="auto"/>
            <w:ind w:left="420"/>
            <w:rPr>
              <w:rFonts w:ascii="仿宋" w:hAnsi="仿宋" w:eastAsia="仿宋" w:cs="仿宋"/>
              <w:sz w:val="28"/>
              <w:szCs w:val="28"/>
            </w:rPr>
          </w:pPr>
          <w:r>
            <w:fldChar w:fldCharType="begin"/>
          </w:r>
          <w:r>
            <w:instrText xml:space="preserve"> HYPERLINK \l "_Toc21184" </w:instrText>
          </w:r>
          <w:r>
            <w:fldChar w:fldCharType="separate"/>
          </w:r>
          <w:r>
            <w:rPr>
              <w:rFonts w:hint="eastAsia" w:ascii="仿宋" w:hAnsi="仿宋" w:eastAsia="仿宋" w:cs="仿宋"/>
              <w:spacing w:val="6"/>
              <w:sz w:val="28"/>
              <w:szCs w:val="28"/>
            </w:rPr>
            <w:t>一、指导思想</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_Toc21184 </w:instrText>
          </w:r>
          <w:r>
            <w:rPr>
              <w:rFonts w:hint="eastAsia" w:ascii="仿宋" w:hAnsi="仿宋" w:eastAsia="仿宋" w:cs="仿宋"/>
              <w:sz w:val="28"/>
              <w:szCs w:val="28"/>
            </w:rPr>
            <w:fldChar w:fldCharType="separate"/>
          </w:r>
          <w:r>
            <w:rPr>
              <w:rFonts w:ascii="仿宋" w:hAnsi="仿宋" w:eastAsia="仿宋" w:cs="仿宋"/>
              <w:sz w:val="28"/>
              <w:szCs w:val="28"/>
            </w:rPr>
            <w:t>1</w:t>
          </w:r>
          <w:r>
            <w:rPr>
              <w:rFonts w:hint="eastAsia" w:ascii="仿宋" w:hAnsi="仿宋" w:eastAsia="仿宋" w:cs="仿宋"/>
              <w:sz w:val="28"/>
              <w:szCs w:val="28"/>
              <w:lang w:val="en-US" w:eastAsia="zh-CN"/>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5"/>
            <w:tabs>
              <w:tab w:val="right" w:leader="dot" w:pos="8250"/>
            </w:tabs>
            <w:spacing w:line="360" w:lineRule="auto"/>
            <w:ind w:left="420"/>
            <w:rPr>
              <w:rFonts w:ascii="仿宋" w:hAnsi="仿宋" w:eastAsia="仿宋" w:cs="仿宋"/>
              <w:sz w:val="28"/>
              <w:szCs w:val="28"/>
            </w:rPr>
          </w:pPr>
          <w:r>
            <w:fldChar w:fldCharType="begin"/>
          </w:r>
          <w:r>
            <w:instrText xml:space="preserve"> HYPERLINK \l "_Toc20274" </w:instrText>
          </w:r>
          <w:r>
            <w:fldChar w:fldCharType="separate"/>
          </w:r>
          <w:r>
            <w:rPr>
              <w:rFonts w:hint="eastAsia" w:ascii="仿宋" w:hAnsi="仿宋" w:eastAsia="仿宋" w:cs="仿宋"/>
              <w:spacing w:val="6"/>
              <w:sz w:val="28"/>
              <w:szCs w:val="28"/>
            </w:rPr>
            <w:t>二、发展目标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_Toc20274 </w:instrText>
          </w:r>
          <w:r>
            <w:rPr>
              <w:rFonts w:hint="eastAsia" w:ascii="仿宋" w:hAnsi="仿宋" w:eastAsia="仿宋" w:cs="仿宋"/>
              <w:sz w:val="28"/>
              <w:szCs w:val="28"/>
            </w:rPr>
            <w:fldChar w:fldCharType="separate"/>
          </w:r>
          <w:r>
            <w:rPr>
              <w:rFonts w:ascii="仿宋" w:hAnsi="仿宋" w:eastAsia="仿宋" w:cs="仿宋"/>
              <w:sz w:val="28"/>
              <w:szCs w:val="28"/>
            </w:rPr>
            <w:t>1</w:t>
          </w:r>
          <w:r>
            <w:rPr>
              <w:rFonts w:hint="eastAsia" w:ascii="仿宋" w:hAnsi="仿宋" w:eastAsia="仿宋" w:cs="仿宋"/>
              <w:sz w:val="28"/>
              <w:szCs w:val="28"/>
              <w:lang w:val="en-US" w:eastAsia="zh-CN"/>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4"/>
            <w:tabs>
              <w:tab w:val="right" w:leader="dot" w:pos="8250"/>
            </w:tabs>
            <w:spacing w:line="360" w:lineRule="auto"/>
            <w:rPr>
              <w:rFonts w:ascii="仿宋" w:hAnsi="仿宋" w:eastAsia="仿宋" w:cs="仿宋"/>
              <w:b/>
              <w:sz w:val="28"/>
              <w:szCs w:val="28"/>
            </w:rPr>
          </w:pPr>
          <w:r>
            <w:fldChar w:fldCharType="begin"/>
          </w:r>
          <w:r>
            <w:instrText xml:space="preserve"> HYPERLINK \l "_Toc16936" </w:instrText>
          </w:r>
          <w:r>
            <w:fldChar w:fldCharType="separate"/>
          </w:r>
          <w:r>
            <w:rPr>
              <w:rFonts w:hint="eastAsia" w:ascii="仿宋" w:hAnsi="仿宋" w:eastAsia="仿宋" w:cs="仿宋"/>
              <w:b/>
              <w:spacing w:val="6"/>
              <w:sz w:val="28"/>
              <w:szCs w:val="28"/>
            </w:rPr>
            <w:t>第四章 开启新时代卫生健康新局面发展任务</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_Toc16936 </w:instrText>
          </w:r>
          <w:r>
            <w:rPr>
              <w:rFonts w:hint="eastAsia" w:ascii="仿宋" w:hAnsi="仿宋" w:eastAsia="仿宋" w:cs="仿宋"/>
              <w:b/>
              <w:sz w:val="28"/>
              <w:szCs w:val="28"/>
            </w:rPr>
            <w:fldChar w:fldCharType="separate"/>
          </w:r>
          <w:r>
            <w:rPr>
              <w:rFonts w:ascii="仿宋" w:hAnsi="仿宋" w:eastAsia="仿宋" w:cs="仿宋"/>
              <w:b/>
              <w:sz w:val="28"/>
              <w:szCs w:val="28"/>
            </w:rPr>
            <w:t>1</w:t>
          </w:r>
          <w:r>
            <w:rPr>
              <w:rFonts w:hint="eastAsia" w:ascii="仿宋" w:hAnsi="仿宋" w:eastAsia="仿宋" w:cs="仿宋"/>
              <w:b/>
              <w:sz w:val="28"/>
              <w:szCs w:val="28"/>
              <w:lang w:val="en-US" w:eastAsia="zh-CN"/>
            </w:rPr>
            <w:t>7</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25"/>
            <w:tabs>
              <w:tab w:val="right" w:leader="dot" w:pos="8250"/>
            </w:tabs>
            <w:spacing w:line="360" w:lineRule="auto"/>
            <w:ind w:left="420"/>
            <w:rPr>
              <w:rFonts w:ascii="仿宋" w:hAnsi="仿宋" w:eastAsia="仿宋" w:cs="仿宋"/>
              <w:sz w:val="28"/>
              <w:szCs w:val="28"/>
            </w:rPr>
          </w:pPr>
          <w:r>
            <w:fldChar w:fldCharType="begin"/>
          </w:r>
          <w:r>
            <w:instrText xml:space="preserve"> HYPERLINK \l "_Toc15959" </w:instrText>
          </w:r>
          <w:r>
            <w:fldChar w:fldCharType="separate"/>
          </w:r>
          <w:r>
            <w:rPr>
              <w:rFonts w:hint="eastAsia" w:ascii="仿宋" w:hAnsi="仿宋" w:eastAsia="仿宋" w:cs="仿宋"/>
              <w:spacing w:val="6"/>
              <w:sz w:val="28"/>
              <w:szCs w:val="28"/>
            </w:rPr>
            <w:t>一、筑牢公共卫生体系，加强疾病防控救治能力建设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_Toc15959 </w:instrText>
          </w:r>
          <w:r>
            <w:rPr>
              <w:rFonts w:hint="eastAsia" w:ascii="仿宋" w:hAnsi="仿宋" w:eastAsia="仿宋" w:cs="仿宋"/>
              <w:sz w:val="28"/>
              <w:szCs w:val="28"/>
            </w:rPr>
            <w:fldChar w:fldCharType="separate"/>
          </w:r>
          <w:r>
            <w:rPr>
              <w:rFonts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5"/>
            <w:tabs>
              <w:tab w:val="right" w:leader="dot" w:pos="8250"/>
            </w:tabs>
            <w:spacing w:line="360" w:lineRule="auto"/>
            <w:ind w:left="420"/>
            <w:rPr>
              <w:rFonts w:ascii="仿宋" w:hAnsi="仿宋" w:eastAsia="仿宋" w:cs="仿宋"/>
              <w:sz w:val="24"/>
              <w:szCs w:val="24"/>
            </w:rPr>
          </w:pPr>
          <w:r>
            <w:fldChar w:fldCharType="begin"/>
          </w:r>
          <w:r>
            <w:instrText xml:space="preserve"> HYPERLINK \l "_Toc12767" </w:instrText>
          </w:r>
          <w:r>
            <w:fldChar w:fldCharType="separate"/>
          </w:r>
          <w:r>
            <w:rPr>
              <w:rFonts w:hint="eastAsia" w:ascii="仿宋" w:hAnsi="仿宋" w:eastAsia="仿宋" w:cs="仿宋"/>
              <w:spacing w:val="6"/>
              <w:sz w:val="24"/>
              <w:szCs w:val="24"/>
            </w:rPr>
            <w:t>二、“夯实基层医防网底”，加大基本公共卫生服务体系建设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_Toc12767 </w:instrText>
          </w:r>
          <w:r>
            <w:rPr>
              <w:rFonts w:hint="eastAsia" w:ascii="仿宋" w:hAnsi="仿宋" w:eastAsia="仿宋" w:cs="仿宋"/>
              <w:sz w:val="24"/>
              <w:szCs w:val="24"/>
            </w:rPr>
            <w:fldChar w:fldCharType="separate"/>
          </w:r>
          <w:r>
            <w:rPr>
              <w:rFonts w:ascii="仿宋" w:hAnsi="仿宋" w:eastAsia="仿宋" w:cs="仿宋"/>
              <w:sz w:val="24"/>
              <w:szCs w:val="24"/>
            </w:rPr>
            <w:t>2</w:t>
          </w:r>
          <w:r>
            <w:rPr>
              <w:rFonts w:hint="eastAsia" w:ascii="仿宋" w:hAnsi="仿宋" w:eastAsia="仿宋" w:cs="仿宋"/>
              <w:sz w:val="24"/>
              <w:szCs w:val="24"/>
              <w:lang w:val="en-US" w:eastAsia="zh-CN"/>
            </w:rPr>
            <w:t>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5"/>
            <w:tabs>
              <w:tab w:val="right" w:leader="dot" w:pos="8250"/>
            </w:tabs>
            <w:spacing w:line="360" w:lineRule="auto"/>
            <w:ind w:left="420"/>
            <w:rPr>
              <w:rFonts w:ascii="仿宋" w:hAnsi="仿宋" w:eastAsia="仿宋" w:cs="仿宋"/>
              <w:sz w:val="24"/>
              <w:szCs w:val="24"/>
            </w:rPr>
          </w:pPr>
          <w:r>
            <w:fldChar w:fldCharType="begin"/>
          </w:r>
          <w:r>
            <w:instrText xml:space="preserve"> HYPERLINK \l "_Toc26962" </w:instrText>
          </w:r>
          <w:r>
            <w:fldChar w:fldCharType="separate"/>
          </w:r>
          <w:r>
            <w:rPr>
              <w:rFonts w:hint="eastAsia" w:ascii="仿宋" w:hAnsi="仿宋" w:eastAsia="仿宋" w:cs="仿宋"/>
              <w:spacing w:val="6"/>
              <w:sz w:val="24"/>
              <w:szCs w:val="24"/>
            </w:rPr>
            <w:t>三、 加强生命周期管理，加强妇幼卫生保健和计生体系服务建设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_Toc26962 </w:instrText>
          </w:r>
          <w:r>
            <w:rPr>
              <w:rFonts w:hint="eastAsia" w:ascii="仿宋" w:hAnsi="仿宋" w:eastAsia="仿宋" w:cs="仿宋"/>
              <w:sz w:val="24"/>
              <w:szCs w:val="24"/>
            </w:rPr>
            <w:fldChar w:fldCharType="separate"/>
          </w:r>
          <w:r>
            <w:rPr>
              <w:rFonts w:ascii="仿宋" w:hAnsi="仿宋" w:eastAsia="仿宋" w:cs="仿宋"/>
              <w:sz w:val="24"/>
              <w:szCs w:val="24"/>
            </w:rPr>
            <w:t>2</w:t>
          </w:r>
          <w:r>
            <w:rPr>
              <w:rFonts w:hint="eastAsia" w:ascii="仿宋" w:hAnsi="仿宋" w:eastAsia="仿宋" w:cs="仿宋"/>
              <w:sz w:val="24"/>
              <w:szCs w:val="24"/>
              <w:lang w:val="en-US" w:eastAsia="zh-CN"/>
            </w:rPr>
            <w:t>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5"/>
            <w:tabs>
              <w:tab w:val="right" w:leader="dot" w:pos="8250"/>
            </w:tabs>
            <w:spacing w:line="360" w:lineRule="auto"/>
            <w:ind w:left="420"/>
            <w:rPr>
              <w:rFonts w:ascii="仿宋" w:hAnsi="仿宋" w:eastAsia="仿宋" w:cs="仿宋"/>
              <w:sz w:val="28"/>
              <w:szCs w:val="28"/>
            </w:rPr>
          </w:pPr>
          <w:r>
            <w:fldChar w:fldCharType="begin"/>
          </w:r>
          <w:r>
            <w:instrText xml:space="preserve"> HYPERLINK \l "_Toc8286" </w:instrText>
          </w:r>
          <w:r>
            <w:fldChar w:fldCharType="separate"/>
          </w:r>
          <w:r>
            <w:rPr>
              <w:rFonts w:hint="eastAsia" w:ascii="仿宋" w:hAnsi="仿宋" w:eastAsia="仿宋" w:cs="仿宋"/>
              <w:spacing w:val="6"/>
              <w:sz w:val="28"/>
              <w:szCs w:val="28"/>
            </w:rPr>
            <w:t>四、优化医疗资源配置，提升医疗能力及服务水平</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_Toc8286 </w:instrText>
          </w:r>
          <w:r>
            <w:rPr>
              <w:rFonts w:hint="eastAsia" w:ascii="仿宋" w:hAnsi="仿宋" w:eastAsia="仿宋" w:cs="仿宋"/>
              <w:sz w:val="28"/>
              <w:szCs w:val="28"/>
            </w:rPr>
            <w:fldChar w:fldCharType="separate"/>
          </w:r>
          <w:r>
            <w:rPr>
              <w:rFonts w:ascii="仿宋" w:hAnsi="仿宋" w:eastAsia="仿宋" w:cs="仿宋"/>
              <w:sz w:val="28"/>
              <w:szCs w:val="28"/>
            </w:rPr>
            <w:t>2</w:t>
          </w:r>
          <w:r>
            <w:rPr>
              <w:rFonts w:hint="eastAsia" w:ascii="仿宋" w:hAnsi="仿宋" w:eastAsia="仿宋" w:cs="仿宋"/>
              <w:sz w:val="28"/>
              <w:szCs w:val="28"/>
              <w:lang w:val="en-US" w:eastAsia="zh-CN"/>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5"/>
            <w:tabs>
              <w:tab w:val="right" w:leader="dot" w:pos="8250"/>
            </w:tabs>
            <w:spacing w:line="360" w:lineRule="auto"/>
            <w:ind w:left="420"/>
            <w:rPr>
              <w:rFonts w:ascii="仿宋" w:hAnsi="仿宋" w:eastAsia="仿宋" w:cs="仿宋"/>
              <w:sz w:val="28"/>
              <w:szCs w:val="28"/>
            </w:rPr>
          </w:pPr>
          <w:r>
            <w:fldChar w:fldCharType="begin"/>
          </w:r>
          <w:r>
            <w:instrText xml:space="preserve"> HYPERLINK \l "_Toc2639" </w:instrText>
          </w:r>
          <w:r>
            <w:fldChar w:fldCharType="separate"/>
          </w:r>
          <w:r>
            <w:rPr>
              <w:rFonts w:hint="eastAsia" w:ascii="仿宋" w:hAnsi="仿宋" w:eastAsia="仿宋" w:cs="仿宋"/>
              <w:spacing w:val="6"/>
              <w:sz w:val="28"/>
              <w:szCs w:val="28"/>
            </w:rPr>
            <w:t>五、增加医疗服务供给，推进中医药事业新发展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_Toc2639 </w:instrText>
          </w:r>
          <w:r>
            <w:rPr>
              <w:rFonts w:hint="eastAsia" w:ascii="仿宋" w:hAnsi="仿宋" w:eastAsia="仿宋" w:cs="仿宋"/>
              <w:sz w:val="28"/>
              <w:szCs w:val="28"/>
            </w:rPr>
            <w:fldChar w:fldCharType="separate"/>
          </w:r>
          <w:r>
            <w:rPr>
              <w:rFonts w:ascii="仿宋" w:hAnsi="仿宋" w:eastAsia="仿宋" w:cs="仿宋"/>
              <w:sz w:val="28"/>
              <w:szCs w:val="28"/>
            </w:rPr>
            <w:t>26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5"/>
            <w:tabs>
              <w:tab w:val="right" w:leader="dot" w:pos="8250"/>
            </w:tabs>
            <w:spacing w:line="360" w:lineRule="auto"/>
            <w:ind w:left="420"/>
            <w:rPr>
              <w:rFonts w:ascii="仿宋" w:hAnsi="仿宋" w:eastAsia="仿宋" w:cs="仿宋"/>
              <w:sz w:val="28"/>
              <w:szCs w:val="28"/>
            </w:rPr>
          </w:pPr>
          <w:r>
            <w:fldChar w:fldCharType="begin"/>
          </w:r>
          <w:r>
            <w:instrText xml:space="preserve"> HYPERLINK \l "_Toc23609" </w:instrText>
          </w:r>
          <w:r>
            <w:fldChar w:fldCharType="separate"/>
          </w:r>
          <w:r>
            <w:rPr>
              <w:rFonts w:hint="eastAsia" w:ascii="仿宋" w:hAnsi="仿宋" w:eastAsia="仿宋" w:cs="仿宋"/>
              <w:spacing w:val="6"/>
              <w:sz w:val="28"/>
              <w:szCs w:val="28"/>
            </w:rPr>
            <w:t>六、推动爱国卫生运动与健康促进</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_Toc23609 </w:instrText>
          </w:r>
          <w:r>
            <w:rPr>
              <w:rFonts w:hint="eastAsia" w:ascii="仿宋" w:hAnsi="仿宋" w:eastAsia="仿宋" w:cs="仿宋"/>
              <w:sz w:val="28"/>
              <w:szCs w:val="28"/>
            </w:rPr>
            <w:fldChar w:fldCharType="separate"/>
          </w:r>
          <w:r>
            <w:rPr>
              <w:rFonts w:ascii="仿宋" w:hAnsi="仿宋" w:eastAsia="仿宋" w:cs="仿宋"/>
              <w:sz w:val="28"/>
              <w:szCs w:val="28"/>
            </w:rPr>
            <w:t>2</w:t>
          </w:r>
          <w:r>
            <w:rPr>
              <w:rFonts w:hint="eastAsia" w:ascii="仿宋" w:hAnsi="仿宋" w:eastAsia="仿宋" w:cs="仿宋"/>
              <w:sz w:val="28"/>
              <w:szCs w:val="28"/>
              <w:lang w:val="en-US" w:eastAsia="zh-CN"/>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5"/>
            <w:tabs>
              <w:tab w:val="right" w:leader="dot" w:pos="8250"/>
            </w:tabs>
            <w:spacing w:line="360" w:lineRule="auto"/>
            <w:ind w:left="420"/>
            <w:rPr>
              <w:rFonts w:ascii="仿宋" w:hAnsi="仿宋" w:eastAsia="仿宋" w:cs="仿宋"/>
              <w:sz w:val="28"/>
              <w:szCs w:val="28"/>
            </w:rPr>
          </w:pPr>
          <w:r>
            <w:fldChar w:fldCharType="begin"/>
          </w:r>
          <w:r>
            <w:instrText xml:space="preserve"> HYPERLINK \l "_Toc3738" </w:instrText>
          </w:r>
          <w:r>
            <w:fldChar w:fldCharType="separate"/>
          </w:r>
          <w:r>
            <w:rPr>
              <w:rFonts w:hint="eastAsia" w:ascii="仿宋" w:hAnsi="仿宋" w:eastAsia="仿宋" w:cs="仿宋"/>
              <w:spacing w:val="6"/>
              <w:sz w:val="28"/>
              <w:szCs w:val="28"/>
            </w:rPr>
            <w:t>七、推进医诊创新应用，发展互联网+医疗健康模式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_Toc3738 </w:instrText>
          </w:r>
          <w:r>
            <w:rPr>
              <w:rFonts w:hint="eastAsia" w:ascii="仿宋" w:hAnsi="仿宋" w:eastAsia="仿宋" w:cs="仿宋"/>
              <w:sz w:val="28"/>
              <w:szCs w:val="28"/>
            </w:rPr>
            <w:fldChar w:fldCharType="separate"/>
          </w:r>
          <w:r>
            <w:rPr>
              <w:rFonts w:ascii="仿宋" w:hAnsi="仿宋" w:eastAsia="仿宋" w:cs="仿宋"/>
              <w:sz w:val="28"/>
              <w:szCs w:val="28"/>
            </w:rPr>
            <w:t>2</w:t>
          </w:r>
          <w:r>
            <w:rPr>
              <w:rFonts w:hint="eastAsia" w:ascii="仿宋" w:hAnsi="仿宋" w:eastAsia="仿宋" w:cs="仿宋"/>
              <w:sz w:val="28"/>
              <w:szCs w:val="28"/>
              <w:lang w:val="en-US" w:eastAsia="zh-CN"/>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5"/>
            <w:tabs>
              <w:tab w:val="right" w:leader="dot" w:pos="8250"/>
            </w:tabs>
            <w:spacing w:line="360" w:lineRule="auto"/>
            <w:ind w:left="420"/>
            <w:rPr>
              <w:rFonts w:ascii="仿宋" w:hAnsi="仿宋" w:eastAsia="仿宋" w:cs="仿宋"/>
              <w:sz w:val="28"/>
              <w:szCs w:val="28"/>
            </w:rPr>
          </w:pPr>
          <w:r>
            <w:fldChar w:fldCharType="begin"/>
          </w:r>
          <w:r>
            <w:instrText xml:space="preserve"> HYPERLINK \l "_Toc15137" </w:instrText>
          </w:r>
          <w:r>
            <w:fldChar w:fldCharType="separate"/>
          </w:r>
          <w:r>
            <w:rPr>
              <w:rFonts w:hint="eastAsia" w:ascii="仿宋" w:hAnsi="仿宋" w:eastAsia="仿宋" w:cs="仿宋"/>
              <w:spacing w:val="6"/>
              <w:sz w:val="28"/>
              <w:szCs w:val="28"/>
            </w:rPr>
            <w:t>八、推进健康服务新模式,加快康养产业新发展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_Toc15137 </w:instrText>
          </w:r>
          <w:r>
            <w:rPr>
              <w:rFonts w:hint="eastAsia" w:ascii="仿宋" w:hAnsi="仿宋" w:eastAsia="仿宋" w:cs="仿宋"/>
              <w:sz w:val="28"/>
              <w:szCs w:val="28"/>
            </w:rPr>
            <w:fldChar w:fldCharType="separate"/>
          </w:r>
          <w:r>
            <w:rPr>
              <w:rFonts w:ascii="仿宋" w:hAnsi="仿宋" w:eastAsia="仿宋" w:cs="仿宋"/>
              <w:sz w:val="28"/>
              <w:szCs w:val="28"/>
            </w:rPr>
            <w:t>2</w:t>
          </w:r>
          <w:r>
            <w:rPr>
              <w:rFonts w:hint="eastAsia" w:ascii="仿宋" w:hAnsi="仿宋" w:eastAsia="仿宋" w:cs="仿宋"/>
              <w:sz w:val="28"/>
              <w:szCs w:val="28"/>
              <w:lang w:val="en-US" w:eastAsia="zh-CN"/>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5"/>
            <w:tabs>
              <w:tab w:val="right" w:leader="dot" w:pos="8250"/>
            </w:tabs>
            <w:spacing w:line="360" w:lineRule="auto"/>
            <w:ind w:left="420"/>
            <w:rPr>
              <w:rFonts w:hint="eastAsia" w:ascii="仿宋" w:hAnsi="仿宋" w:eastAsia="仿宋" w:cs="仿宋"/>
              <w:sz w:val="28"/>
              <w:szCs w:val="28"/>
              <w:lang w:val="en-US" w:eastAsia="zh-CN"/>
            </w:rPr>
          </w:pPr>
          <w:r>
            <w:fldChar w:fldCharType="begin"/>
          </w:r>
          <w:r>
            <w:instrText xml:space="preserve"> HYPERLINK \l "_Toc21258" </w:instrText>
          </w:r>
          <w:r>
            <w:fldChar w:fldCharType="separate"/>
          </w:r>
          <w:r>
            <w:rPr>
              <w:rFonts w:hint="eastAsia" w:ascii="仿宋" w:hAnsi="仿宋" w:eastAsia="仿宋" w:cs="仿宋"/>
              <w:spacing w:val="6"/>
              <w:sz w:val="28"/>
              <w:szCs w:val="28"/>
            </w:rPr>
            <w:t>九、提升防治支撑能力，加强人才队伍建设</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9</w:t>
          </w:r>
        </w:p>
        <w:p>
          <w:pPr>
            <w:pStyle w:val="25"/>
            <w:tabs>
              <w:tab w:val="right" w:leader="dot" w:pos="8250"/>
            </w:tabs>
            <w:spacing w:line="360" w:lineRule="auto"/>
            <w:ind w:left="420"/>
            <w:rPr>
              <w:rFonts w:ascii="仿宋" w:hAnsi="仿宋" w:eastAsia="仿宋" w:cs="仿宋"/>
              <w:sz w:val="28"/>
              <w:szCs w:val="28"/>
            </w:rPr>
          </w:pPr>
          <w:r>
            <w:fldChar w:fldCharType="begin"/>
          </w:r>
          <w:r>
            <w:instrText xml:space="preserve"> HYPERLINK \l "_Toc2452" </w:instrText>
          </w:r>
          <w:r>
            <w:fldChar w:fldCharType="separate"/>
          </w:r>
          <w:r>
            <w:rPr>
              <w:rFonts w:hint="eastAsia" w:ascii="仿宋" w:hAnsi="仿宋" w:eastAsia="仿宋" w:cs="仿宋"/>
              <w:spacing w:val="6"/>
              <w:sz w:val="28"/>
              <w:szCs w:val="28"/>
            </w:rPr>
            <w:t>十、加强综合监督和保障机制建立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_Toc2452 </w:instrText>
          </w:r>
          <w:r>
            <w:rPr>
              <w:rFonts w:hint="eastAsia" w:ascii="仿宋" w:hAnsi="仿宋" w:eastAsia="仿宋" w:cs="仿宋"/>
              <w:sz w:val="28"/>
              <w:szCs w:val="28"/>
            </w:rPr>
            <w:fldChar w:fldCharType="separate"/>
          </w:r>
          <w:r>
            <w:rPr>
              <w:rFonts w:ascii="仿宋" w:hAnsi="仿宋" w:eastAsia="仿宋" w:cs="仿宋"/>
              <w:sz w:val="28"/>
              <w:szCs w:val="28"/>
            </w:rPr>
            <w:t>3</w:t>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5"/>
            <w:tabs>
              <w:tab w:val="right" w:leader="dot" w:pos="8250"/>
            </w:tabs>
            <w:spacing w:line="360" w:lineRule="auto"/>
            <w:ind w:left="420"/>
            <w:rPr>
              <w:rFonts w:hint="eastAsia" w:ascii="仿宋" w:hAnsi="仿宋" w:eastAsia="仿宋" w:cs="仿宋"/>
              <w:sz w:val="28"/>
              <w:szCs w:val="28"/>
              <w:lang w:val="en-US" w:eastAsia="zh-CN"/>
            </w:rPr>
          </w:pPr>
          <w:r>
            <w:fldChar w:fldCharType="begin"/>
          </w:r>
          <w:r>
            <w:instrText xml:space="preserve"> HYPERLINK \l "_Toc20883" </w:instrText>
          </w:r>
          <w:r>
            <w:fldChar w:fldCharType="separate"/>
          </w:r>
          <w:r>
            <w:rPr>
              <w:rFonts w:hint="eastAsia" w:ascii="仿宋" w:hAnsi="仿宋" w:eastAsia="仿宋" w:cs="仿宋"/>
              <w:spacing w:val="6"/>
              <w:sz w:val="28"/>
              <w:szCs w:val="28"/>
            </w:rPr>
            <w:t>十一、深化医改新挑战，持续推进紧密型医共体建设</w:t>
          </w:r>
          <w:r>
            <w:rPr>
              <w:rFonts w:hint="eastAsia" w:ascii="仿宋" w:hAnsi="仿宋" w:eastAsia="仿宋" w:cs="仿宋"/>
              <w:sz w:val="28"/>
              <w:szCs w:val="28"/>
            </w:rPr>
            <w:tab/>
          </w:r>
          <w:r>
            <w:rPr>
              <w:rFonts w:hint="eastAsia" w:ascii="仿宋" w:hAnsi="仿宋" w:eastAsia="仿宋" w:cs="仿宋"/>
              <w:sz w:val="28"/>
              <w:szCs w:val="28"/>
              <w:lang w:val="en-US" w:eastAsia="zh-CN"/>
            </w:rPr>
            <w:t>3</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2</w:t>
          </w:r>
        </w:p>
        <w:p>
          <w:pPr>
            <w:pStyle w:val="24"/>
            <w:tabs>
              <w:tab w:val="right" w:leader="dot" w:pos="8250"/>
            </w:tabs>
            <w:spacing w:line="360" w:lineRule="auto"/>
            <w:rPr>
              <w:rFonts w:ascii="仿宋" w:hAnsi="仿宋" w:eastAsia="仿宋" w:cs="仿宋"/>
              <w:b/>
              <w:sz w:val="28"/>
              <w:szCs w:val="28"/>
            </w:rPr>
          </w:pPr>
          <w:r>
            <w:fldChar w:fldCharType="begin"/>
          </w:r>
          <w:r>
            <w:instrText xml:space="preserve"> HYPERLINK \l "_Toc17268" </w:instrText>
          </w:r>
          <w:r>
            <w:fldChar w:fldCharType="separate"/>
          </w:r>
          <w:r>
            <w:rPr>
              <w:rFonts w:hint="eastAsia" w:ascii="仿宋" w:hAnsi="仿宋" w:eastAsia="仿宋" w:cs="仿宋"/>
              <w:b/>
              <w:spacing w:val="6"/>
              <w:sz w:val="28"/>
              <w:szCs w:val="28"/>
            </w:rPr>
            <w:t>第五章 规划保障</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_Toc17268 </w:instrText>
          </w:r>
          <w:r>
            <w:rPr>
              <w:rFonts w:hint="eastAsia" w:ascii="仿宋" w:hAnsi="仿宋" w:eastAsia="仿宋" w:cs="仿宋"/>
              <w:b/>
              <w:sz w:val="28"/>
              <w:szCs w:val="28"/>
            </w:rPr>
            <w:fldChar w:fldCharType="separate"/>
          </w:r>
          <w:r>
            <w:rPr>
              <w:rFonts w:ascii="仿宋" w:hAnsi="仿宋" w:eastAsia="仿宋" w:cs="仿宋"/>
              <w:b/>
              <w:sz w:val="28"/>
              <w:szCs w:val="28"/>
            </w:rPr>
            <w:t>34</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25"/>
            <w:tabs>
              <w:tab w:val="right" w:leader="dot" w:pos="8250"/>
            </w:tabs>
            <w:spacing w:line="360" w:lineRule="auto"/>
            <w:ind w:left="420"/>
            <w:rPr>
              <w:rFonts w:hint="eastAsia" w:ascii="仿宋" w:hAnsi="仿宋" w:eastAsia="仿宋" w:cs="仿宋"/>
              <w:sz w:val="28"/>
              <w:szCs w:val="28"/>
              <w:lang w:val="en-US" w:eastAsia="zh-CN"/>
            </w:rPr>
          </w:pPr>
          <w:r>
            <w:fldChar w:fldCharType="begin"/>
          </w:r>
          <w:r>
            <w:instrText xml:space="preserve"> HYPERLINK \l "_Toc10792" </w:instrText>
          </w:r>
          <w:r>
            <w:fldChar w:fldCharType="separate"/>
          </w:r>
          <w:r>
            <w:rPr>
              <w:rFonts w:hint="eastAsia" w:ascii="仿宋" w:hAnsi="仿宋" w:eastAsia="仿宋" w:cs="仿宋"/>
              <w:spacing w:val="6"/>
              <w:sz w:val="28"/>
              <w:szCs w:val="28"/>
            </w:rPr>
            <w:t>一、加强组织领导</w:t>
          </w:r>
          <w:r>
            <w:rPr>
              <w:rFonts w:hint="eastAsia" w:ascii="仿宋" w:hAnsi="仿宋" w:eastAsia="仿宋" w:cs="仿宋"/>
              <w:sz w:val="28"/>
              <w:szCs w:val="28"/>
            </w:rPr>
            <w:tab/>
          </w:r>
          <w:r>
            <w:rPr>
              <w:rFonts w:hint="eastAsia" w:ascii="仿宋" w:hAnsi="仿宋" w:eastAsia="仿宋" w:cs="仿宋"/>
              <w:sz w:val="28"/>
              <w:szCs w:val="28"/>
              <w:lang w:val="en-US" w:eastAsia="zh-CN"/>
            </w:rPr>
            <w:t>3</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5</w:t>
          </w:r>
        </w:p>
        <w:p>
          <w:pPr>
            <w:pStyle w:val="25"/>
            <w:tabs>
              <w:tab w:val="right" w:leader="dot" w:pos="8250"/>
            </w:tabs>
            <w:spacing w:line="360" w:lineRule="auto"/>
            <w:ind w:left="420"/>
            <w:rPr>
              <w:rFonts w:ascii="仿宋" w:hAnsi="仿宋" w:eastAsia="仿宋" w:cs="仿宋"/>
              <w:sz w:val="28"/>
              <w:szCs w:val="28"/>
            </w:rPr>
          </w:pPr>
          <w:r>
            <w:fldChar w:fldCharType="begin"/>
          </w:r>
          <w:r>
            <w:instrText xml:space="preserve"> HYPERLINK \l "_Toc18939" </w:instrText>
          </w:r>
          <w:r>
            <w:fldChar w:fldCharType="separate"/>
          </w:r>
          <w:r>
            <w:rPr>
              <w:rFonts w:hint="eastAsia" w:ascii="仿宋" w:hAnsi="仿宋" w:eastAsia="仿宋" w:cs="仿宋"/>
              <w:spacing w:val="6"/>
              <w:sz w:val="28"/>
              <w:szCs w:val="28"/>
            </w:rPr>
            <w:t>二、加强部门协调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_Toc18939 </w:instrText>
          </w:r>
          <w:r>
            <w:rPr>
              <w:rFonts w:hint="eastAsia" w:ascii="仿宋" w:hAnsi="仿宋" w:eastAsia="仿宋" w:cs="仿宋"/>
              <w:sz w:val="28"/>
              <w:szCs w:val="28"/>
            </w:rPr>
            <w:fldChar w:fldCharType="separate"/>
          </w:r>
          <w:r>
            <w:rPr>
              <w:rFonts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5"/>
            <w:tabs>
              <w:tab w:val="right" w:leader="dot" w:pos="8250"/>
            </w:tabs>
            <w:spacing w:line="360" w:lineRule="auto"/>
            <w:ind w:left="420"/>
            <w:rPr>
              <w:rFonts w:ascii="仿宋" w:hAnsi="仿宋" w:eastAsia="仿宋" w:cs="仿宋"/>
              <w:sz w:val="28"/>
              <w:szCs w:val="28"/>
            </w:rPr>
          </w:pPr>
          <w:r>
            <w:fldChar w:fldCharType="begin"/>
          </w:r>
          <w:r>
            <w:instrText xml:space="preserve"> HYPERLINK \l "_Toc29588" </w:instrText>
          </w:r>
          <w:r>
            <w:fldChar w:fldCharType="separate"/>
          </w:r>
          <w:r>
            <w:rPr>
              <w:rFonts w:hint="eastAsia" w:ascii="仿宋" w:hAnsi="仿宋" w:eastAsia="仿宋" w:cs="仿宋"/>
              <w:spacing w:val="6"/>
              <w:sz w:val="28"/>
              <w:szCs w:val="28"/>
            </w:rPr>
            <w:t>三、完善投入机制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_Toc29588 </w:instrText>
          </w:r>
          <w:r>
            <w:rPr>
              <w:rFonts w:hint="eastAsia" w:ascii="仿宋" w:hAnsi="仿宋" w:eastAsia="仿宋" w:cs="仿宋"/>
              <w:sz w:val="28"/>
              <w:szCs w:val="28"/>
            </w:rPr>
            <w:fldChar w:fldCharType="separate"/>
          </w:r>
          <w:r>
            <w:rPr>
              <w:rFonts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5"/>
            <w:tabs>
              <w:tab w:val="right" w:leader="dot" w:pos="8250"/>
            </w:tabs>
            <w:spacing w:line="360" w:lineRule="auto"/>
            <w:ind w:left="420"/>
            <w:rPr>
              <w:rFonts w:ascii="仿宋" w:hAnsi="仿宋" w:eastAsia="仿宋" w:cs="仿宋"/>
              <w:sz w:val="28"/>
              <w:szCs w:val="28"/>
            </w:rPr>
          </w:pPr>
          <w:r>
            <w:fldChar w:fldCharType="begin"/>
          </w:r>
          <w:r>
            <w:instrText xml:space="preserve"> HYPERLINK \l "_Toc25086" </w:instrText>
          </w:r>
          <w:r>
            <w:fldChar w:fldCharType="separate"/>
          </w:r>
          <w:r>
            <w:rPr>
              <w:rFonts w:hint="eastAsia" w:ascii="仿宋" w:hAnsi="仿宋" w:eastAsia="仿宋" w:cs="仿宋"/>
              <w:spacing w:val="6"/>
              <w:sz w:val="28"/>
              <w:szCs w:val="28"/>
            </w:rPr>
            <w:t>四、加强监测评估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_Toc25086 </w:instrText>
          </w:r>
          <w:r>
            <w:rPr>
              <w:rFonts w:hint="eastAsia" w:ascii="仿宋" w:hAnsi="仿宋" w:eastAsia="仿宋" w:cs="仿宋"/>
              <w:sz w:val="28"/>
              <w:szCs w:val="28"/>
            </w:rPr>
            <w:fldChar w:fldCharType="separate"/>
          </w:r>
          <w:r>
            <w:rPr>
              <w:rFonts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5"/>
            <w:tabs>
              <w:tab w:val="right" w:leader="dot" w:pos="8250"/>
            </w:tabs>
            <w:spacing w:line="360" w:lineRule="auto"/>
            <w:ind w:left="420"/>
            <w:rPr>
              <w:rFonts w:hint="eastAsia" w:ascii="仿宋" w:hAnsi="仿宋" w:eastAsia="仿宋" w:cs="仿宋"/>
              <w:sz w:val="28"/>
              <w:szCs w:val="28"/>
              <w:lang w:val="en-US" w:eastAsia="zh-CN"/>
            </w:rPr>
          </w:pPr>
          <w:r>
            <w:fldChar w:fldCharType="begin"/>
          </w:r>
          <w:r>
            <w:instrText xml:space="preserve"> HYPERLINK \l "_Toc30284" </w:instrText>
          </w:r>
          <w:r>
            <w:fldChar w:fldCharType="separate"/>
          </w:r>
          <w:r>
            <w:rPr>
              <w:rFonts w:hint="eastAsia" w:ascii="仿宋" w:hAnsi="仿宋" w:eastAsia="仿宋" w:cs="仿宋"/>
              <w:spacing w:val="6"/>
              <w:sz w:val="28"/>
              <w:szCs w:val="28"/>
            </w:rPr>
            <w:t>五、加强环境营造</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_Toc30284 </w:instrText>
          </w:r>
          <w:r>
            <w:rPr>
              <w:rFonts w:hint="eastAsia" w:ascii="仿宋" w:hAnsi="仿宋" w:eastAsia="仿宋" w:cs="仿宋"/>
              <w:sz w:val="28"/>
              <w:szCs w:val="28"/>
            </w:rPr>
            <w:fldChar w:fldCharType="separate"/>
          </w:r>
          <w:r>
            <w:rPr>
              <w:rFonts w:ascii="仿宋" w:hAnsi="仿宋" w:eastAsia="仿宋" w:cs="仿宋"/>
              <w:sz w:val="28"/>
              <w:szCs w:val="28"/>
            </w:rPr>
            <w:t>3</w:t>
          </w:r>
          <w:r>
            <w:rPr>
              <w:rFonts w:hint="eastAsia" w:ascii="仿宋" w:hAnsi="仿宋" w:eastAsia="仿宋" w:cs="仿宋"/>
              <w:sz w:val="28"/>
              <w:szCs w:val="28"/>
              <w:lang w:val="en-US" w:eastAsia="zh-CN"/>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spacing w:line="360" w:lineRule="auto"/>
            <w:rPr>
              <w:rFonts w:ascii="仿宋" w:hAnsi="仿宋" w:eastAsia="仿宋" w:cs="仿宋"/>
            </w:rPr>
            <w:sectPr>
              <w:headerReference r:id="rId4" w:type="first"/>
              <w:footerReference r:id="rId6" w:type="first"/>
              <w:headerReference r:id="rId3" w:type="default"/>
              <w:footerReference r:id="rId5" w:type="default"/>
              <w:pgSz w:w="11850" w:h="16783"/>
              <w:pgMar w:top="1440" w:right="1800" w:bottom="1440" w:left="1800" w:header="1020" w:footer="1077" w:gutter="0"/>
              <w:pgNumType w:fmt="upperRoman" w:start="1"/>
              <w:cols w:space="425" w:num="1"/>
              <w:titlePg/>
              <w:docGrid w:type="lines" w:linePitch="312" w:charSpace="0"/>
            </w:sectPr>
          </w:pPr>
          <w:r>
            <w:rPr>
              <w:rFonts w:hint="eastAsia" w:ascii="仿宋" w:hAnsi="仿宋" w:eastAsia="仿宋" w:cs="仿宋"/>
              <w:b/>
              <w:sz w:val="28"/>
              <w:szCs w:val="28"/>
            </w:rPr>
            <w:fldChar w:fldCharType="end"/>
          </w:r>
        </w:p>
      </w:sdtContent>
    </w:sdt>
    <w:p>
      <w:pPr>
        <w:spacing w:beforeLines="50" w:afterLines="50" w:line="500" w:lineRule="exact"/>
        <w:jc w:val="both"/>
        <w:outlineLvl w:val="0"/>
        <w:rPr>
          <w:rFonts w:hint="eastAsia" w:ascii="仿宋" w:hAnsi="仿宋" w:eastAsia="仿宋" w:cs="仿宋"/>
          <w:b/>
          <w:spacing w:val="6"/>
          <w:sz w:val="32"/>
          <w:szCs w:val="32"/>
        </w:rPr>
      </w:pPr>
      <w:bookmarkStart w:id="0" w:name="_Toc57878404"/>
      <w:bookmarkStart w:id="1" w:name="_Toc21446"/>
    </w:p>
    <w:p>
      <w:pPr>
        <w:jc w:val="center"/>
        <w:rPr>
          <w:rFonts w:hint="eastAsia"/>
          <w:sz w:val="44"/>
          <w:szCs w:val="44"/>
          <w:lang w:eastAsia="zh-CN"/>
        </w:rPr>
      </w:pPr>
      <w:r>
        <w:rPr>
          <w:rFonts w:hint="eastAsia"/>
          <w:sz w:val="44"/>
          <w:szCs w:val="44"/>
          <w:lang w:eastAsia="zh-CN"/>
        </w:rPr>
        <w:t>前言</w:t>
      </w:r>
    </w:p>
    <w:p>
      <w:pPr>
        <w:keepNext w:val="0"/>
        <w:keepLines w:val="0"/>
        <w:pageBreakBefore w:val="0"/>
        <w:widowControl w:val="0"/>
        <w:kinsoku/>
        <w:wordWrap/>
        <w:overflowPunct/>
        <w:topLinePunct w:val="0"/>
        <w:autoSpaceDE/>
        <w:autoSpaceDN/>
        <w:bidi w:val="0"/>
        <w:adjustRightInd/>
        <w:snapToGrid/>
        <w:spacing w:line="580" w:lineRule="exact"/>
        <w:ind w:left="0" w:firstLine="600" w:firstLineChars="200"/>
        <w:jc w:val="both"/>
        <w:textAlignment w:val="auto"/>
        <w:rPr>
          <w:rFonts w:hint="eastAsia"/>
          <w:sz w:val="30"/>
          <w:szCs w:val="30"/>
          <w:lang w:eastAsia="zh-CN"/>
        </w:rPr>
      </w:pPr>
      <w:r>
        <w:rPr>
          <w:rFonts w:hint="eastAsia"/>
          <w:sz w:val="30"/>
          <w:szCs w:val="30"/>
          <w:lang w:eastAsia="zh-CN"/>
        </w:rPr>
        <w:t>“十四五”时期是由全面建成小康社会向基本实现社会主义现代化迈进的关键时期，是迈向全面建设社会主义现代化国家新征程的开局期，也是我市实现高质量发展的关键时期。紧紧围绕“四个全面”的战略布局，坚持“五位一体”总体布局，立足新发展阶段，贯彻新发展理念，编制和实施《漳平市“十四五”卫生健康事业发展专项规划》（以下简称《规划》），对于构建强大公共卫生体系，提升健康服务质量与水平，满足人民群众对健康服务的多样化需求，不断提高居民健康水平，具有重要意义。</w:t>
      </w:r>
    </w:p>
    <w:p>
      <w:pPr>
        <w:keepNext w:val="0"/>
        <w:keepLines w:val="0"/>
        <w:pageBreakBefore w:val="0"/>
        <w:widowControl w:val="0"/>
        <w:kinsoku/>
        <w:wordWrap/>
        <w:overflowPunct/>
        <w:topLinePunct w:val="0"/>
        <w:autoSpaceDE/>
        <w:autoSpaceDN/>
        <w:bidi w:val="0"/>
        <w:adjustRightInd/>
        <w:snapToGrid/>
        <w:spacing w:line="580" w:lineRule="exact"/>
        <w:ind w:left="0" w:firstLine="600" w:firstLineChars="200"/>
        <w:jc w:val="both"/>
        <w:textAlignment w:val="auto"/>
        <w:rPr>
          <w:rFonts w:hint="eastAsia"/>
          <w:sz w:val="30"/>
          <w:szCs w:val="30"/>
          <w:lang w:val="en-US" w:eastAsia="zh-CN"/>
        </w:rPr>
      </w:pPr>
      <w:r>
        <w:rPr>
          <w:rFonts w:hint="eastAsia"/>
          <w:sz w:val="30"/>
          <w:szCs w:val="30"/>
          <w:lang w:eastAsia="zh-CN"/>
        </w:rPr>
        <w:t>本《规划》贯彻落实习近平总书记来闽考察重要讲话精神，以适应经济社会发展新形势，满足人民群众日益增长的健康需求，按照“健康中国”建设总体部署，根据《关于实施健康中国行动的意见》《健康漳平</w:t>
      </w:r>
      <w:r>
        <w:rPr>
          <w:rFonts w:hint="eastAsia"/>
          <w:sz w:val="30"/>
          <w:szCs w:val="30"/>
          <w:lang w:val="en-US" w:eastAsia="zh-CN"/>
        </w:rPr>
        <w:t>2030行动规划》《关于印发健康漳平行动任务分工实施方案的通知》，结合我市卫生健康工作实际，制定本《规划》。本《规划》是“十四五”时期推进卫生健康事业发展的行动纲领，是制定公共健康政策、安排重大投资项目、引导社会力量发展卫生健康相关事业的重要依据。</w:t>
      </w:r>
    </w:p>
    <w:p>
      <w:pPr>
        <w:keepNext w:val="0"/>
        <w:keepLines w:val="0"/>
        <w:pageBreakBefore w:val="0"/>
        <w:widowControl w:val="0"/>
        <w:kinsoku/>
        <w:wordWrap/>
        <w:overflowPunct/>
        <w:topLinePunct w:val="0"/>
        <w:autoSpaceDE/>
        <w:autoSpaceDN/>
        <w:bidi w:val="0"/>
        <w:adjustRightInd/>
        <w:snapToGrid/>
        <w:spacing w:line="580" w:lineRule="exact"/>
        <w:ind w:left="0" w:firstLine="600" w:firstLineChars="200"/>
        <w:jc w:val="both"/>
        <w:textAlignment w:val="auto"/>
        <w:rPr>
          <w:rFonts w:hint="eastAsia"/>
          <w:sz w:val="30"/>
          <w:szCs w:val="30"/>
          <w:lang w:val="en-US" w:eastAsia="zh-CN"/>
        </w:rPr>
      </w:pPr>
      <w:r>
        <w:rPr>
          <w:rFonts w:hint="eastAsia"/>
          <w:sz w:val="30"/>
          <w:szCs w:val="30"/>
          <w:lang w:val="en-US" w:eastAsia="zh-CN"/>
        </w:rPr>
        <w:t>本《规划》基期为2020年，规划期为2021—2025年。</w:t>
      </w:r>
    </w:p>
    <w:p>
      <w:pPr>
        <w:keepNext w:val="0"/>
        <w:keepLines w:val="0"/>
        <w:pageBreakBefore w:val="0"/>
        <w:widowControl w:val="0"/>
        <w:kinsoku/>
        <w:wordWrap/>
        <w:overflowPunct/>
        <w:topLinePunct w:val="0"/>
        <w:autoSpaceDE/>
        <w:autoSpaceDN/>
        <w:bidi w:val="0"/>
        <w:adjustRightInd/>
        <w:snapToGrid/>
        <w:spacing w:line="580" w:lineRule="exact"/>
        <w:ind w:left="0" w:firstLine="600" w:firstLineChars="200"/>
        <w:jc w:val="both"/>
        <w:textAlignment w:val="auto"/>
        <w:rPr>
          <w:rFonts w:hint="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firstLine="600" w:firstLineChars="200"/>
        <w:jc w:val="both"/>
        <w:textAlignment w:val="auto"/>
        <w:rPr>
          <w:rFonts w:hint="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firstLine="600" w:firstLineChars="200"/>
        <w:jc w:val="both"/>
        <w:textAlignment w:val="auto"/>
        <w:rPr>
          <w:rFonts w:hint="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firstLine="600" w:firstLineChars="200"/>
        <w:jc w:val="both"/>
        <w:textAlignment w:val="auto"/>
        <w:rPr>
          <w:rFonts w:hint="eastAsia"/>
          <w:sz w:val="30"/>
          <w:szCs w:val="30"/>
          <w:lang w:val="en-US" w:eastAsia="zh-CN"/>
        </w:rPr>
      </w:pPr>
    </w:p>
    <w:p>
      <w:pPr>
        <w:numPr>
          <w:ilvl w:val="0"/>
          <w:numId w:val="0"/>
        </w:numPr>
        <w:spacing w:beforeLines="50" w:afterLines="50" w:line="500" w:lineRule="exact"/>
        <w:jc w:val="center"/>
        <w:outlineLvl w:val="0"/>
        <w:rPr>
          <w:rFonts w:hint="default" w:ascii="仿宋" w:hAnsi="仿宋" w:eastAsia="仿宋" w:cs="仿宋"/>
          <w:b/>
          <w:spacing w:val="6"/>
          <w:sz w:val="32"/>
          <w:szCs w:val="32"/>
          <w:lang w:val="en-US" w:eastAsia="zh-CN"/>
        </w:rPr>
      </w:pPr>
      <w:r>
        <w:rPr>
          <w:rFonts w:hint="eastAsia" w:ascii="仿宋" w:hAnsi="仿宋" w:eastAsia="仿宋" w:cs="仿宋"/>
          <w:b/>
          <w:spacing w:val="6"/>
          <w:sz w:val="32"/>
          <w:szCs w:val="32"/>
          <w:lang w:val="en-US" w:eastAsia="zh-CN"/>
        </w:rPr>
        <w:t>一、“十三五”时期主要成就</w:t>
      </w:r>
    </w:p>
    <w:bookmarkEnd w:id="0"/>
    <w:bookmarkEnd w:id="1"/>
    <w:p>
      <w:pPr>
        <w:numPr>
          <w:ilvl w:val="0"/>
          <w:numId w:val="1"/>
        </w:numPr>
        <w:spacing w:beforeLines="50" w:afterLines="50" w:line="500" w:lineRule="exact"/>
        <w:ind w:firstLine="667" w:firstLineChars="200"/>
        <w:outlineLvl w:val="1"/>
        <w:rPr>
          <w:rFonts w:ascii="仿宋" w:hAnsi="仿宋" w:eastAsia="仿宋" w:cs="仿宋"/>
          <w:b/>
          <w:spacing w:val="6"/>
          <w:sz w:val="32"/>
          <w:szCs w:val="32"/>
        </w:rPr>
      </w:pPr>
      <w:bookmarkStart w:id="2" w:name="_Toc11391"/>
      <w:bookmarkStart w:id="3" w:name="_Toc57878406"/>
      <w:r>
        <w:rPr>
          <w:rFonts w:hint="eastAsia" w:ascii="仿宋" w:hAnsi="仿宋" w:eastAsia="仿宋" w:cs="仿宋"/>
          <w:b/>
          <w:spacing w:val="6"/>
          <w:sz w:val="32"/>
          <w:szCs w:val="32"/>
        </w:rPr>
        <w:t>医药卫生体制改革取得新突破</w:t>
      </w:r>
      <w:bookmarkEnd w:id="2"/>
      <w:bookmarkEnd w:id="3"/>
    </w:p>
    <w:p>
      <w:pPr>
        <w:spacing w:line="500" w:lineRule="exact"/>
        <w:ind w:firstLine="664" w:firstLineChars="200"/>
        <w:rPr>
          <w:rFonts w:ascii="仿宋" w:hAnsi="仿宋" w:eastAsia="仿宋" w:cs="仿宋"/>
          <w:spacing w:val="6"/>
          <w:sz w:val="32"/>
          <w:szCs w:val="32"/>
        </w:rPr>
      </w:pPr>
      <w:r>
        <w:rPr>
          <w:rFonts w:hint="eastAsia" w:ascii="仿宋" w:hAnsi="仿宋" w:eastAsia="仿宋" w:cs="仿宋"/>
          <w:bCs/>
          <w:spacing w:val="6"/>
          <w:sz w:val="32"/>
          <w:szCs w:val="32"/>
        </w:rPr>
        <w:t>1.紧密型医共体建设持续推进。</w:t>
      </w:r>
      <w:r>
        <w:rPr>
          <w:rFonts w:hint="eastAsia" w:ascii="仿宋" w:hAnsi="仿宋" w:eastAsia="仿宋" w:cs="仿宋"/>
          <w:spacing w:val="6"/>
          <w:sz w:val="32"/>
          <w:szCs w:val="32"/>
        </w:rPr>
        <w:t>“十三五”期间，始终坚持以为人民健康服务的方向，紧紧围绕深化医疗卫生体制改革，深入开展紧密型医共体“八统一”运行管理机制，完善市总医院内部管理机制，完成城区医疗资源整合，推进漳平市总医院进入实质性运作，2018年漳平市总院筹建并挂牌运行，各乡镇卫生院为分院。整合漳平市第二医院组建总医院—北院区，改善北院区信息系统，实现主院区与北院区互联互通，持续推进“六大中心”建设。开展医保总额打包试点管理，与龙岩市医保局签订县域内紧密型医共体总医院服务协议。医保支付方式改革，实行“总额包干、结余留用、超支自负”的医保打包支付方式，实施医疗服务价格动态调整，医保支付改革和财政补偿“三合一”政策，逐步破除“以药养医”机制。规范各分院药品采购管理，制定了《漳平市总医院成员单位药品联合限价阳光采购管理制度（试行）》，遴选出基本用药目录，各分院按照药品目录统一采购。</w:t>
      </w:r>
    </w:p>
    <w:p>
      <w:pPr>
        <w:spacing w:line="500" w:lineRule="exact"/>
        <w:ind w:firstLine="664" w:firstLineChars="200"/>
        <w:rPr>
          <w:rFonts w:ascii="仿宋" w:hAnsi="仿宋" w:eastAsia="仿宋" w:cs="仿宋"/>
          <w:spacing w:val="6"/>
          <w:sz w:val="32"/>
          <w:szCs w:val="32"/>
        </w:rPr>
      </w:pPr>
      <w:r>
        <w:rPr>
          <w:rFonts w:hint="eastAsia" w:ascii="仿宋" w:hAnsi="仿宋" w:eastAsia="仿宋" w:cs="仿宋"/>
          <w:bCs/>
          <w:spacing w:val="6"/>
          <w:sz w:val="32"/>
          <w:szCs w:val="32"/>
        </w:rPr>
        <w:t>2.持续推进公立医院管理机制改革。</w:t>
      </w:r>
      <w:r>
        <w:rPr>
          <w:rFonts w:hint="eastAsia" w:ascii="仿宋" w:hAnsi="仿宋" w:eastAsia="仿宋" w:cs="仿宋"/>
          <w:spacing w:val="6"/>
          <w:sz w:val="32"/>
          <w:szCs w:val="32"/>
        </w:rPr>
        <w:t>控制医药费用，规范药品、耗材、检查检验，不断加大基本药物使用比例。“十三五”期末药占比（不含中药饮片）28.76%，药品耗材收入占比35.02%，医务性收入占比32.28%，县域内住院率63.88%；病种付费数量由102种增加到305种，病种收付费的出院人数占比31.62%。</w:t>
      </w:r>
    </w:p>
    <w:p>
      <w:pPr>
        <w:spacing w:line="500" w:lineRule="exact"/>
        <w:ind w:firstLine="664" w:firstLineChars="200"/>
        <w:rPr>
          <w:rFonts w:ascii="仿宋" w:hAnsi="仿宋" w:eastAsia="仿宋" w:cs="仿宋"/>
          <w:spacing w:val="6"/>
          <w:sz w:val="32"/>
          <w:szCs w:val="32"/>
        </w:rPr>
      </w:pPr>
      <w:r>
        <w:rPr>
          <w:rFonts w:hint="eastAsia" w:ascii="仿宋" w:hAnsi="仿宋" w:eastAsia="仿宋" w:cs="仿宋"/>
          <w:bCs/>
          <w:spacing w:val="6"/>
          <w:sz w:val="32"/>
          <w:szCs w:val="32"/>
        </w:rPr>
        <w:t>3.持续推进生态环保攻坚。</w:t>
      </w:r>
      <w:r>
        <w:rPr>
          <w:rFonts w:hint="eastAsia" w:ascii="仿宋" w:hAnsi="仿宋" w:eastAsia="仿宋" w:cs="仿宋"/>
          <w:spacing w:val="6"/>
          <w:sz w:val="32"/>
          <w:szCs w:val="32"/>
        </w:rPr>
        <w:t>落实医疗废物无害化集中处置工作，严格执行医疗废物“小箱进大箱”和48小时收运制度。加强监督检查，通过建设医疗废物暂存站，完善监控设备等措施，加强对医疗废物处置工作的动态管理，全部医疗机构的医疗废物处置率达100%。</w:t>
      </w:r>
    </w:p>
    <w:p>
      <w:pPr>
        <w:numPr>
          <w:ilvl w:val="0"/>
          <w:numId w:val="1"/>
        </w:numPr>
        <w:spacing w:beforeLines="50" w:afterLines="50" w:line="500" w:lineRule="exact"/>
        <w:ind w:firstLine="667" w:firstLineChars="200"/>
        <w:outlineLvl w:val="1"/>
        <w:rPr>
          <w:rFonts w:ascii="仿宋" w:hAnsi="仿宋" w:eastAsia="仿宋" w:cs="仿宋"/>
          <w:b/>
          <w:spacing w:val="6"/>
          <w:sz w:val="32"/>
          <w:szCs w:val="32"/>
        </w:rPr>
      </w:pPr>
      <w:bookmarkStart w:id="4" w:name="_Toc23904"/>
      <w:bookmarkStart w:id="5" w:name="_Toc57878407"/>
      <w:r>
        <w:rPr>
          <w:rFonts w:hint="eastAsia" w:ascii="仿宋" w:hAnsi="仿宋" w:eastAsia="仿宋" w:cs="仿宋"/>
          <w:b/>
          <w:spacing w:val="6"/>
          <w:sz w:val="32"/>
          <w:szCs w:val="32"/>
        </w:rPr>
        <w:t>医疗及基本公共服务水平稳步提升</w:t>
      </w:r>
      <w:bookmarkEnd w:id="4"/>
      <w:bookmarkEnd w:id="5"/>
    </w:p>
    <w:p>
      <w:pPr>
        <w:spacing w:line="500" w:lineRule="exact"/>
        <w:ind w:firstLine="664" w:firstLineChars="200"/>
        <w:rPr>
          <w:rFonts w:ascii="仿宋" w:hAnsi="仿宋" w:eastAsia="仿宋" w:cs="仿宋"/>
          <w:spacing w:val="6"/>
          <w:sz w:val="32"/>
          <w:szCs w:val="32"/>
          <w:highlight w:val="yellow"/>
        </w:rPr>
      </w:pPr>
      <w:r>
        <w:rPr>
          <w:rFonts w:hint="eastAsia" w:ascii="仿宋" w:hAnsi="仿宋" w:eastAsia="仿宋" w:cs="仿宋"/>
          <w:spacing w:val="6"/>
          <w:sz w:val="32"/>
          <w:szCs w:val="32"/>
        </w:rPr>
        <w:t>1.硬件环境不断改善。</w:t>
      </w:r>
      <w:r>
        <w:rPr>
          <w:rFonts w:hint="eastAsia" w:ascii="仿宋" w:hAnsi="仿宋" w:eastAsia="仿宋" w:cs="仿宋"/>
          <w:bCs/>
          <w:spacing w:val="6"/>
          <w:sz w:val="32"/>
          <w:szCs w:val="32"/>
        </w:rPr>
        <w:t>“十三五”期间，共投入资金投资5.06亿元，完成建设</w:t>
      </w:r>
      <w:r>
        <w:rPr>
          <w:rFonts w:hint="eastAsia" w:ascii="仿宋" w:hAnsi="仿宋" w:eastAsia="仿宋" w:cs="仿宋"/>
          <w:spacing w:val="6"/>
          <w:sz w:val="32"/>
          <w:szCs w:val="32"/>
        </w:rPr>
        <w:t>漳平市公共卫生大楼、漳平市妇幼保健院产儿科服务能力提升工程、和平卫生院综合楼、灵地卫生院综合楼、菁城社区卫生服务中心搬迁业务用房改造装修、卫生院标准化预防接种示门诊、标准化公办村卫生所、市医院精神病防治综合楼、菁和源项目（市医院医养康复中心）、吾祠卫生院综合楼、正在建设官田卫生院业务综合楼等项目，漳平市医院通过二级甲等医院评审。</w:t>
      </w:r>
      <w:r>
        <w:rPr>
          <w:rFonts w:hint="eastAsia" w:ascii="仿宋" w:hAnsi="仿宋" w:eastAsia="仿宋" w:cs="仿宋"/>
          <w:bCs/>
          <w:spacing w:val="6"/>
          <w:sz w:val="32"/>
          <w:szCs w:val="32"/>
        </w:rPr>
        <w:t>医疗卫生服务网络进一步健全，基础设施明显改善。总医院改革门诊看病收费、取药、处方一体化，实现便捷、畅通的情景，提高了门诊服务能力的提升，深受患者及家属的称赞和满意度提升。</w:t>
      </w:r>
    </w:p>
    <w:p>
      <w:pPr>
        <w:spacing w:line="500" w:lineRule="exact"/>
        <w:ind w:firstLine="664" w:firstLineChars="200"/>
        <w:rPr>
          <w:rFonts w:ascii="仿宋" w:hAnsi="仿宋" w:eastAsia="仿宋" w:cs="仿宋"/>
          <w:spacing w:val="6"/>
          <w:sz w:val="32"/>
          <w:szCs w:val="32"/>
        </w:rPr>
      </w:pPr>
      <w:r>
        <w:rPr>
          <w:rFonts w:hint="eastAsia" w:ascii="仿宋" w:hAnsi="仿宋" w:eastAsia="仿宋" w:cs="仿宋"/>
          <w:bCs/>
          <w:spacing w:val="6"/>
          <w:sz w:val="32"/>
          <w:szCs w:val="32"/>
        </w:rPr>
        <w:t>全市176个公办村卫生所标准化建设完成，完成基本医疗办公设备备置，村卫生所信息化建设加强，实现村卫生所医保“村村通”。医疗质量管理加强。严格落实“十八项”医疗核心制度，开展“三基”培训，定期医师考核，强化眼科、心内科等重点专科建设，完成新生儿科建设，加大儿科服务供给。中医药服务能力持续提升，完成菁城、芦芝、象湖、溪南、新桥卫生院5个中医馆建设。</w:t>
      </w:r>
    </w:p>
    <w:p>
      <w:pPr>
        <w:spacing w:line="500" w:lineRule="exact"/>
        <w:ind w:firstLine="664" w:firstLineChars="200"/>
        <w:rPr>
          <w:rFonts w:ascii="仿宋" w:hAnsi="仿宋" w:eastAsia="仿宋" w:cs="仿宋"/>
          <w:spacing w:val="6"/>
          <w:sz w:val="32"/>
          <w:szCs w:val="32"/>
        </w:rPr>
      </w:pPr>
      <w:r>
        <w:rPr>
          <w:rFonts w:hint="eastAsia" w:ascii="仿宋" w:hAnsi="仿宋" w:eastAsia="仿宋" w:cs="仿宋"/>
          <w:bCs/>
          <w:spacing w:val="6"/>
          <w:sz w:val="32"/>
          <w:szCs w:val="32"/>
        </w:rPr>
        <w:t>2.基本公共服务水平提升。</w:t>
      </w:r>
      <w:r>
        <w:rPr>
          <w:rFonts w:hint="eastAsia" w:ascii="仿宋" w:hAnsi="仿宋" w:eastAsia="仿宋" w:cs="仿宋"/>
          <w:spacing w:val="6"/>
          <w:sz w:val="32"/>
          <w:szCs w:val="32"/>
        </w:rPr>
        <w:t>“十三五”期间，人均基本公共卫生服务经费标准提高到65元/年，共为辖区居民建立电子健康档案28.6万份，电子建档率89.3%，65岁以上老人建档3.0万份，建档率93.7%；高血压病健康管理1.8万人；糖尿病管理0.5万人；累计登记严重精神障碍患者1162人，管理率在</w:t>
      </w:r>
      <w:r>
        <w:rPr>
          <w:rFonts w:hint="eastAsia" w:ascii="仿宋" w:hAnsi="仿宋" w:eastAsia="仿宋" w:cs="仿宋"/>
          <w:bCs/>
          <w:spacing w:val="6"/>
          <w:sz w:val="32"/>
          <w:szCs w:val="32"/>
        </w:rPr>
        <w:t>90.28%</w:t>
      </w:r>
      <w:r>
        <w:rPr>
          <w:rFonts w:hint="eastAsia" w:ascii="仿宋" w:hAnsi="仿宋" w:eastAsia="仿宋" w:cs="仿宋"/>
          <w:spacing w:val="6"/>
          <w:sz w:val="32"/>
          <w:szCs w:val="32"/>
        </w:rPr>
        <w:t>以上。保障妇女儿童健康，全市0-6岁儿童3.3万人，儿童健康管理3万人；管理孕产妇数0.3万人；全市医疗机构活产数10255人，住院分娩率100%，孕产妇死亡率、5岁以下儿童死亡率3.47‰、新生儿死亡率1.69‰、婴儿死亡率2.6‰。持续开展妇幼重大公共卫生服务项目，免费叶酸共发放14386人份，共完成免费优检4773对，完成“两癌”筛查19981人次。做好氟斑牙和甲状腺肿大等地方病监测，采集儿童尿样716份、盐样716份；累计登记严重精神障碍患者1148人，管理率98%以上；完成肿瘤病例报告326例，完成死因监测报告1105例。</w:t>
      </w:r>
    </w:p>
    <w:p>
      <w:pPr>
        <w:numPr>
          <w:ilvl w:val="0"/>
          <w:numId w:val="1"/>
        </w:numPr>
        <w:spacing w:beforeLines="50" w:afterLines="50" w:line="500" w:lineRule="exact"/>
        <w:ind w:firstLine="667" w:firstLineChars="200"/>
        <w:outlineLvl w:val="1"/>
        <w:rPr>
          <w:rFonts w:ascii="仿宋" w:hAnsi="仿宋" w:eastAsia="仿宋" w:cs="仿宋"/>
          <w:b/>
          <w:spacing w:val="6"/>
          <w:sz w:val="32"/>
          <w:szCs w:val="32"/>
        </w:rPr>
      </w:pPr>
      <w:bookmarkStart w:id="6" w:name="_Toc57878408"/>
      <w:bookmarkStart w:id="7" w:name="_Toc2563"/>
      <w:r>
        <w:rPr>
          <w:rFonts w:hint="eastAsia" w:ascii="仿宋" w:hAnsi="仿宋" w:eastAsia="仿宋" w:cs="仿宋"/>
          <w:b/>
          <w:spacing w:val="6"/>
          <w:sz w:val="32"/>
          <w:szCs w:val="32"/>
        </w:rPr>
        <w:t>应急处置和疾病防控能力得到提升</w:t>
      </w:r>
      <w:bookmarkEnd w:id="6"/>
      <w:bookmarkEnd w:id="7"/>
    </w:p>
    <w:p>
      <w:pPr>
        <w:spacing w:line="500" w:lineRule="exact"/>
        <w:ind w:firstLine="664" w:firstLineChars="200"/>
        <w:rPr>
          <w:rFonts w:ascii="仿宋" w:hAnsi="仿宋" w:eastAsia="仿宋" w:cs="仿宋"/>
          <w:spacing w:val="6"/>
          <w:sz w:val="32"/>
          <w:szCs w:val="32"/>
        </w:rPr>
      </w:pPr>
      <w:r>
        <w:rPr>
          <w:rFonts w:hint="eastAsia" w:ascii="仿宋" w:hAnsi="仿宋" w:eastAsia="仿宋" w:cs="仿宋"/>
          <w:spacing w:val="6"/>
          <w:sz w:val="32"/>
          <w:szCs w:val="32"/>
        </w:rPr>
        <w:t>重点传染病防治能力提升。近年来，重点传染病防控力度加强，有效控制传染病发生与流行。组织修订《漳平市突发公共卫生事件应急预案》以及重点传染病防治工作预案，调整充实了三支45人医疗卫生应急队伍。开展医疗卫生机构医务人员培训，全面提升市疾控中心、乡镇卫生院和社区卫生服务中心对突发事件的应对能力。严格执行疫情监测和法定传染病网络直报管理工作，及时预警和处置。认真实行肺结核病防治工作例会和专家组会诊制度，加强结防人员培训，提高结核病防控水平。</w:t>
      </w:r>
    </w:p>
    <w:p>
      <w:pPr>
        <w:spacing w:line="500" w:lineRule="exact"/>
        <w:ind w:firstLine="664" w:firstLineChars="200"/>
        <w:rPr>
          <w:rFonts w:ascii="仿宋" w:hAnsi="仿宋" w:eastAsia="仿宋" w:cs="仿宋"/>
          <w:spacing w:val="6"/>
          <w:sz w:val="32"/>
          <w:szCs w:val="32"/>
        </w:rPr>
      </w:pPr>
      <w:r>
        <w:rPr>
          <w:rFonts w:hint="eastAsia" w:ascii="仿宋" w:hAnsi="仿宋" w:eastAsia="仿宋" w:cs="仿宋"/>
          <w:spacing w:val="6"/>
          <w:sz w:val="32"/>
          <w:szCs w:val="32"/>
        </w:rPr>
        <w:t>疫情防控有力有效。漳平市加强新型冠状病毒肺炎监测工作和高危人群的疫情防控工作，新冠肺炎发生至目前实现零病例。总医院派送一名医护人员支援武汉参加抗疫斗争。</w:t>
      </w:r>
    </w:p>
    <w:p>
      <w:pPr>
        <w:spacing w:line="500" w:lineRule="exact"/>
        <w:ind w:firstLine="664" w:firstLineChars="200"/>
        <w:rPr>
          <w:rFonts w:ascii="仿宋" w:hAnsi="仿宋" w:eastAsia="仿宋" w:cs="仿宋"/>
          <w:spacing w:val="6"/>
          <w:sz w:val="32"/>
          <w:szCs w:val="32"/>
        </w:rPr>
      </w:pPr>
      <w:r>
        <w:rPr>
          <w:rFonts w:hint="eastAsia" w:ascii="仿宋" w:hAnsi="仿宋" w:eastAsia="仿宋" w:cs="仿宋"/>
          <w:spacing w:val="6"/>
          <w:sz w:val="32"/>
          <w:szCs w:val="32"/>
        </w:rPr>
        <w:t>组织建设PCR实验室。漳平市医院、疾控中心均已完成PCR实验室建设并投入使用，日常检测量新冠病毒核酸检测达276例，最高可达476例。</w:t>
      </w:r>
    </w:p>
    <w:p>
      <w:pPr>
        <w:spacing w:line="500" w:lineRule="exact"/>
        <w:ind w:firstLine="664" w:firstLineChars="200"/>
        <w:rPr>
          <w:rFonts w:ascii="仿宋" w:hAnsi="仿宋" w:eastAsia="仿宋" w:cs="仿宋"/>
          <w:spacing w:val="6"/>
          <w:sz w:val="32"/>
          <w:szCs w:val="32"/>
        </w:rPr>
      </w:pPr>
      <w:r>
        <w:rPr>
          <w:rFonts w:hint="eastAsia" w:ascii="仿宋" w:hAnsi="仿宋" w:eastAsia="仿宋" w:cs="仿宋"/>
          <w:spacing w:val="6"/>
          <w:sz w:val="32"/>
          <w:szCs w:val="32"/>
        </w:rPr>
        <w:t>全市共报告甲、乙、丙传染病6471例，报告发病率534.73/十万，死亡7例，死亡率0.79/十万。积极开展AFP病例、手足口病、鼠疫等监测，加强结核病、艾滋病防控。认真落实预防接种工作，全市新生儿预防接种建卡率达100％，周岁内儿童I类疫苗接种率达95%以上，全市5岁以下儿童未发生疫苗针对的传染病。</w:t>
      </w:r>
    </w:p>
    <w:p>
      <w:pPr>
        <w:spacing w:line="500" w:lineRule="exact"/>
        <w:ind w:firstLine="664" w:firstLineChars="200"/>
        <w:rPr>
          <w:rFonts w:ascii="仿宋" w:hAnsi="仿宋" w:eastAsia="仿宋" w:cs="仿宋"/>
          <w:spacing w:val="6"/>
          <w:kern w:val="1"/>
          <w:sz w:val="32"/>
          <w:szCs w:val="32"/>
        </w:rPr>
      </w:pPr>
      <w:r>
        <w:rPr>
          <w:rFonts w:hint="eastAsia" w:ascii="仿宋" w:hAnsi="仿宋" w:eastAsia="仿宋" w:cs="仿宋"/>
          <w:spacing w:val="6"/>
          <w:kern w:val="1"/>
          <w:sz w:val="32"/>
          <w:szCs w:val="32"/>
        </w:rPr>
        <w:t>应急能力不断加强。</w:t>
      </w:r>
      <w:r>
        <w:rPr>
          <w:rFonts w:hint="eastAsia" w:ascii="仿宋" w:hAnsi="仿宋" w:eastAsia="仿宋" w:cs="仿宋"/>
          <w:spacing w:val="6"/>
          <w:sz w:val="32"/>
          <w:szCs w:val="32"/>
        </w:rPr>
        <w:t>协助龙岩市举办“健康使命-2018”四地市紧急医学救援队伍区域拉动演练，组织队伍参加龙岩市突发急性传染病桌面推演，</w:t>
      </w:r>
      <w:r>
        <w:rPr>
          <w:rFonts w:hint="eastAsia" w:ascii="仿宋" w:hAnsi="仿宋" w:eastAsia="仿宋" w:cs="仿宋"/>
          <w:spacing w:val="6"/>
          <w:kern w:val="1"/>
          <w:sz w:val="32"/>
          <w:szCs w:val="32"/>
        </w:rPr>
        <w:t>完成紧急医学救援队伍基本装备备置，提升突</w:t>
      </w:r>
      <w:r>
        <w:rPr>
          <w:rFonts w:hint="eastAsia" w:ascii="仿宋" w:hAnsi="仿宋" w:eastAsia="仿宋" w:cs="仿宋"/>
          <w:spacing w:val="6"/>
          <w:kern w:val="1"/>
          <w:sz w:val="32"/>
          <w:szCs w:val="32"/>
          <w:lang w:val="en-US" w:eastAsia="zh-CN"/>
        </w:rPr>
        <w:t>发</w:t>
      </w:r>
      <w:r>
        <w:rPr>
          <w:rFonts w:hint="eastAsia" w:ascii="仿宋" w:hAnsi="仿宋" w:eastAsia="仿宋" w:cs="仿宋"/>
          <w:spacing w:val="6"/>
          <w:kern w:val="1"/>
          <w:sz w:val="32"/>
          <w:szCs w:val="32"/>
        </w:rPr>
        <w:t>公共卫生事件处置能力。圆满完成了“两节”、“两会”、“樱花节”及市委市政府重大活动期间的医疗卫生应急保障工作。</w:t>
      </w:r>
    </w:p>
    <w:p>
      <w:pPr>
        <w:numPr>
          <w:ilvl w:val="0"/>
          <w:numId w:val="1"/>
        </w:numPr>
        <w:spacing w:beforeLines="50" w:afterLines="50" w:line="500" w:lineRule="exact"/>
        <w:ind w:firstLine="667" w:firstLineChars="200"/>
        <w:outlineLvl w:val="1"/>
        <w:rPr>
          <w:rFonts w:ascii="仿宋" w:hAnsi="仿宋" w:eastAsia="仿宋" w:cs="仿宋"/>
          <w:b/>
          <w:spacing w:val="6"/>
          <w:sz w:val="32"/>
          <w:szCs w:val="32"/>
        </w:rPr>
      </w:pPr>
      <w:bookmarkStart w:id="8" w:name="_Toc57878409"/>
      <w:bookmarkStart w:id="9" w:name="_Toc16817"/>
      <w:r>
        <w:rPr>
          <w:rFonts w:hint="eastAsia" w:ascii="仿宋" w:hAnsi="仿宋" w:eastAsia="仿宋" w:cs="仿宋"/>
          <w:b/>
          <w:spacing w:val="6"/>
          <w:sz w:val="32"/>
          <w:szCs w:val="32"/>
        </w:rPr>
        <w:t>城乡居民健康服务水平持续提高</w:t>
      </w:r>
      <w:bookmarkEnd w:id="8"/>
      <w:bookmarkEnd w:id="9"/>
    </w:p>
    <w:p>
      <w:pPr>
        <w:spacing w:line="500" w:lineRule="exact"/>
        <w:ind w:firstLine="664" w:firstLineChars="200"/>
        <w:rPr>
          <w:rFonts w:ascii="仿宋" w:hAnsi="仿宋" w:eastAsia="仿宋" w:cs="仿宋"/>
          <w:spacing w:val="6"/>
          <w:sz w:val="32"/>
          <w:szCs w:val="32"/>
        </w:rPr>
      </w:pPr>
      <w:r>
        <w:rPr>
          <w:rFonts w:hint="eastAsia" w:ascii="仿宋" w:hAnsi="仿宋" w:eastAsia="仿宋" w:cs="仿宋"/>
          <w:spacing w:val="6"/>
          <w:sz w:val="32"/>
          <w:szCs w:val="32"/>
        </w:rPr>
        <w:t>城乡居民健康差异进一步缩小，医疗卫生服务可及性、服务质量、服务效率和群众满意度显著提高，卫生与健康事业影响力凸显，为稳增长、促改革、调结构、惠民生作出了新的贡献。全面加强人口健康信息化建设,逐步实现全员人口信息、电子健康档案和电子病历三大数据库基本覆盖全市人口并信息动态更新。推进爱国卫生运动，充分利用广播、电视、微信等</w:t>
      </w:r>
      <w:r>
        <w:rPr>
          <w:rFonts w:hint="eastAsia" w:ascii="仿宋" w:hAnsi="仿宋" w:eastAsia="仿宋" w:cs="仿宋"/>
          <w:kern w:val="1"/>
          <w:sz w:val="32"/>
          <w:szCs w:val="32"/>
        </w:rPr>
        <w:t>宣传平台，强力推进“一革命四行动”农户改厕项目，全面开展农村环境综合整治。</w:t>
      </w:r>
      <w:r>
        <w:rPr>
          <w:rFonts w:hint="eastAsia" w:ascii="仿宋" w:hAnsi="仿宋" w:eastAsia="仿宋" w:cs="仿宋"/>
          <w:sz w:val="32"/>
          <w:szCs w:val="32"/>
        </w:rPr>
        <w:t>全市已建立5个学校示范性心理健康辅导室，8个乡镇和村居心理健康咨询室。积极推进健康促进市创建，</w:t>
      </w:r>
      <w:r>
        <w:rPr>
          <w:rFonts w:hint="eastAsia" w:ascii="仿宋" w:hAnsi="仿宋" w:eastAsia="仿宋" w:cs="仿宋"/>
          <w:spacing w:val="6"/>
          <w:sz w:val="32"/>
          <w:szCs w:val="32"/>
        </w:rPr>
        <w:t>举办健康教育讲座活动累计960次，发放健康教育宣传材料(健康教育处方)20多万份。</w:t>
      </w:r>
    </w:p>
    <w:p>
      <w:pPr>
        <w:spacing w:line="500" w:lineRule="exact"/>
        <w:ind w:firstLine="640"/>
        <w:rPr>
          <w:rFonts w:ascii="仿宋" w:hAnsi="仿宋" w:eastAsia="仿宋" w:cs="仿宋"/>
          <w:spacing w:val="6"/>
          <w:sz w:val="32"/>
          <w:szCs w:val="32"/>
        </w:rPr>
      </w:pPr>
      <w:r>
        <w:rPr>
          <w:rFonts w:hint="eastAsia" w:ascii="仿宋" w:hAnsi="仿宋" w:eastAsia="仿宋" w:cs="仿宋"/>
          <w:snapToGrid w:val="0"/>
          <w:spacing w:val="6"/>
          <w:sz w:val="32"/>
          <w:szCs w:val="32"/>
        </w:rPr>
        <w:t>组建</w:t>
      </w:r>
      <w:r>
        <w:rPr>
          <w:rFonts w:hint="eastAsia" w:ascii="仿宋" w:hAnsi="仿宋" w:eastAsia="仿宋" w:cs="仿宋"/>
          <w:spacing w:val="6"/>
          <w:sz w:val="32"/>
          <w:szCs w:val="32"/>
        </w:rPr>
        <w:t>135</w:t>
      </w:r>
      <w:r>
        <w:rPr>
          <w:rFonts w:hint="eastAsia" w:ascii="仿宋" w:hAnsi="仿宋" w:eastAsia="仿宋" w:cs="仿宋"/>
          <w:snapToGrid w:val="0"/>
          <w:spacing w:val="6"/>
          <w:sz w:val="32"/>
          <w:szCs w:val="32"/>
        </w:rPr>
        <w:t>个家庭医生签约服</w:t>
      </w:r>
      <w:r>
        <w:rPr>
          <w:rFonts w:hint="eastAsia" w:ascii="仿宋" w:hAnsi="仿宋" w:eastAsia="仿宋" w:cs="仿宋"/>
          <w:spacing w:val="6"/>
          <w:sz w:val="32"/>
          <w:szCs w:val="32"/>
        </w:rPr>
        <w:t>务团队，对</w:t>
      </w:r>
      <w:r>
        <w:rPr>
          <w:rFonts w:hint="eastAsia" w:ascii="仿宋" w:hAnsi="仿宋" w:eastAsia="仿宋" w:cs="仿宋"/>
          <w:snapToGrid w:val="0"/>
          <w:spacing w:val="6"/>
          <w:sz w:val="32"/>
          <w:szCs w:val="32"/>
        </w:rPr>
        <w:t>贫困人口</w:t>
      </w:r>
      <w:r>
        <w:rPr>
          <w:rFonts w:hint="eastAsia" w:ascii="仿宋" w:hAnsi="仿宋" w:eastAsia="仿宋" w:cs="仿宋"/>
          <w:spacing w:val="6"/>
          <w:sz w:val="32"/>
          <w:szCs w:val="32"/>
        </w:rPr>
        <w:t>开展一对一的签约履约服务，全市共签约建档立卡农村贫困人口9896人，签约率、履约率均达100%。市定点医院（漳平市医院）开展16种大病救治，对建档立卡贫困群众开通绿色通道，实行“一站式”结算。全市贫困人口患有31项大病共807人，2019年漳平市医院共累计救治大病患者171人。</w:t>
      </w:r>
    </w:p>
    <w:p>
      <w:pPr>
        <w:numPr>
          <w:ilvl w:val="0"/>
          <w:numId w:val="1"/>
        </w:numPr>
        <w:spacing w:beforeLines="50" w:afterLines="50" w:line="500" w:lineRule="exact"/>
        <w:ind w:firstLine="667" w:firstLineChars="200"/>
        <w:outlineLvl w:val="1"/>
        <w:rPr>
          <w:rFonts w:ascii="仿宋" w:hAnsi="仿宋" w:eastAsia="仿宋" w:cs="仿宋"/>
          <w:b/>
          <w:spacing w:val="6"/>
          <w:sz w:val="32"/>
          <w:szCs w:val="32"/>
        </w:rPr>
      </w:pPr>
      <w:bookmarkStart w:id="10" w:name="_Toc12177"/>
      <w:bookmarkStart w:id="11" w:name="_Toc57878410"/>
      <w:r>
        <w:rPr>
          <w:rFonts w:hint="eastAsia" w:ascii="仿宋" w:hAnsi="仿宋" w:eastAsia="仿宋" w:cs="仿宋"/>
          <w:b/>
          <w:spacing w:val="6"/>
          <w:sz w:val="32"/>
          <w:szCs w:val="32"/>
        </w:rPr>
        <w:t>人口和家庭服务管理扎实推进</w:t>
      </w:r>
      <w:bookmarkEnd w:id="10"/>
      <w:bookmarkEnd w:id="11"/>
    </w:p>
    <w:p>
      <w:pPr>
        <w:spacing w:line="500" w:lineRule="exact"/>
        <w:ind w:firstLine="664" w:firstLineChars="200"/>
        <w:rPr>
          <w:rFonts w:ascii="仿宋" w:hAnsi="仿宋" w:eastAsia="仿宋" w:cs="仿宋"/>
          <w:spacing w:val="6"/>
          <w:sz w:val="32"/>
          <w:szCs w:val="32"/>
        </w:rPr>
      </w:pPr>
      <w:r>
        <w:rPr>
          <w:rFonts w:hint="eastAsia" w:ascii="仿宋" w:hAnsi="仿宋" w:eastAsia="仿宋" w:cs="仿宋"/>
          <w:spacing w:val="6"/>
          <w:sz w:val="32"/>
          <w:szCs w:val="32"/>
        </w:rPr>
        <w:t>充分认识了实施全面两孩政策的重大意义，计划生育综合服务管理加强。</w:t>
      </w:r>
      <w:r>
        <w:rPr>
          <w:rStyle w:val="22"/>
          <w:rFonts w:hint="eastAsia" w:ascii="仿宋" w:hAnsi="仿宋" w:eastAsia="仿宋" w:cs="仿宋"/>
          <w:spacing w:val="6"/>
          <w:sz w:val="32"/>
          <w:szCs w:val="32"/>
          <w:lang w:val="zh-CN"/>
        </w:rPr>
        <w:t>广泛宣传《全面两孩政策》、新《条例》及卫生计生各类主题活动。</w:t>
      </w:r>
      <w:r>
        <w:rPr>
          <w:rFonts w:hint="eastAsia" w:ascii="仿宋" w:hAnsi="仿宋" w:eastAsia="仿宋" w:cs="仿宋"/>
          <w:spacing w:val="6"/>
          <w:sz w:val="32"/>
          <w:szCs w:val="32"/>
        </w:rPr>
        <w:t>2020年全市人口出生率为7.56‰，政策符合率91.29%，自然增长率3.28‰，保持在较好水平。共兑现各类计生奖励扶助7867人次，共计517.6万元。设置“一站式服务窗口”、人口家庭服务中心、文化活动室、四点半学校、阅览室、教育培训基地等服务平台，建立“服务均等化、共享新家园”的流动人口服务管理新机制。建立流动人口居民健康档案，开展流动人口孕前优生健康检查等。开展打击“两非”工作，加强出生人口性别比失衡问题综合治理和人口计划生育信息化、标准化、规范化建设。</w:t>
      </w:r>
    </w:p>
    <w:p>
      <w:pPr>
        <w:numPr>
          <w:ilvl w:val="0"/>
          <w:numId w:val="1"/>
        </w:numPr>
        <w:spacing w:beforeLines="50" w:afterLines="50" w:line="500" w:lineRule="exact"/>
        <w:ind w:firstLine="667" w:firstLineChars="200"/>
        <w:outlineLvl w:val="1"/>
        <w:rPr>
          <w:rFonts w:ascii="仿宋" w:hAnsi="仿宋" w:eastAsia="仿宋" w:cs="仿宋"/>
          <w:b/>
          <w:spacing w:val="6"/>
          <w:sz w:val="32"/>
          <w:szCs w:val="32"/>
        </w:rPr>
      </w:pPr>
      <w:bookmarkStart w:id="12" w:name="_Toc57878411"/>
      <w:bookmarkStart w:id="13" w:name="_Toc30027"/>
      <w:bookmarkStart w:id="14" w:name="_Toc12267"/>
      <w:bookmarkStart w:id="15" w:name="_Toc32295"/>
      <w:r>
        <w:rPr>
          <w:rFonts w:hint="eastAsia" w:ascii="仿宋" w:hAnsi="仿宋" w:eastAsia="仿宋" w:cs="仿宋"/>
          <w:b/>
          <w:spacing w:val="6"/>
          <w:sz w:val="32"/>
          <w:szCs w:val="32"/>
        </w:rPr>
        <w:t>健康产业建设发展取得新突破</w:t>
      </w:r>
      <w:bookmarkEnd w:id="12"/>
      <w:bookmarkEnd w:id="13"/>
      <w:bookmarkEnd w:id="14"/>
      <w:bookmarkEnd w:id="15"/>
    </w:p>
    <w:p>
      <w:pPr>
        <w:widowControl/>
        <w:spacing w:line="500" w:lineRule="exact"/>
        <w:ind w:firstLine="664" w:firstLineChars="200"/>
        <w:rPr>
          <w:rFonts w:ascii="仿宋" w:hAnsi="仿宋" w:eastAsia="仿宋" w:cs="仿宋"/>
          <w:spacing w:val="6"/>
          <w:sz w:val="32"/>
          <w:szCs w:val="32"/>
        </w:rPr>
      </w:pPr>
      <w:r>
        <w:rPr>
          <w:rFonts w:hint="eastAsia" w:ascii="仿宋" w:hAnsi="仿宋" w:eastAsia="仿宋" w:cs="仿宋"/>
          <w:spacing w:val="6"/>
          <w:sz w:val="32"/>
          <w:szCs w:val="32"/>
        </w:rPr>
        <w:t>全面贯彻落实《健康福建2030行动规划》，根据健康福建建设的基本原则、中长期建设目标及主要建设内容，制订健康漳平行动实施方案，明确全方位干预健康影响因素、维护全周期生命健康、防控重大疾病的16个具体行动方案，并出台监测考核方案，大力推进健康漳平建设。</w:t>
      </w:r>
    </w:p>
    <w:p>
      <w:pPr>
        <w:widowControl/>
        <w:spacing w:line="500" w:lineRule="exact"/>
        <w:ind w:firstLine="664" w:firstLineChars="200"/>
        <w:rPr>
          <w:rFonts w:ascii="仿宋" w:hAnsi="仿宋" w:eastAsia="仿宋" w:cs="仿宋"/>
          <w:sz w:val="32"/>
          <w:szCs w:val="32"/>
        </w:rPr>
      </w:pPr>
      <w:r>
        <w:rPr>
          <w:rFonts w:hint="eastAsia" w:ascii="仿宋" w:hAnsi="仿宋" w:eastAsia="仿宋" w:cs="仿宋"/>
          <w:spacing w:val="6"/>
          <w:sz w:val="32"/>
          <w:szCs w:val="32"/>
        </w:rPr>
        <w:t>漳平市医院医养康复中心项目是重点推进的文旅康养项目之一，属于省重点工程，项目总投资约3.1亿元。目前，该项目正进行1-4号养老公寓室内装修工程，康复综合楼主体结构2层施工。项目预计于2021年建成使用，建成后将成为我市集医疗、康复、养生、养老等为一体的大型康养综合体。采取“走出去”的招商形式，积极与北京、</w:t>
      </w:r>
      <w:r>
        <w:rPr>
          <w:rFonts w:hint="eastAsia" w:ascii="仿宋" w:hAnsi="仿宋" w:eastAsia="仿宋" w:cs="仿宋"/>
          <w:sz w:val="32"/>
          <w:szCs w:val="32"/>
        </w:rPr>
        <w:t>上海等医养康复的有实力、专业特色较强的公司洽谈合作事宜，探索经营模式，积极组织相关企业参加龙岩市文旅康养博览会、上杭古田文旅康养博览会、龙岩会展中心康养产业、筹建永福生态康养中心。健康产业将在“十四五”时期取得新发展，“康养漳平”将以漳平“新名片”展现在龙岩、福建乃至全国。</w:t>
      </w:r>
    </w:p>
    <w:p>
      <w:pPr>
        <w:numPr>
          <w:ilvl w:val="0"/>
          <w:numId w:val="1"/>
        </w:numPr>
        <w:spacing w:beforeLines="50" w:afterLines="50" w:line="500" w:lineRule="exact"/>
        <w:ind w:firstLine="667" w:firstLineChars="200"/>
        <w:outlineLvl w:val="1"/>
        <w:rPr>
          <w:rFonts w:ascii="仿宋" w:hAnsi="仿宋" w:eastAsia="仿宋" w:cs="仿宋"/>
          <w:b/>
          <w:spacing w:val="6"/>
          <w:sz w:val="32"/>
          <w:szCs w:val="32"/>
        </w:rPr>
      </w:pPr>
      <w:bookmarkStart w:id="16" w:name="_Toc57878412"/>
      <w:bookmarkStart w:id="17" w:name="_Toc1269"/>
      <w:r>
        <w:rPr>
          <w:rFonts w:hint="eastAsia" w:ascii="仿宋" w:hAnsi="仿宋" w:eastAsia="仿宋" w:cs="仿宋"/>
          <w:b/>
          <w:spacing w:val="6"/>
          <w:sz w:val="32"/>
          <w:szCs w:val="32"/>
        </w:rPr>
        <w:t>卫生健康发展保障能力不断增强</w:t>
      </w:r>
      <w:bookmarkEnd w:id="16"/>
      <w:bookmarkEnd w:id="17"/>
    </w:p>
    <w:p>
      <w:pPr>
        <w:spacing w:line="500" w:lineRule="exact"/>
        <w:ind w:firstLine="664" w:firstLineChars="200"/>
        <w:rPr>
          <w:rFonts w:ascii="仿宋" w:hAnsi="仿宋" w:eastAsia="仿宋" w:cs="仿宋"/>
          <w:spacing w:val="6"/>
          <w:sz w:val="32"/>
          <w:szCs w:val="32"/>
        </w:rPr>
      </w:pPr>
      <w:r>
        <w:rPr>
          <w:rFonts w:hint="eastAsia" w:ascii="仿宋" w:hAnsi="仿宋" w:eastAsia="仿宋" w:cs="仿宋"/>
          <w:spacing w:val="6"/>
          <w:sz w:val="32"/>
          <w:szCs w:val="32"/>
        </w:rPr>
        <w:t>实施科教兴卫战略，积极推广卫生计生适宜技术、培养医药卫生人才、推动医学科技进步与创新。目前全市共有862名医护工作人员,其中医生380名，护士482名。“十三五”时期，卫生、编制、人事、财政等部门通过各种方式，积极引进卫生人才，通过公开招聘考试（83名）、高校直招（18名）、乡镇卫生院本土化大专委培生（35名）、乡镇卫生院特岗全科医生（3名）、县级医院临床医学专业本科定向委培生（34名）等措施，充实到各医疗卫生单位。市总医院与龙岩卫校协同办学，在市总医院开设村医班，完成招生31名，为空白及边远乡村培养人才。充分利用现代化教育手段开展形式多样的继续医学教育，重点为基层提供质量高、实用性强的继续医学教育项目，使基层卫计人员能及时、方便获取新理论、新知识和新技术，推行远程教育手段开展继续医学教育活动。</w:t>
      </w:r>
    </w:p>
    <w:p>
      <w:pPr>
        <w:spacing w:beforeLines="50" w:afterLines="50" w:line="500" w:lineRule="exact"/>
        <w:jc w:val="center"/>
        <w:outlineLvl w:val="0"/>
        <w:rPr>
          <w:rFonts w:hint="eastAsia" w:ascii="仿宋" w:hAnsi="仿宋" w:eastAsia="仿宋" w:cs="仿宋"/>
          <w:b/>
          <w:spacing w:val="6"/>
          <w:sz w:val="32"/>
          <w:szCs w:val="32"/>
        </w:rPr>
      </w:pPr>
      <w:bookmarkStart w:id="18" w:name="_Toc14729"/>
      <w:bookmarkStart w:id="19" w:name="_Toc57878418"/>
    </w:p>
    <w:p>
      <w:pPr>
        <w:spacing w:beforeLines="50" w:afterLines="50" w:line="500" w:lineRule="exact"/>
        <w:jc w:val="center"/>
        <w:outlineLvl w:val="0"/>
        <w:rPr>
          <w:rFonts w:ascii="仿宋" w:hAnsi="仿宋" w:eastAsia="仿宋" w:cs="仿宋"/>
          <w:b/>
          <w:spacing w:val="6"/>
          <w:sz w:val="32"/>
          <w:szCs w:val="32"/>
        </w:rPr>
      </w:pPr>
      <w:r>
        <w:rPr>
          <w:rFonts w:hint="eastAsia" w:ascii="仿宋" w:hAnsi="仿宋" w:eastAsia="仿宋" w:cs="仿宋"/>
          <w:b/>
          <w:spacing w:val="6"/>
          <w:sz w:val="32"/>
          <w:szCs w:val="32"/>
        </w:rPr>
        <w:t>“十四五”时期发展规划</w:t>
      </w:r>
      <w:bookmarkEnd w:id="18"/>
      <w:bookmarkEnd w:id="19"/>
    </w:p>
    <w:p>
      <w:pPr>
        <w:numPr>
          <w:ilvl w:val="0"/>
          <w:numId w:val="2"/>
        </w:numPr>
        <w:spacing w:beforeLines="50" w:afterLines="50" w:line="500" w:lineRule="exact"/>
        <w:jc w:val="center"/>
        <w:outlineLvl w:val="0"/>
        <w:rPr>
          <w:rFonts w:ascii="仿宋" w:hAnsi="仿宋" w:eastAsia="仿宋" w:cs="仿宋"/>
          <w:b/>
          <w:spacing w:val="6"/>
          <w:sz w:val="32"/>
          <w:szCs w:val="32"/>
        </w:rPr>
      </w:pPr>
      <w:bookmarkStart w:id="20" w:name="_Toc57878419"/>
      <w:bookmarkStart w:id="21" w:name="_Toc31379"/>
      <w:r>
        <w:rPr>
          <w:rFonts w:hint="eastAsia" w:ascii="仿宋" w:hAnsi="仿宋" w:eastAsia="仿宋" w:cs="仿宋"/>
          <w:b/>
          <w:spacing w:val="6"/>
          <w:sz w:val="32"/>
          <w:szCs w:val="32"/>
        </w:rPr>
        <w:t>发展面临的机遇与挑战</w:t>
      </w:r>
      <w:bookmarkEnd w:id="20"/>
      <w:bookmarkEnd w:id="21"/>
    </w:p>
    <w:p>
      <w:pPr>
        <w:numPr>
          <w:ilvl w:val="0"/>
          <w:numId w:val="3"/>
        </w:numPr>
        <w:spacing w:beforeLines="50" w:afterLines="50" w:line="500" w:lineRule="exact"/>
        <w:ind w:firstLine="667" w:firstLineChars="200"/>
        <w:outlineLvl w:val="1"/>
        <w:rPr>
          <w:rFonts w:ascii="仿宋" w:hAnsi="仿宋" w:eastAsia="仿宋" w:cs="仿宋"/>
          <w:b/>
          <w:spacing w:val="6"/>
          <w:sz w:val="32"/>
          <w:szCs w:val="32"/>
        </w:rPr>
      </w:pPr>
      <w:bookmarkStart w:id="22" w:name="_Toc18337"/>
      <w:bookmarkStart w:id="23" w:name="_Toc57878420"/>
      <w:r>
        <w:rPr>
          <w:rFonts w:hint="eastAsia" w:ascii="仿宋" w:hAnsi="仿宋" w:eastAsia="仿宋" w:cs="仿宋"/>
          <w:b/>
          <w:spacing w:val="6"/>
          <w:sz w:val="32"/>
          <w:szCs w:val="32"/>
        </w:rPr>
        <w:t>面临的机遇</w:t>
      </w:r>
      <w:bookmarkEnd w:id="22"/>
      <w:bookmarkEnd w:id="23"/>
    </w:p>
    <w:p>
      <w:pPr>
        <w:numPr>
          <w:ilvl w:val="0"/>
          <w:numId w:val="4"/>
        </w:numPr>
        <w:spacing w:beforeLines="50" w:afterLines="50" w:line="500" w:lineRule="exact"/>
        <w:ind w:firstLine="667" w:firstLineChars="200"/>
        <w:outlineLvl w:val="3"/>
        <w:rPr>
          <w:rFonts w:ascii="仿宋" w:hAnsi="仿宋" w:eastAsia="仿宋" w:cs="仿宋"/>
          <w:b/>
          <w:spacing w:val="6"/>
          <w:sz w:val="32"/>
          <w:szCs w:val="32"/>
        </w:rPr>
      </w:pPr>
      <w:r>
        <w:rPr>
          <w:rFonts w:hint="eastAsia" w:ascii="仿宋" w:hAnsi="仿宋" w:eastAsia="仿宋" w:cs="仿宋"/>
          <w:b/>
          <w:spacing w:val="6"/>
          <w:sz w:val="32"/>
          <w:szCs w:val="32"/>
        </w:rPr>
        <w:t>新时代对卫生健康事业提出新要求</w:t>
      </w:r>
    </w:p>
    <w:p>
      <w:pPr>
        <w:spacing w:line="500" w:lineRule="exact"/>
        <w:ind w:firstLine="664" w:firstLineChars="200"/>
        <w:rPr>
          <w:rFonts w:ascii="仿宋" w:hAnsi="仿宋" w:eastAsia="仿宋" w:cs="仿宋"/>
          <w:spacing w:val="6"/>
          <w:sz w:val="32"/>
          <w:szCs w:val="32"/>
        </w:rPr>
      </w:pPr>
      <w:r>
        <w:rPr>
          <w:rFonts w:hint="eastAsia" w:ascii="仿宋" w:hAnsi="仿宋" w:eastAsia="仿宋" w:cs="仿宋"/>
          <w:spacing w:val="6"/>
          <w:sz w:val="32"/>
          <w:szCs w:val="32"/>
        </w:rPr>
        <w:t>党的十九大把实施健康中国战略提升到国家整体战略层面统筹谋划，明确了新时代党的卫生健康工作方针，强化提高人民健康水平的制度保障，坚持预防为主，稳步发展公共卫生服务体系。以习近平同志为核心的党中央坚持把人民生命安全和身体健康放在第一位，围绕人民健康是社会文明进步的基础，坚持以人民为中心，坚持人民至上、生命至上，将健康融入所有政策，把人民健康放在优先发展的战略位置，为推动新时代卫生健康事业高质量发展指明了方向。</w:t>
      </w:r>
    </w:p>
    <w:p>
      <w:pPr>
        <w:numPr>
          <w:ilvl w:val="0"/>
          <w:numId w:val="4"/>
        </w:numPr>
        <w:spacing w:beforeLines="50" w:afterLines="50" w:line="500" w:lineRule="exact"/>
        <w:ind w:firstLine="667" w:firstLineChars="200"/>
        <w:outlineLvl w:val="3"/>
        <w:rPr>
          <w:rFonts w:ascii="仿宋" w:hAnsi="仿宋" w:eastAsia="仿宋" w:cs="仿宋"/>
          <w:b/>
          <w:spacing w:val="6"/>
          <w:sz w:val="32"/>
          <w:szCs w:val="32"/>
        </w:rPr>
      </w:pPr>
      <w:r>
        <w:rPr>
          <w:rFonts w:hint="eastAsia" w:ascii="仿宋" w:hAnsi="仿宋" w:eastAsia="仿宋" w:cs="仿宋"/>
          <w:b/>
          <w:spacing w:val="6"/>
          <w:sz w:val="32"/>
          <w:szCs w:val="32"/>
        </w:rPr>
        <w:t>医疗卫生体制改革带来新动力</w:t>
      </w:r>
    </w:p>
    <w:p>
      <w:pPr>
        <w:tabs>
          <w:tab w:val="left" w:pos="3241"/>
        </w:tabs>
        <w:spacing w:line="500" w:lineRule="exact"/>
        <w:ind w:firstLine="664" w:firstLineChars="200"/>
        <w:rPr>
          <w:rFonts w:ascii="仿宋" w:hAnsi="仿宋" w:eastAsia="仿宋" w:cs="仿宋"/>
          <w:bCs/>
          <w:spacing w:val="6"/>
          <w:sz w:val="32"/>
          <w:szCs w:val="32"/>
        </w:rPr>
      </w:pPr>
      <w:r>
        <w:rPr>
          <w:rFonts w:hint="eastAsia" w:ascii="仿宋" w:hAnsi="仿宋" w:eastAsia="仿宋" w:cs="仿宋"/>
          <w:bCs/>
          <w:spacing w:val="6"/>
          <w:sz w:val="32"/>
          <w:szCs w:val="32"/>
        </w:rPr>
        <w:t>随着医学科技的发展，尤其是移动医疗的蓬勃发展与互联网技术的广泛应用，卫生管理模式逐步走向健康管理模式，医药卫生体制改革已取得阶段性成果。随着下一步医改工作的全面深入推进，卫生事业投入将不断增加，医疗服务价格体系将更加合理，医疗保障制度将更加完善，卫生法制将更加健全，各项体制机制逐渐理顺，符合国情的基本医疗卫生制度进一步加快建立，为卫生事业发展带来新动力。</w:t>
      </w:r>
    </w:p>
    <w:p>
      <w:pPr>
        <w:numPr>
          <w:ilvl w:val="0"/>
          <w:numId w:val="4"/>
        </w:numPr>
        <w:spacing w:beforeLines="50" w:afterLines="50" w:line="500" w:lineRule="exact"/>
        <w:ind w:firstLine="667" w:firstLineChars="200"/>
        <w:outlineLvl w:val="3"/>
        <w:rPr>
          <w:rFonts w:ascii="仿宋" w:hAnsi="仿宋" w:eastAsia="仿宋" w:cs="仿宋"/>
          <w:b/>
          <w:spacing w:val="6"/>
          <w:sz w:val="32"/>
          <w:szCs w:val="32"/>
        </w:rPr>
      </w:pPr>
      <w:r>
        <w:rPr>
          <w:rFonts w:hint="eastAsia" w:ascii="仿宋" w:hAnsi="仿宋" w:eastAsia="仿宋" w:cs="仿宋"/>
          <w:b/>
          <w:spacing w:val="6"/>
          <w:sz w:val="32"/>
          <w:szCs w:val="32"/>
        </w:rPr>
        <w:t>推进康养产业发展带来新动力</w:t>
      </w:r>
    </w:p>
    <w:p>
      <w:pPr>
        <w:tabs>
          <w:tab w:val="left" w:pos="3241"/>
        </w:tabs>
        <w:spacing w:line="500" w:lineRule="exact"/>
        <w:ind w:firstLine="664" w:firstLineChars="200"/>
        <w:rPr>
          <w:rFonts w:ascii="仿宋" w:hAnsi="仿宋" w:eastAsia="仿宋" w:cs="仿宋"/>
          <w:spacing w:val="6"/>
          <w:sz w:val="32"/>
          <w:szCs w:val="32"/>
          <w:shd w:val="clear" w:color="auto" w:fill="FFFFFF"/>
        </w:rPr>
      </w:pPr>
      <w:r>
        <w:rPr>
          <w:rFonts w:hint="eastAsia" w:ascii="仿宋" w:hAnsi="仿宋" w:eastAsia="仿宋" w:cs="仿宋"/>
          <w:bCs/>
          <w:spacing w:val="6"/>
          <w:sz w:val="32"/>
          <w:szCs w:val="32"/>
        </w:rPr>
        <w:t>国家卫健委、中医药管理局等部门颁布的《进一步改善医疗服务行动计划(2018-2020年)》和《关于促进护理服务业改革与发展的指导意见》两个文件，将统筹整合医疗、护理、康复和养老服务资源，老年护理、康复护理、安宁疗护等延伸至基层医疗卫生机构，二级以上医院与养老机构建立合作机制，养老机构举办医务室、护理站等。随着经济发展和人口老龄化加剧，人们的健康养老意识增强，对康养产品和服务的需求爆发式增长，推进康养产业发展，对卫生健康事业发展也带来新动力。</w:t>
      </w:r>
    </w:p>
    <w:p>
      <w:pPr>
        <w:numPr>
          <w:ilvl w:val="0"/>
          <w:numId w:val="3"/>
        </w:numPr>
        <w:spacing w:beforeLines="50" w:afterLines="50" w:line="500" w:lineRule="exact"/>
        <w:ind w:firstLine="667" w:firstLineChars="200"/>
        <w:outlineLvl w:val="1"/>
        <w:rPr>
          <w:rFonts w:ascii="仿宋" w:hAnsi="仿宋" w:eastAsia="仿宋" w:cs="仿宋"/>
          <w:b/>
          <w:spacing w:val="6"/>
          <w:sz w:val="32"/>
          <w:szCs w:val="32"/>
        </w:rPr>
      </w:pPr>
      <w:bookmarkStart w:id="24" w:name="_Toc57878421"/>
      <w:bookmarkStart w:id="25" w:name="_Toc25249"/>
      <w:r>
        <w:rPr>
          <w:rFonts w:hint="eastAsia" w:ascii="仿宋" w:hAnsi="仿宋" w:eastAsia="仿宋" w:cs="仿宋"/>
          <w:b/>
          <w:spacing w:val="6"/>
          <w:sz w:val="32"/>
          <w:szCs w:val="32"/>
        </w:rPr>
        <w:t>面临的挑战</w:t>
      </w:r>
      <w:bookmarkEnd w:id="24"/>
      <w:bookmarkEnd w:id="25"/>
    </w:p>
    <w:p>
      <w:pPr>
        <w:numPr>
          <w:ilvl w:val="0"/>
          <w:numId w:val="5"/>
        </w:numPr>
        <w:spacing w:beforeLines="50" w:afterLines="50" w:line="500" w:lineRule="exact"/>
        <w:ind w:firstLine="667" w:firstLineChars="200"/>
        <w:outlineLvl w:val="2"/>
        <w:rPr>
          <w:rFonts w:ascii="仿宋" w:hAnsi="仿宋" w:eastAsia="仿宋" w:cs="仿宋"/>
          <w:b/>
          <w:spacing w:val="6"/>
          <w:sz w:val="32"/>
          <w:szCs w:val="32"/>
        </w:rPr>
      </w:pPr>
      <w:r>
        <w:rPr>
          <w:rFonts w:hint="eastAsia" w:ascii="仿宋" w:hAnsi="仿宋" w:eastAsia="仿宋" w:cs="仿宋"/>
          <w:b/>
          <w:spacing w:val="6"/>
          <w:sz w:val="32"/>
          <w:szCs w:val="32"/>
        </w:rPr>
        <w:t>构建强大公共卫生体系面临新挑战</w:t>
      </w:r>
    </w:p>
    <w:p>
      <w:pPr>
        <w:tabs>
          <w:tab w:val="left" w:pos="3241"/>
        </w:tabs>
        <w:spacing w:line="500" w:lineRule="exact"/>
        <w:ind w:firstLine="664" w:firstLineChars="200"/>
        <w:rPr>
          <w:rFonts w:ascii="仿宋" w:hAnsi="仿宋" w:eastAsia="仿宋" w:cs="仿宋"/>
          <w:bCs/>
          <w:spacing w:val="6"/>
          <w:sz w:val="32"/>
          <w:szCs w:val="32"/>
        </w:rPr>
      </w:pPr>
      <w:r>
        <w:rPr>
          <w:rFonts w:hint="eastAsia" w:ascii="仿宋" w:hAnsi="仿宋" w:eastAsia="仿宋" w:cs="仿宋"/>
          <w:bCs/>
          <w:spacing w:val="6"/>
          <w:sz w:val="32"/>
          <w:szCs w:val="32"/>
        </w:rPr>
        <w:t>2020年初暴发的新冠肺炎疫情给人民健康、国家安全带来重大挑战，也使各方面更加深刻认识到预防和控制重大疾病尤其是传染病，对于促进社会和谐稳定与持续发展的重要作用。党中央要求要强化底线思维，增强忧患意识，时刻防范卫生健康领域重大风险，要构建强大公共卫生体系，健全预警响应机制，全面提升防控和救治能力。针对在疫情防控中暴露出公共卫生领域存在短板弱项，公共卫生体系建设相对滞后，疾病控制、采供血等公共卫生机构业务用房、设备装备和人员配备与国家基本标准差距较大，传染病资源配置不够均衡等问题，都需要进一步探索发现应对重大新发突发传染病存在的薄弱环节，在防范卫生健康领域重大风险方面的短板弱项，探索应对处置规律，加快补短板、堵漏洞、强弱项，进行积极稳妥的改革，织紧织密“防护网”，筑牢筑实“隔离墙”，切实保障公共卫生安全，维护人民健康。</w:t>
      </w:r>
    </w:p>
    <w:p>
      <w:pPr>
        <w:numPr>
          <w:ilvl w:val="0"/>
          <w:numId w:val="5"/>
        </w:numPr>
        <w:spacing w:beforeLines="50" w:afterLines="50" w:line="500" w:lineRule="exact"/>
        <w:ind w:firstLine="667" w:firstLineChars="200"/>
        <w:outlineLvl w:val="2"/>
        <w:rPr>
          <w:rFonts w:ascii="仿宋" w:hAnsi="仿宋" w:eastAsia="仿宋" w:cs="仿宋"/>
          <w:b/>
          <w:spacing w:val="6"/>
          <w:sz w:val="32"/>
          <w:szCs w:val="32"/>
        </w:rPr>
      </w:pPr>
      <w:r>
        <w:rPr>
          <w:rFonts w:hint="eastAsia" w:ascii="仿宋" w:hAnsi="仿宋" w:eastAsia="仿宋" w:cs="仿宋"/>
          <w:b/>
          <w:spacing w:val="6"/>
          <w:sz w:val="32"/>
          <w:szCs w:val="32"/>
        </w:rPr>
        <w:t>人口结构性矛盾突出</w:t>
      </w:r>
    </w:p>
    <w:p>
      <w:pPr>
        <w:tabs>
          <w:tab w:val="left" w:pos="3241"/>
        </w:tabs>
        <w:spacing w:line="500" w:lineRule="exact"/>
        <w:ind w:firstLine="664" w:firstLineChars="200"/>
        <w:rPr>
          <w:rFonts w:ascii="仿宋" w:hAnsi="仿宋" w:eastAsia="仿宋" w:cs="仿宋"/>
          <w:bCs/>
          <w:spacing w:val="6"/>
          <w:sz w:val="32"/>
          <w:szCs w:val="32"/>
        </w:rPr>
      </w:pPr>
      <w:r>
        <w:rPr>
          <w:rFonts w:hint="eastAsia" w:ascii="仿宋" w:hAnsi="仿宋" w:eastAsia="仿宋" w:cs="仿宋"/>
          <w:bCs/>
          <w:spacing w:val="6"/>
          <w:sz w:val="32"/>
          <w:szCs w:val="32"/>
        </w:rPr>
        <w:t>随着人口老龄化趋势的日益明显，上世纪50、60年代生育高峰出生的人口在2020年前后陆续进入老年阶段，届时人口老龄化程度将进一步加剧，老年人医疗保健、康复、护理等服务需求日益增长，康复、老年护理等薄弱环节问题更为凸显。</w:t>
      </w:r>
      <w:r>
        <w:rPr>
          <w:rFonts w:hint="eastAsia" w:ascii="仿宋" w:hAnsi="仿宋" w:eastAsia="仿宋" w:cs="仿宋"/>
          <w:spacing w:val="6"/>
          <w:sz w:val="32"/>
          <w:szCs w:val="32"/>
        </w:rPr>
        <w:t>生育男孩、养儿防老等传统观念依然存在，出生人口性别比仍然失衡。</w:t>
      </w:r>
      <w:r>
        <w:rPr>
          <w:rFonts w:hint="eastAsia" w:ascii="仿宋" w:hAnsi="仿宋" w:eastAsia="仿宋" w:cs="仿宋"/>
          <w:bCs/>
          <w:spacing w:val="6"/>
          <w:sz w:val="32"/>
          <w:szCs w:val="32"/>
        </w:rPr>
        <w:t>随着全面两孩政策的实施，预计“十四五”期间全市出生人口每年维持在2500人左右，妇产、儿科、妇幼保健等相关医疗服务的供需矛盾依然存在。</w:t>
      </w:r>
    </w:p>
    <w:p>
      <w:pPr>
        <w:numPr>
          <w:ilvl w:val="0"/>
          <w:numId w:val="5"/>
        </w:numPr>
        <w:spacing w:beforeLines="50" w:afterLines="50" w:line="500" w:lineRule="exact"/>
        <w:ind w:firstLine="667" w:firstLineChars="200"/>
        <w:outlineLvl w:val="2"/>
        <w:rPr>
          <w:rFonts w:ascii="仿宋" w:hAnsi="仿宋" w:eastAsia="仿宋" w:cs="仿宋"/>
          <w:bCs/>
          <w:spacing w:val="6"/>
          <w:sz w:val="32"/>
          <w:szCs w:val="32"/>
        </w:rPr>
      </w:pPr>
      <w:r>
        <w:rPr>
          <w:rFonts w:hint="eastAsia" w:ascii="仿宋" w:hAnsi="仿宋" w:eastAsia="仿宋" w:cs="仿宋"/>
          <w:b/>
          <w:spacing w:val="6"/>
          <w:sz w:val="32"/>
          <w:szCs w:val="32"/>
        </w:rPr>
        <w:t>医疗服务能力与居民健康服务需求满足度之差的矛盾</w:t>
      </w:r>
    </w:p>
    <w:p>
      <w:pPr>
        <w:tabs>
          <w:tab w:val="left" w:pos="3241"/>
        </w:tabs>
        <w:spacing w:line="500" w:lineRule="exact"/>
        <w:ind w:firstLine="664" w:firstLineChars="200"/>
        <w:rPr>
          <w:rFonts w:hint="eastAsia" w:ascii="仿宋" w:hAnsi="仿宋" w:eastAsia="仿宋" w:cs="仿宋"/>
          <w:bCs/>
          <w:spacing w:val="6"/>
          <w:sz w:val="32"/>
          <w:szCs w:val="32"/>
        </w:rPr>
      </w:pPr>
      <w:r>
        <w:rPr>
          <w:rFonts w:hint="eastAsia" w:ascii="仿宋" w:hAnsi="仿宋" w:eastAsia="仿宋" w:cs="仿宋"/>
          <w:bCs/>
          <w:spacing w:val="6"/>
          <w:sz w:val="32"/>
          <w:szCs w:val="32"/>
        </w:rPr>
        <w:t>随着经济不断发展，城乡居民的生活水平和支付能力提高，健康观念、健康意识也随之增强，人民群众日益增长的多层次、多样化的医疗卫生需求对医疗卫生服务能力提升、卫生资源配置、卫生服务方式转变和医疗保障制度建设提出了更高要求。医疗卫生服务能力与群众健康需求，特别是与高质量、高水平服务需求之间的矛盾更加突出，加强卫生人才、科技、信息建设，提升卫生服务软实力的要求更加迫切。</w:t>
      </w:r>
    </w:p>
    <w:p>
      <w:pPr>
        <w:tabs>
          <w:tab w:val="left" w:pos="3241"/>
        </w:tabs>
        <w:spacing w:line="500" w:lineRule="exact"/>
        <w:ind w:firstLine="664" w:firstLineChars="200"/>
        <w:rPr>
          <w:rFonts w:hint="eastAsia" w:ascii="仿宋" w:hAnsi="仿宋" w:eastAsia="仿宋" w:cs="仿宋"/>
          <w:bCs/>
          <w:spacing w:val="6"/>
          <w:sz w:val="32"/>
          <w:szCs w:val="32"/>
        </w:rPr>
      </w:pPr>
    </w:p>
    <w:p>
      <w:pPr>
        <w:tabs>
          <w:tab w:val="left" w:pos="3241"/>
        </w:tabs>
        <w:spacing w:line="500" w:lineRule="exact"/>
        <w:ind w:firstLine="664" w:firstLineChars="200"/>
        <w:rPr>
          <w:rFonts w:hint="eastAsia" w:ascii="仿宋" w:hAnsi="仿宋" w:eastAsia="仿宋" w:cs="仿宋"/>
          <w:bCs/>
          <w:spacing w:val="6"/>
          <w:sz w:val="32"/>
          <w:szCs w:val="32"/>
        </w:rPr>
      </w:pPr>
    </w:p>
    <w:p>
      <w:pPr>
        <w:tabs>
          <w:tab w:val="left" w:pos="3241"/>
        </w:tabs>
        <w:spacing w:line="500" w:lineRule="exact"/>
        <w:ind w:firstLine="664" w:firstLineChars="200"/>
        <w:rPr>
          <w:rFonts w:hint="eastAsia" w:ascii="仿宋" w:hAnsi="仿宋" w:eastAsia="仿宋" w:cs="仿宋"/>
          <w:bCs/>
          <w:spacing w:val="6"/>
          <w:sz w:val="32"/>
          <w:szCs w:val="32"/>
        </w:rPr>
      </w:pPr>
    </w:p>
    <w:p>
      <w:pPr>
        <w:numPr>
          <w:ilvl w:val="0"/>
          <w:numId w:val="2"/>
        </w:numPr>
        <w:spacing w:beforeLines="50" w:afterLines="50" w:line="500" w:lineRule="exact"/>
        <w:jc w:val="center"/>
        <w:outlineLvl w:val="0"/>
        <w:rPr>
          <w:rFonts w:ascii="仿宋" w:hAnsi="仿宋" w:eastAsia="仿宋" w:cs="仿宋"/>
          <w:b/>
          <w:spacing w:val="6"/>
          <w:sz w:val="32"/>
          <w:szCs w:val="32"/>
        </w:rPr>
      </w:pPr>
      <w:bookmarkStart w:id="26" w:name="_Toc57878422"/>
      <w:bookmarkStart w:id="27" w:name="_Toc13077"/>
      <w:r>
        <w:rPr>
          <w:rFonts w:hint="eastAsia" w:ascii="仿宋" w:hAnsi="仿宋" w:eastAsia="仿宋" w:cs="仿宋"/>
          <w:b/>
          <w:spacing w:val="6"/>
          <w:sz w:val="32"/>
          <w:szCs w:val="32"/>
        </w:rPr>
        <w:t>规划背景、规划依据和原则</w:t>
      </w:r>
      <w:bookmarkEnd w:id="26"/>
      <w:bookmarkEnd w:id="27"/>
    </w:p>
    <w:p>
      <w:pPr>
        <w:numPr>
          <w:ilvl w:val="0"/>
          <w:numId w:val="6"/>
        </w:numPr>
        <w:spacing w:beforeLines="50" w:afterLines="50" w:line="500" w:lineRule="exact"/>
        <w:ind w:firstLine="667" w:firstLineChars="200"/>
        <w:outlineLvl w:val="1"/>
        <w:rPr>
          <w:rFonts w:ascii="仿宋" w:hAnsi="仿宋" w:eastAsia="仿宋" w:cs="仿宋"/>
          <w:b/>
          <w:spacing w:val="6"/>
          <w:sz w:val="32"/>
          <w:szCs w:val="32"/>
        </w:rPr>
      </w:pPr>
      <w:bookmarkStart w:id="28" w:name="_Toc57878423"/>
      <w:bookmarkStart w:id="29" w:name="_Toc9614"/>
      <w:r>
        <w:rPr>
          <w:rFonts w:hint="eastAsia" w:ascii="仿宋" w:hAnsi="仿宋" w:eastAsia="仿宋" w:cs="仿宋"/>
          <w:b/>
          <w:spacing w:val="6"/>
          <w:sz w:val="32"/>
          <w:szCs w:val="32"/>
        </w:rPr>
        <w:t>规划背景</w:t>
      </w:r>
      <w:bookmarkEnd w:id="28"/>
      <w:bookmarkEnd w:id="29"/>
    </w:p>
    <w:p>
      <w:pPr>
        <w:pStyle w:val="11"/>
        <w:widowControl/>
        <w:spacing w:before="0" w:beforeAutospacing="0" w:after="0" w:afterAutospacing="0" w:line="500" w:lineRule="exact"/>
        <w:ind w:firstLine="664" w:firstLineChars="200"/>
        <w:jc w:val="both"/>
        <w:rPr>
          <w:rFonts w:ascii="仿宋" w:hAnsi="仿宋" w:eastAsia="仿宋" w:cs="仿宋"/>
          <w:bCs/>
          <w:spacing w:val="6"/>
          <w:kern w:val="2"/>
          <w:sz w:val="32"/>
          <w:szCs w:val="32"/>
        </w:rPr>
      </w:pPr>
      <w:r>
        <w:rPr>
          <w:rFonts w:hint="eastAsia" w:ascii="仿宋" w:hAnsi="仿宋" w:eastAsia="仿宋" w:cs="仿宋"/>
          <w:bCs/>
          <w:spacing w:val="6"/>
          <w:kern w:val="2"/>
          <w:sz w:val="32"/>
          <w:szCs w:val="32"/>
        </w:rPr>
        <w:t>如何在未来一个时期发展卫生健康事业，推进“健康中国”建设，促进人口均衡发展，具有重要的现实意义。特别是“十四五”时期，国家将着力推进供给侧结构性改革，对深化医药卫生体制改革、促进健康产业发展提出了新任务。在建设机制活、产业优、生态美、百姓富的新漳平，必须把保护和增进人民健康摆上更加重要的位置，采取更加有力的措施，不断增进群众健康福祉。“十四五”时期要进一步顺应人民群众对健康快乐的本质需求，把打造“健康漳平”列入民生“1号工程”当中。本规划为制定公共健康政策、安排重大投资项目、引导社会力量发展卫生健康相关事业的重要依据。围绕提升医疗卫生和公共卫生服务水平，深化医药卫生体制改革，健全覆盖城乡的基本医疗卫生制度和现代医疗卫生健康体系，促使“健康漳平”落地落响，让漳平人民获得更多的幸福感、健康感。</w:t>
      </w:r>
    </w:p>
    <w:p>
      <w:pPr>
        <w:numPr>
          <w:ilvl w:val="0"/>
          <w:numId w:val="6"/>
        </w:numPr>
        <w:spacing w:beforeLines="50" w:afterLines="50" w:line="500" w:lineRule="exact"/>
        <w:ind w:firstLine="667" w:firstLineChars="200"/>
        <w:outlineLvl w:val="1"/>
        <w:rPr>
          <w:rFonts w:ascii="仿宋" w:hAnsi="仿宋" w:eastAsia="仿宋" w:cs="仿宋"/>
          <w:b/>
          <w:spacing w:val="6"/>
          <w:sz w:val="32"/>
          <w:szCs w:val="32"/>
        </w:rPr>
      </w:pPr>
      <w:bookmarkStart w:id="30" w:name="_Toc57878424"/>
      <w:bookmarkStart w:id="31" w:name="_Toc2585"/>
      <w:r>
        <w:rPr>
          <w:rFonts w:hint="eastAsia" w:ascii="仿宋" w:hAnsi="仿宋" w:eastAsia="仿宋" w:cs="仿宋"/>
          <w:b/>
          <w:spacing w:val="6"/>
          <w:sz w:val="32"/>
          <w:szCs w:val="32"/>
        </w:rPr>
        <w:t>规划依据</w:t>
      </w:r>
      <w:bookmarkEnd w:id="30"/>
      <w:bookmarkEnd w:id="31"/>
    </w:p>
    <w:p>
      <w:pPr>
        <w:pStyle w:val="11"/>
        <w:numPr>
          <w:ilvl w:val="0"/>
          <w:numId w:val="7"/>
        </w:numPr>
        <w:spacing w:before="0" w:beforeAutospacing="0" w:after="0" w:afterAutospacing="0" w:line="500" w:lineRule="exact"/>
        <w:ind w:left="0" w:firstLine="664" w:firstLineChars="200"/>
        <w:jc w:val="both"/>
        <w:rPr>
          <w:rFonts w:ascii="仿宋" w:hAnsi="仿宋" w:eastAsia="仿宋" w:cs="仿宋"/>
          <w:bCs/>
          <w:spacing w:val="6"/>
          <w:kern w:val="2"/>
          <w:sz w:val="32"/>
          <w:szCs w:val="32"/>
        </w:rPr>
      </w:pPr>
      <w:r>
        <w:rPr>
          <w:rFonts w:hint="eastAsia" w:ascii="仿宋" w:hAnsi="仿宋" w:eastAsia="仿宋" w:cs="仿宋"/>
          <w:bCs/>
          <w:spacing w:val="6"/>
          <w:kern w:val="2"/>
          <w:sz w:val="32"/>
          <w:szCs w:val="32"/>
        </w:rPr>
        <w:t>《国务院办公厅关于印发全国医疗卫生服务体系规划纲要（2015—2020年）的通知》国办发〔2015〕14号；</w:t>
      </w:r>
    </w:p>
    <w:p>
      <w:pPr>
        <w:pStyle w:val="11"/>
        <w:numPr>
          <w:ilvl w:val="0"/>
          <w:numId w:val="7"/>
        </w:numPr>
        <w:spacing w:before="0" w:beforeAutospacing="0" w:after="0" w:afterAutospacing="0" w:line="500" w:lineRule="exact"/>
        <w:ind w:left="0" w:firstLine="664" w:firstLineChars="200"/>
        <w:jc w:val="both"/>
        <w:rPr>
          <w:rFonts w:ascii="仿宋" w:hAnsi="仿宋" w:eastAsia="仿宋" w:cs="仿宋"/>
          <w:bCs/>
          <w:spacing w:val="6"/>
          <w:kern w:val="2"/>
          <w:sz w:val="32"/>
          <w:szCs w:val="32"/>
        </w:rPr>
      </w:pPr>
      <w:r>
        <w:rPr>
          <w:rFonts w:hint="eastAsia" w:ascii="仿宋" w:hAnsi="仿宋" w:eastAsia="仿宋" w:cs="仿宋"/>
          <w:bCs/>
          <w:spacing w:val="6"/>
          <w:kern w:val="2"/>
          <w:sz w:val="32"/>
          <w:szCs w:val="32"/>
        </w:rPr>
        <w:t>国家发改委会同国家卫计委等四部门发布《关于印发推进医疗服务价格改革意见的通知》发改价格[2016]1431号；</w:t>
      </w:r>
    </w:p>
    <w:p>
      <w:pPr>
        <w:pStyle w:val="11"/>
        <w:numPr>
          <w:ilvl w:val="0"/>
          <w:numId w:val="7"/>
        </w:numPr>
        <w:spacing w:before="0" w:beforeAutospacing="0" w:after="0" w:afterAutospacing="0" w:line="500" w:lineRule="exact"/>
        <w:ind w:left="0" w:firstLine="664" w:firstLineChars="200"/>
        <w:jc w:val="both"/>
        <w:rPr>
          <w:rFonts w:ascii="仿宋" w:hAnsi="仿宋" w:eastAsia="仿宋" w:cs="仿宋"/>
          <w:bCs/>
          <w:spacing w:val="6"/>
          <w:kern w:val="2"/>
          <w:sz w:val="32"/>
          <w:szCs w:val="32"/>
        </w:rPr>
      </w:pPr>
      <w:r>
        <w:rPr>
          <w:rFonts w:hint="eastAsia" w:ascii="仿宋" w:hAnsi="仿宋" w:eastAsia="仿宋" w:cs="仿宋"/>
          <w:bCs/>
          <w:spacing w:val="6"/>
          <w:kern w:val="2"/>
          <w:sz w:val="32"/>
          <w:szCs w:val="32"/>
        </w:rPr>
        <w:t>《关于开展公立医院薪酬制度改革试点工作的指导意见》人社部发〔2017〕10号；</w:t>
      </w:r>
    </w:p>
    <w:p>
      <w:pPr>
        <w:pStyle w:val="11"/>
        <w:numPr>
          <w:ilvl w:val="0"/>
          <w:numId w:val="7"/>
        </w:numPr>
        <w:spacing w:before="0" w:beforeAutospacing="0" w:after="0" w:afterAutospacing="0" w:line="500" w:lineRule="exact"/>
        <w:ind w:left="0" w:firstLine="664" w:firstLineChars="200"/>
        <w:jc w:val="both"/>
        <w:rPr>
          <w:rFonts w:ascii="仿宋" w:hAnsi="仿宋" w:eastAsia="仿宋" w:cs="仿宋"/>
          <w:bCs/>
          <w:spacing w:val="6"/>
          <w:kern w:val="2"/>
          <w:sz w:val="32"/>
          <w:szCs w:val="32"/>
        </w:rPr>
      </w:pPr>
      <w:r>
        <w:rPr>
          <w:rFonts w:hint="eastAsia" w:ascii="仿宋" w:hAnsi="仿宋" w:eastAsia="仿宋" w:cs="仿宋"/>
          <w:bCs/>
          <w:spacing w:val="6"/>
          <w:kern w:val="2"/>
          <w:sz w:val="32"/>
          <w:szCs w:val="32"/>
        </w:rPr>
        <w:t>《关于坚持以人民健康为中心推动医疗服务高质量发展的意见》国卫医发〔2018〕29号；</w:t>
      </w:r>
    </w:p>
    <w:p>
      <w:pPr>
        <w:pStyle w:val="11"/>
        <w:numPr>
          <w:ilvl w:val="0"/>
          <w:numId w:val="7"/>
        </w:numPr>
        <w:spacing w:before="0" w:beforeAutospacing="0" w:after="0" w:afterAutospacing="0" w:line="500" w:lineRule="exact"/>
        <w:ind w:left="0" w:firstLine="664" w:firstLineChars="200"/>
        <w:jc w:val="both"/>
        <w:rPr>
          <w:rFonts w:ascii="仿宋" w:hAnsi="仿宋" w:eastAsia="仿宋" w:cs="仿宋"/>
          <w:bCs/>
          <w:spacing w:val="6"/>
          <w:kern w:val="2"/>
          <w:sz w:val="32"/>
          <w:szCs w:val="32"/>
        </w:rPr>
      </w:pPr>
      <w:r>
        <w:rPr>
          <w:rFonts w:hint="eastAsia" w:ascii="仿宋" w:hAnsi="仿宋" w:eastAsia="仿宋" w:cs="仿宋"/>
          <w:bCs/>
          <w:spacing w:val="6"/>
          <w:kern w:val="2"/>
          <w:sz w:val="32"/>
          <w:szCs w:val="32"/>
        </w:rPr>
        <w:t>《中共中央 国务院关于深化医药卫生体制改革的意见》；</w:t>
      </w:r>
    </w:p>
    <w:p>
      <w:pPr>
        <w:pStyle w:val="11"/>
        <w:numPr>
          <w:ilvl w:val="0"/>
          <w:numId w:val="7"/>
        </w:numPr>
        <w:spacing w:before="0" w:beforeAutospacing="0" w:after="0" w:afterAutospacing="0" w:line="500" w:lineRule="exact"/>
        <w:ind w:left="0" w:firstLine="664" w:firstLineChars="200"/>
        <w:jc w:val="both"/>
        <w:rPr>
          <w:rFonts w:ascii="仿宋" w:hAnsi="仿宋" w:eastAsia="仿宋" w:cs="仿宋"/>
          <w:bCs/>
          <w:spacing w:val="6"/>
          <w:kern w:val="2"/>
          <w:sz w:val="32"/>
          <w:szCs w:val="32"/>
        </w:rPr>
      </w:pPr>
      <w:r>
        <w:rPr>
          <w:rFonts w:hint="eastAsia" w:ascii="仿宋" w:hAnsi="仿宋" w:eastAsia="仿宋" w:cs="仿宋"/>
          <w:bCs/>
          <w:spacing w:val="6"/>
          <w:kern w:val="2"/>
          <w:sz w:val="32"/>
          <w:szCs w:val="32"/>
        </w:rPr>
        <w:t>《“健康中国2030”规划纲要》；</w:t>
      </w:r>
    </w:p>
    <w:p>
      <w:pPr>
        <w:pStyle w:val="11"/>
        <w:numPr>
          <w:ilvl w:val="0"/>
          <w:numId w:val="7"/>
        </w:numPr>
        <w:spacing w:before="0" w:beforeAutospacing="0" w:after="0" w:afterAutospacing="0" w:line="500" w:lineRule="exact"/>
        <w:ind w:left="0" w:firstLine="664" w:firstLineChars="200"/>
        <w:jc w:val="both"/>
        <w:rPr>
          <w:rFonts w:ascii="仿宋" w:hAnsi="仿宋" w:eastAsia="仿宋" w:cs="仿宋"/>
          <w:bCs/>
          <w:spacing w:val="6"/>
          <w:kern w:val="2"/>
          <w:sz w:val="32"/>
          <w:szCs w:val="32"/>
        </w:rPr>
      </w:pPr>
      <w:r>
        <w:rPr>
          <w:rFonts w:hint="eastAsia" w:ascii="仿宋" w:hAnsi="仿宋" w:eastAsia="仿宋" w:cs="仿宋"/>
          <w:bCs/>
          <w:spacing w:val="6"/>
          <w:kern w:val="2"/>
          <w:sz w:val="32"/>
          <w:szCs w:val="32"/>
        </w:rPr>
        <w:t>《中共中央 国务院关于促进中医药传承创新发展的意见》；</w:t>
      </w:r>
    </w:p>
    <w:p>
      <w:pPr>
        <w:pStyle w:val="11"/>
        <w:numPr>
          <w:ilvl w:val="0"/>
          <w:numId w:val="7"/>
        </w:numPr>
        <w:spacing w:before="0" w:beforeAutospacing="0" w:after="0" w:afterAutospacing="0" w:line="500" w:lineRule="exact"/>
        <w:ind w:left="0" w:firstLine="664" w:firstLineChars="200"/>
        <w:jc w:val="both"/>
        <w:rPr>
          <w:rFonts w:ascii="仿宋" w:hAnsi="仿宋" w:eastAsia="仿宋" w:cs="仿宋"/>
          <w:bCs/>
          <w:spacing w:val="6"/>
          <w:kern w:val="2"/>
          <w:sz w:val="32"/>
          <w:szCs w:val="32"/>
        </w:rPr>
      </w:pPr>
      <w:r>
        <w:rPr>
          <w:rFonts w:hint="eastAsia" w:ascii="仿宋" w:hAnsi="仿宋" w:eastAsia="仿宋" w:cs="仿宋"/>
          <w:bCs/>
          <w:spacing w:val="6"/>
          <w:kern w:val="2"/>
          <w:sz w:val="32"/>
          <w:szCs w:val="32"/>
        </w:rPr>
        <w:t>《关于推进医疗保障基金监管制度体系改革的指导意见》国办发2020〕20号；</w:t>
      </w:r>
    </w:p>
    <w:p>
      <w:pPr>
        <w:pStyle w:val="11"/>
        <w:numPr>
          <w:ilvl w:val="0"/>
          <w:numId w:val="7"/>
        </w:numPr>
        <w:spacing w:before="0" w:beforeAutospacing="0" w:after="0" w:afterAutospacing="0" w:line="500" w:lineRule="exact"/>
        <w:ind w:left="0" w:firstLine="664" w:firstLineChars="200"/>
        <w:jc w:val="both"/>
        <w:rPr>
          <w:rFonts w:ascii="仿宋" w:hAnsi="仿宋" w:eastAsia="仿宋" w:cs="仿宋"/>
          <w:bCs/>
          <w:spacing w:val="6"/>
          <w:kern w:val="2"/>
          <w:sz w:val="32"/>
          <w:szCs w:val="32"/>
        </w:rPr>
      </w:pPr>
      <w:r>
        <w:rPr>
          <w:rFonts w:hint="eastAsia" w:ascii="仿宋" w:hAnsi="仿宋" w:eastAsia="仿宋" w:cs="仿宋"/>
          <w:bCs/>
          <w:spacing w:val="6"/>
          <w:kern w:val="2"/>
          <w:sz w:val="32"/>
          <w:szCs w:val="32"/>
        </w:rPr>
        <w:t>《关于深化我国医疗保障制度改革的意见》；</w:t>
      </w:r>
    </w:p>
    <w:p>
      <w:pPr>
        <w:pStyle w:val="11"/>
        <w:numPr>
          <w:ilvl w:val="0"/>
          <w:numId w:val="7"/>
        </w:numPr>
        <w:spacing w:before="0" w:beforeAutospacing="0" w:after="0" w:afterAutospacing="0" w:line="500" w:lineRule="exact"/>
        <w:ind w:left="0" w:firstLine="664" w:firstLineChars="200"/>
        <w:jc w:val="both"/>
        <w:rPr>
          <w:rFonts w:ascii="仿宋" w:hAnsi="仿宋" w:eastAsia="仿宋" w:cs="仿宋"/>
          <w:bCs/>
          <w:spacing w:val="6"/>
          <w:kern w:val="2"/>
          <w:sz w:val="32"/>
          <w:szCs w:val="32"/>
        </w:rPr>
      </w:pPr>
      <w:r>
        <w:rPr>
          <w:rFonts w:hint="eastAsia" w:ascii="仿宋" w:hAnsi="仿宋" w:eastAsia="仿宋" w:cs="仿宋"/>
          <w:bCs/>
          <w:spacing w:val="6"/>
          <w:kern w:val="2"/>
          <w:sz w:val="32"/>
          <w:szCs w:val="32"/>
        </w:rPr>
        <w:t>《国家二级公立医院绩效考核操作手册(2020 版)》；</w:t>
      </w:r>
    </w:p>
    <w:p>
      <w:pPr>
        <w:pStyle w:val="11"/>
        <w:numPr>
          <w:ilvl w:val="0"/>
          <w:numId w:val="7"/>
        </w:numPr>
        <w:spacing w:before="0" w:beforeAutospacing="0" w:after="0" w:afterAutospacing="0" w:line="500" w:lineRule="exact"/>
        <w:ind w:left="0" w:firstLine="664" w:firstLineChars="200"/>
        <w:jc w:val="both"/>
        <w:rPr>
          <w:rFonts w:ascii="仿宋" w:hAnsi="仿宋" w:eastAsia="仿宋" w:cs="仿宋"/>
          <w:bCs/>
          <w:spacing w:val="6"/>
          <w:kern w:val="2"/>
          <w:sz w:val="32"/>
          <w:szCs w:val="32"/>
        </w:rPr>
      </w:pPr>
      <w:r>
        <w:rPr>
          <w:rFonts w:hint="eastAsia" w:ascii="仿宋" w:hAnsi="仿宋" w:eastAsia="仿宋" w:cs="仿宋"/>
          <w:bCs/>
          <w:spacing w:val="6"/>
          <w:kern w:val="2"/>
          <w:sz w:val="32"/>
          <w:szCs w:val="32"/>
        </w:rPr>
        <w:t>《关于印发福建省深化医药卫生体制改革2020年重点工作任务及分工方案的通知》闽医改组〔2020〕1号；</w:t>
      </w:r>
    </w:p>
    <w:p>
      <w:pPr>
        <w:pStyle w:val="11"/>
        <w:numPr>
          <w:ilvl w:val="0"/>
          <w:numId w:val="7"/>
        </w:numPr>
        <w:spacing w:before="0" w:beforeAutospacing="0" w:after="0" w:afterAutospacing="0" w:line="500" w:lineRule="exact"/>
        <w:ind w:left="0" w:firstLine="664" w:firstLineChars="200"/>
        <w:jc w:val="both"/>
        <w:rPr>
          <w:rFonts w:ascii="仿宋" w:hAnsi="仿宋" w:eastAsia="仿宋" w:cs="仿宋"/>
          <w:bCs/>
          <w:spacing w:val="6"/>
          <w:kern w:val="2"/>
          <w:sz w:val="32"/>
          <w:szCs w:val="32"/>
        </w:rPr>
      </w:pPr>
      <w:r>
        <w:rPr>
          <w:rFonts w:hint="eastAsia" w:ascii="仿宋" w:hAnsi="仿宋" w:eastAsia="仿宋" w:cs="仿宋"/>
          <w:bCs/>
          <w:spacing w:val="6"/>
          <w:kern w:val="2"/>
          <w:sz w:val="32"/>
          <w:szCs w:val="32"/>
        </w:rPr>
        <w:t>《关于坚持以人民健康为中心推动医疗服务高质量发展的意见》；</w:t>
      </w:r>
    </w:p>
    <w:p>
      <w:pPr>
        <w:pStyle w:val="11"/>
        <w:numPr>
          <w:ilvl w:val="0"/>
          <w:numId w:val="7"/>
        </w:numPr>
        <w:spacing w:before="0" w:beforeAutospacing="0" w:after="0" w:afterAutospacing="0" w:line="500" w:lineRule="exact"/>
        <w:ind w:left="0" w:firstLine="664" w:firstLineChars="200"/>
        <w:jc w:val="both"/>
        <w:rPr>
          <w:rFonts w:ascii="仿宋" w:hAnsi="仿宋" w:eastAsia="仿宋" w:cs="仿宋"/>
          <w:bCs/>
          <w:spacing w:val="6"/>
          <w:kern w:val="2"/>
          <w:sz w:val="32"/>
          <w:szCs w:val="32"/>
        </w:rPr>
      </w:pPr>
      <w:r>
        <w:rPr>
          <w:rFonts w:hint="eastAsia" w:ascii="仿宋" w:hAnsi="仿宋" w:eastAsia="仿宋" w:cs="仿宋"/>
          <w:bCs/>
          <w:spacing w:val="6"/>
          <w:kern w:val="2"/>
          <w:sz w:val="32"/>
          <w:szCs w:val="32"/>
        </w:rPr>
        <w:t>《关于应发公共卫生防控救治能力建设方案的通知》发改社会〔2020〕735号；</w:t>
      </w:r>
    </w:p>
    <w:p>
      <w:pPr>
        <w:pStyle w:val="11"/>
        <w:numPr>
          <w:ilvl w:val="0"/>
          <w:numId w:val="7"/>
        </w:numPr>
        <w:spacing w:before="0" w:beforeAutospacing="0" w:after="0" w:afterAutospacing="0" w:line="500" w:lineRule="exact"/>
        <w:ind w:left="0" w:firstLine="664" w:firstLineChars="200"/>
        <w:jc w:val="both"/>
        <w:rPr>
          <w:rFonts w:ascii="仿宋" w:hAnsi="仿宋" w:eastAsia="仿宋" w:cs="仿宋"/>
          <w:bCs/>
          <w:spacing w:val="6"/>
          <w:kern w:val="2"/>
          <w:sz w:val="32"/>
          <w:szCs w:val="32"/>
        </w:rPr>
      </w:pPr>
      <w:r>
        <w:rPr>
          <w:rFonts w:hint="eastAsia" w:ascii="仿宋" w:hAnsi="仿宋" w:eastAsia="仿宋" w:cs="仿宋"/>
          <w:bCs/>
          <w:spacing w:val="6"/>
          <w:kern w:val="2"/>
          <w:sz w:val="32"/>
          <w:szCs w:val="32"/>
        </w:rPr>
        <w:t>《福建省“十四五”卫生健康事业发展专项规划》；</w:t>
      </w:r>
    </w:p>
    <w:p>
      <w:pPr>
        <w:pStyle w:val="11"/>
        <w:numPr>
          <w:ilvl w:val="0"/>
          <w:numId w:val="7"/>
        </w:numPr>
        <w:spacing w:before="0" w:beforeAutospacing="0" w:after="0" w:afterAutospacing="0" w:line="500" w:lineRule="exact"/>
        <w:ind w:left="0" w:firstLine="664" w:firstLineChars="200"/>
        <w:jc w:val="both"/>
        <w:rPr>
          <w:rFonts w:ascii="仿宋" w:hAnsi="仿宋" w:eastAsia="仿宋" w:cs="仿宋"/>
          <w:bCs/>
          <w:spacing w:val="6"/>
          <w:kern w:val="2"/>
          <w:sz w:val="32"/>
          <w:szCs w:val="32"/>
        </w:rPr>
      </w:pPr>
      <w:r>
        <w:rPr>
          <w:rFonts w:hint="eastAsia" w:ascii="仿宋" w:hAnsi="仿宋" w:eastAsia="仿宋" w:cs="仿宋"/>
          <w:bCs/>
          <w:spacing w:val="6"/>
          <w:kern w:val="2"/>
          <w:sz w:val="32"/>
          <w:szCs w:val="32"/>
        </w:rPr>
        <w:t>《福建省深化医药卫生体制改革领导小组关于印发2018年度县域紧密型医共体建设绩效考核指标说明的通知》闽医改组〔2018〕2号；</w:t>
      </w:r>
    </w:p>
    <w:p>
      <w:pPr>
        <w:pStyle w:val="11"/>
        <w:numPr>
          <w:ilvl w:val="0"/>
          <w:numId w:val="7"/>
        </w:numPr>
        <w:spacing w:before="0" w:beforeAutospacing="0" w:after="0" w:afterAutospacing="0" w:line="500" w:lineRule="exact"/>
        <w:ind w:left="0" w:firstLine="664" w:firstLineChars="200"/>
        <w:jc w:val="both"/>
        <w:rPr>
          <w:rFonts w:ascii="仿宋" w:hAnsi="仿宋" w:eastAsia="仿宋" w:cs="仿宋"/>
          <w:bCs/>
          <w:spacing w:val="6"/>
          <w:kern w:val="2"/>
          <w:sz w:val="32"/>
          <w:szCs w:val="32"/>
        </w:rPr>
      </w:pPr>
      <w:r>
        <w:rPr>
          <w:rFonts w:hint="eastAsia" w:ascii="仿宋" w:hAnsi="仿宋" w:eastAsia="仿宋" w:cs="仿宋"/>
          <w:bCs/>
          <w:spacing w:val="6"/>
          <w:kern w:val="2"/>
          <w:sz w:val="32"/>
          <w:szCs w:val="32"/>
        </w:rPr>
        <w:t>《中共福建省委 福建省人民政府关于印发〈福建省深化医药卫生体制改革综合试点方案〉的通知》；</w:t>
      </w:r>
    </w:p>
    <w:p>
      <w:pPr>
        <w:pStyle w:val="11"/>
        <w:numPr>
          <w:ilvl w:val="0"/>
          <w:numId w:val="7"/>
        </w:numPr>
        <w:spacing w:before="0" w:beforeAutospacing="0" w:after="0" w:afterAutospacing="0" w:line="500" w:lineRule="exact"/>
        <w:ind w:left="0" w:firstLine="664" w:firstLineChars="200"/>
        <w:jc w:val="both"/>
        <w:rPr>
          <w:rFonts w:ascii="仿宋" w:hAnsi="仿宋" w:eastAsia="仿宋" w:cs="仿宋"/>
          <w:bCs/>
          <w:spacing w:val="6"/>
          <w:kern w:val="2"/>
          <w:sz w:val="32"/>
          <w:szCs w:val="32"/>
        </w:rPr>
      </w:pPr>
      <w:r>
        <w:rPr>
          <w:rFonts w:hint="eastAsia" w:ascii="仿宋" w:hAnsi="仿宋" w:eastAsia="仿宋" w:cs="仿宋"/>
          <w:bCs/>
          <w:spacing w:val="6"/>
          <w:kern w:val="2"/>
          <w:sz w:val="32"/>
          <w:szCs w:val="32"/>
        </w:rPr>
        <w:t>《龙岩市深化医药卫生体制改革综合试点实施方案》；</w:t>
      </w:r>
    </w:p>
    <w:p>
      <w:pPr>
        <w:pStyle w:val="11"/>
        <w:numPr>
          <w:ilvl w:val="0"/>
          <w:numId w:val="7"/>
        </w:numPr>
        <w:spacing w:before="0" w:beforeAutospacing="0" w:after="0" w:afterAutospacing="0" w:line="500" w:lineRule="exact"/>
        <w:ind w:left="0" w:firstLine="664" w:firstLineChars="200"/>
        <w:jc w:val="both"/>
        <w:rPr>
          <w:rFonts w:ascii="仿宋" w:hAnsi="仿宋" w:eastAsia="仿宋" w:cs="仿宋"/>
          <w:bCs/>
          <w:spacing w:val="6"/>
          <w:kern w:val="2"/>
          <w:sz w:val="32"/>
          <w:szCs w:val="32"/>
        </w:rPr>
      </w:pPr>
      <w:r>
        <w:rPr>
          <w:rFonts w:hint="eastAsia" w:ascii="仿宋" w:hAnsi="仿宋" w:eastAsia="仿宋" w:cs="仿宋"/>
          <w:bCs/>
          <w:spacing w:val="6"/>
          <w:kern w:val="2"/>
          <w:sz w:val="32"/>
          <w:szCs w:val="32"/>
        </w:rPr>
        <w:t>龙岩市《关于推进紧密型县域医共体建设实施方案》龙医改组〔2020〕1号；</w:t>
      </w:r>
    </w:p>
    <w:p>
      <w:pPr>
        <w:pStyle w:val="11"/>
        <w:numPr>
          <w:ilvl w:val="0"/>
          <w:numId w:val="7"/>
        </w:numPr>
        <w:spacing w:before="0" w:beforeAutospacing="0" w:after="0" w:afterAutospacing="0" w:line="500" w:lineRule="exact"/>
        <w:ind w:left="0" w:firstLine="664" w:firstLineChars="200"/>
        <w:jc w:val="both"/>
        <w:rPr>
          <w:rFonts w:ascii="仿宋" w:hAnsi="仿宋" w:eastAsia="仿宋" w:cs="仿宋"/>
          <w:bCs/>
          <w:spacing w:val="6"/>
          <w:kern w:val="2"/>
          <w:sz w:val="32"/>
          <w:szCs w:val="32"/>
        </w:rPr>
      </w:pPr>
      <w:r>
        <w:rPr>
          <w:rFonts w:hint="eastAsia" w:ascii="仿宋" w:hAnsi="仿宋" w:eastAsia="仿宋" w:cs="仿宋"/>
          <w:bCs/>
          <w:spacing w:val="6"/>
          <w:kern w:val="2"/>
          <w:sz w:val="32"/>
          <w:szCs w:val="32"/>
        </w:rPr>
        <w:t>《龙岩市进一步深化医疗卫生体制改革若干措施的通知案》岩委办〔2020〕13号；</w:t>
      </w:r>
    </w:p>
    <w:p>
      <w:pPr>
        <w:pStyle w:val="11"/>
        <w:numPr>
          <w:ilvl w:val="0"/>
          <w:numId w:val="7"/>
        </w:numPr>
        <w:spacing w:before="0" w:beforeAutospacing="0" w:after="0" w:afterAutospacing="0" w:line="500" w:lineRule="exact"/>
        <w:ind w:left="0" w:firstLine="664" w:firstLineChars="200"/>
        <w:jc w:val="both"/>
        <w:rPr>
          <w:rFonts w:ascii="仿宋" w:hAnsi="仿宋" w:eastAsia="仿宋" w:cs="仿宋"/>
          <w:bCs/>
          <w:spacing w:val="6"/>
          <w:kern w:val="2"/>
          <w:sz w:val="32"/>
          <w:szCs w:val="32"/>
        </w:rPr>
      </w:pPr>
      <w:r>
        <w:rPr>
          <w:rFonts w:hint="eastAsia" w:ascii="仿宋" w:hAnsi="仿宋" w:eastAsia="仿宋" w:cs="仿宋"/>
          <w:bCs/>
          <w:spacing w:val="6"/>
          <w:kern w:val="2"/>
          <w:sz w:val="32"/>
          <w:szCs w:val="32"/>
        </w:rPr>
        <w:t>《关于健全公共卫生应急物资保障体系实施方案》；</w:t>
      </w:r>
    </w:p>
    <w:p>
      <w:pPr>
        <w:pStyle w:val="11"/>
        <w:numPr>
          <w:ilvl w:val="0"/>
          <w:numId w:val="7"/>
        </w:numPr>
        <w:spacing w:before="0" w:beforeAutospacing="0" w:after="0" w:afterAutospacing="0" w:line="500" w:lineRule="exact"/>
        <w:ind w:left="0" w:firstLine="664" w:firstLineChars="200"/>
        <w:jc w:val="both"/>
        <w:rPr>
          <w:rFonts w:ascii="仿宋" w:hAnsi="仿宋" w:eastAsia="仿宋" w:cs="仿宋"/>
          <w:bCs/>
          <w:spacing w:val="6"/>
          <w:kern w:val="2"/>
          <w:sz w:val="32"/>
          <w:szCs w:val="32"/>
        </w:rPr>
      </w:pPr>
      <w:r>
        <w:rPr>
          <w:rFonts w:hint="eastAsia" w:ascii="仿宋" w:hAnsi="仿宋" w:eastAsia="仿宋" w:cs="仿宋"/>
          <w:bCs/>
          <w:spacing w:val="6"/>
          <w:kern w:val="2"/>
          <w:sz w:val="32"/>
          <w:szCs w:val="32"/>
        </w:rPr>
        <w:t>漳平市卫生健康事业发展相关资料；</w:t>
      </w:r>
    </w:p>
    <w:p>
      <w:pPr>
        <w:numPr>
          <w:ilvl w:val="0"/>
          <w:numId w:val="6"/>
        </w:numPr>
        <w:spacing w:beforeLines="50" w:afterLines="50" w:line="500" w:lineRule="exact"/>
        <w:ind w:firstLine="667" w:firstLineChars="200"/>
        <w:outlineLvl w:val="1"/>
        <w:rPr>
          <w:rFonts w:ascii="仿宋" w:hAnsi="仿宋" w:eastAsia="仿宋" w:cs="仿宋"/>
          <w:b/>
          <w:spacing w:val="6"/>
          <w:sz w:val="32"/>
          <w:szCs w:val="32"/>
        </w:rPr>
      </w:pPr>
      <w:bookmarkStart w:id="32" w:name="_Toc12869"/>
      <w:bookmarkStart w:id="33" w:name="_Toc57878425"/>
      <w:r>
        <w:rPr>
          <w:rFonts w:hint="eastAsia" w:ascii="仿宋" w:hAnsi="仿宋" w:eastAsia="仿宋" w:cs="仿宋"/>
          <w:b/>
          <w:spacing w:val="6"/>
          <w:sz w:val="32"/>
          <w:szCs w:val="32"/>
        </w:rPr>
        <w:t>规划原则</w:t>
      </w:r>
      <w:bookmarkEnd w:id="32"/>
      <w:bookmarkEnd w:id="33"/>
    </w:p>
    <w:p>
      <w:pPr>
        <w:numPr>
          <w:ilvl w:val="0"/>
          <w:numId w:val="8"/>
        </w:numPr>
        <w:spacing w:beforeLines="50" w:afterLines="50" w:line="500" w:lineRule="exact"/>
        <w:ind w:firstLine="667" w:firstLineChars="200"/>
        <w:outlineLvl w:val="2"/>
        <w:rPr>
          <w:rFonts w:ascii="仿宋" w:hAnsi="仿宋" w:eastAsia="仿宋" w:cs="仿宋"/>
          <w:b/>
          <w:spacing w:val="6"/>
          <w:sz w:val="32"/>
          <w:szCs w:val="32"/>
        </w:rPr>
      </w:pPr>
      <w:r>
        <w:rPr>
          <w:rFonts w:hint="eastAsia" w:ascii="仿宋" w:hAnsi="仿宋" w:eastAsia="仿宋" w:cs="仿宋"/>
          <w:b/>
          <w:spacing w:val="6"/>
          <w:sz w:val="32"/>
          <w:szCs w:val="32"/>
        </w:rPr>
        <w:t>问计于民原则</w:t>
      </w:r>
    </w:p>
    <w:p>
      <w:pPr>
        <w:spacing w:line="500" w:lineRule="exact"/>
        <w:ind w:firstLine="664" w:firstLineChars="200"/>
        <w:rPr>
          <w:rFonts w:ascii="仿宋" w:hAnsi="仿宋" w:eastAsia="仿宋" w:cs="仿宋"/>
          <w:bCs/>
          <w:spacing w:val="6"/>
          <w:sz w:val="32"/>
          <w:szCs w:val="32"/>
        </w:rPr>
      </w:pPr>
      <w:r>
        <w:rPr>
          <w:rFonts w:hint="eastAsia" w:ascii="仿宋" w:hAnsi="仿宋" w:eastAsia="仿宋" w:cs="仿宋"/>
          <w:bCs/>
          <w:spacing w:val="6"/>
          <w:sz w:val="32"/>
          <w:szCs w:val="32"/>
        </w:rPr>
        <w:t>围绕人民至上，生命至上，以健康需求和解决人民群众最关心、最直接、反映最突出的健康问题为出发点和落脚点，为人民群众提供公开、可及的健康服务，促进卫生健康事业更好更快发展。</w:t>
      </w:r>
    </w:p>
    <w:p>
      <w:pPr>
        <w:numPr>
          <w:ilvl w:val="0"/>
          <w:numId w:val="8"/>
        </w:numPr>
        <w:spacing w:beforeLines="50" w:afterLines="50" w:line="500" w:lineRule="exact"/>
        <w:ind w:firstLine="667" w:firstLineChars="200"/>
        <w:outlineLvl w:val="2"/>
        <w:rPr>
          <w:rFonts w:ascii="仿宋" w:hAnsi="仿宋" w:eastAsia="仿宋" w:cs="仿宋"/>
          <w:b/>
          <w:spacing w:val="6"/>
          <w:sz w:val="32"/>
          <w:szCs w:val="32"/>
        </w:rPr>
      </w:pPr>
      <w:r>
        <w:rPr>
          <w:rFonts w:hint="eastAsia" w:ascii="仿宋" w:hAnsi="仿宋" w:eastAsia="仿宋" w:cs="仿宋"/>
          <w:b/>
          <w:spacing w:val="6"/>
          <w:sz w:val="32"/>
          <w:szCs w:val="32"/>
        </w:rPr>
        <w:t>均衡发展原则</w:t>
      </w:r>
    </w:p>
    <w:p>
      <w:pPr>
        <w:spacing w:line="500" w:lineRule="exact"/>
        <w:ind w:firstLine="664" w:firstLineChars="200"/>
        <w:rPr>
          <w:rFonts w:ascii="仿宋" w:hAnsi="仿宋" w:eastAsia="仿宋" w:cs="仿宋"/>
          <w:spacing w:val="6"/>
          <w:sz w:val="32"/>
          <w:szCs w:val="32"/>
        </w:rPr>
      </w:pPr>
      <w:r>
        <w:rPr>
          <w:rFonts w:hint="eastAsia" w:ascii="仿宋" w:hAnsi="仿宋" w:eastAsia="仿宋" w:cs="仿宋"/>
          <w:bCs/>
          <w:spacing w:val="6"/>
          <w:sz w:val="32"/>
          <w:szCs w:val="32"/>
        </w:rPr>
        <w:t>遵循统筹城乡、均衡分布、需求导向和与经济社会协调发展原则，维护基本医疗和基本公共卫生的公益性。充分调动社会办医的积极性和创造性，形成举办主体多元化、投资方式多样化的办医新格局。合理配置医疗卫生资源，推进城乡协调发展，注重预防、医疗、康复相结合，中西医并重，补齐短板，增强医疗卫生事业发展的整体性和均衡性。</w:t>
      </w:r>
    </w:p>
    <w:p>
      <w:pPr>
        <w:numPr>
          <w:ilvl w:val="0"/>
          <w:numId w:val="8"/>
        </w:numPr>
        <w:spacing w:beforeLines="50" w:afterLines="50" w:line="500" w:lineRule="exact"/>
        <w:ind w:firstLine="667" w:firstLineChars="200"/>
        <w:outlineLvl w:val="2"/>
        <w:rPr>
          <w:rFonts w:ascii="仿宋" w:hAnsi="仿宋" w:eastAsia="仿宋" w:cs="仿宋"/>
          <w:b/>
          <w:spacing w:val="6"/>
          <w:sz w:val="32"/>
          <w:szCs w:val="32"/>
        </w:rPr>
      </w:pPr>
      <w:r>
        <w:rPr>
          <w:rFonts w:hint="eastAsia" w:ascii="仿宋" w:hAnsi="仿宋" w:eastAsia="仿宋" w:cs="仿宋"/>
          <w:b/>
          <w:spacing w:val="6"/>
          <w:sz w:val="32"/>
          <w:szCs w:val="32"/>
        </w:rPr>
        <w:t>创新驱动原则</w:t>
      </w:r>
    </w:p>
    <w:p>
      <w:pPr>
        <w:spacing w:line="500" w:lineRule="exact"/>
        <w:ind w:firstLine="664" w:firstLineChars="200"/>
        <w:rPr>
          <w:rFonts w:ascii="仿宋" w:hAnsi="仿宋" w:eastAsia="仿宋" w:cs="仿宋"/>
          <w:bCs/>
          <w:spacing w:val="6"/>
          <w:sz w:val="32"/>
          <w:szCs w:val="32"/>
        </w:rPr>
      </w:pPr>
      <w:r>
        <w:rPr>
          <w:rFonts w:hint="eastAsia" w:ascii="仿宋" w:hAnsi="仿宋" w:eastAsia="仿宋" w:cs="仿宋"/>
          <w:bCs/>
          <w:spacing w:val="6"/>
          <w:sz w:val="32"/>
          <w:szCs w:val="32"/>
        </w:rPr>
        <w:t>实现发展方式由以疾病为中心向以健康为中心转变，推进卫生事业发展由外延粗放式增长向内涵效益型发展转变，促进卫生服务功能与技术转型升级。增强诊疗与康养双驱动，从注重疾病治疗向注重健康促进转变，从注重个体服务向注重家庭和社会群体服务转变。适应新的医学模式，医疗卫生工作关口前移和重心下沉，建立有效的分级诊疗制度。</w:t>
      </w:r>
      <w:bookmarkStart w:id="34" w:name="_Toc403211026"/>
      <w:bookmarkEnd w:id="34"/>
    </w:p>
    <w:p>
      <w:pPr>
        <w:numPr>
          <w:ilvl w:val="0"/>
          <w:numId w:val="8"/>
        </w:numPr>
        <w:spacing w:beforeLines="50" w:afterLines="50" w:line="500" w:lineRule="exact"/>
        <w:ind w:firstLine="667" w:firstLineChars="200"/>
        <w:outlineLvl w:val="2"/>
        <w:rPr>
          <w:rFonts w:ascii="仿宋" w:hAnsi="仿宋" w:eastAsia="仿宋" w:cs="仿宋"/>
          <w:b/>
          <w:spacing w:val="6"/>
          <w:sz w:val="32"/>
          <w:szCs w:val="32"/>
        </w:rPr>
      </w:pPr>
      <w:r>
        <w:rPr>
          <w:rFonts w:hint="eastAsia" w:ascii="仿宋" w:hAnsi="仿宋" w:eastAsia="仿宋" w:cs="仿宋"/>
          <w:b/>
          <w:spacing w:val="6"/>
          <w:sz w:val="32"/>
          <w:szCs w:val="32"/>
        </w:rPr>
        <w:t>高质量发展原则</w:t>
      </w:r>
    </w:p>
    <w:p>
      <w:pPr>
        <w:spacing w:line="500" w:lineRule="exact"/>
        <w:ind w:firstLine="664" w:firstLineChars="200"/>
        <w:rPr>
          <w:rFonts w:ascii="仿宋" w:hAnsi="仿宋" w:eastAsia="仿宋" w:cs="仿宋"/>
          <w:spacing w:val="6"/>
          <w:sz w:val="32"/>
          <w:szCs w:val="32"/>
        </w:rPr>
      </w:pPr>
      <w:r>
        <w:rPr>
          <w:rFonts w:hint="eastAsia" w:ascii="仿宋" w:hAnsi="仿宋" w:eastAsia="仿宋" w:cs="仿宋"/>
          <w:bCs/>
          <w:spacing w:val="6"/>
          <w:sz w:val="32"/>
          <w:szCs w:val="32"/>
        </w:rPr>
        <w:t>贯彻新发展理念，坚持人民至上、生命至上的发展思想，创建医学中心，优质医疗资源下沉，提升县域综合服务能力，推动高质量发展。努力促进卫生事业的协调发展，基础设施建设与事业成长的协同推进。全面推进医疗、医保、医药向全联深动迈进。</w:t>
      </w:r>
    </w:p>
    <w:p>
      <w:pPr>
        <w:numPr>
          <w:ilvl w:val="0"/>
          <w:numId w:val="2"/>
        </w:numPr>
        <w:spacing w:beforeLines="50" w:afterLines="50" w:line="500" w:lineRule="exact"/>
        <w:jc w:val="center"/>
        <w:outlineLvl w:val="0"/>
        <w:rPr>
          <w:rFonts w:ascii="仿宋" w:hAnsi="仿宋" w:eastAsia="仿宋" w:cs="仿宋"/>
          <w:b/>
          <w:spacing w:val="6"/>
          <w:sz w:val="32"/>
          <w:szCs w:val="32"/>
        </w:rPr>
      </w:pPr>
      <w:bookmarkStart w:id="35" w:name="_Toc23373"/>
      <w:bookmarkStart w:id="36" w:name="_Toc57878426"/>
      <w:r>
        <w:rPr>
          <w:rFonts w:hint="eastAsia" w:ascii="仿宋" w:hAnsi="仿宋" w:eastAsia="仿宋" w:cs="仿宋"/>
          <w:b/>
          <w:spacing w:val="6"/>
          <w:sz w:val="32"/>
          <w:szCs w:val="32"/>
        </w:rPr>
        <w:t>规划指导思想和发展目标</w:t>
      </w:r>
      <w:bookmarkEnd w:id="35"/>
      <w:bookmarkEnd w:id="36"/>
    </w:p>
    <w:p>
      <w:pPr>
        <w:numPr>
          <w:ilvl w:val="0"/>
          <w:numId w:val="9"/>
        </w:numPr>
        <w:spacing w:beforeLines="50" w:afterLines="50" w:line="500" w:lineRule="exact"/>
        <w:ind w:firstLine="667" w:firstLineChars="200"/>
        <w:outlineLvl w:val="1"/>
        <w:rPr>
          <w:rFonts w:ascii="仿宋" w:hAnsi="仿宋" w:eastAsia="仿宋" w:cs="仿宋"/>
          <w:b/>
          <w:spacing w:val="6"/>
          <w:sz w:val="32"/>
          <w:szCs w:val="32"/>
        </w:rPr>
      </w:pPr>
      <w:bookmarkStart w:id="37" w:name="_Toc21184"/>
      <w:bookmarkStart w:id="38" w:name="_Toc57878427"/>
      <w:r>
        <w:rPr>
          <w:rFonts w:hint="eastAsia" w:ascii="仿宋" w:hAnsi="仿宋" w:eastAsia="仿宋" w:cs="仿宋"/>
          <w:b/>
          <w:spacing w:val="6"/>
          <w:sz w:val="32"/>
          <w:szCs w:val="32"/>
        </w:rPr>
        <w:t>指导思想</w:t>
      </w:r>
      <w:bookmarkEnd w:id="37"/>
      <w:bookmarkEnd w:id="38"/>
    </w:p>
    <w:p>
      <w:pPr>
        <w:spacing w:line="500" w:lineRule="exact"/>
        <w:ind w:firstLine="664" w:firstLineChars="200"/>
        <w:rPr>
          <w:rFonts w:ascii="仿宋" w:hAnsi="仿宋" w:eastAsia="仿宋" w:cs="仿宋"/>
          <w:spacing w:val="6"/>
          <w:sz w:val="32"/>
          <w:szCs w:val="32"/>
        </w:rPr>
      </w:pPr>
      <w:r>
        <w:rPr>
          <w:rFonts w:hint="eastAsia" w:ascii="仿宋" w:hAnsi="仿宋" w:eastAsia="仿宋" w:cs="仿宋"/>
          <w:spacing w:val="6"/>
          <w:sz w:val="32"/>
          <w:szCs w:val="32"/>
        </w:rPr>
        <w:t>以习近平新时代中国特色社会主义思想为指导，坚持新时代卫生健康工作方针，全面贯彻党的十九大和十九届二中、三中、四中、五中全会精神，坚持以人民为中心的思想，牢固树立大卫生、大健康理念。以健康中国战略为统领，坚持“问计于民”原则，把经济发展的成果“共享”显著体现在人民卫生与健康之上。以预防为主线，以健康服务供给为重点，持续深化医药卫生体制改革。坚持推进以治病为中心向以健康为中心转变，持续推进卫生健康公共资源向基层延伸、向农村覆盖。坚持推进卫生健康基本公共服务均等化、普惠化、便捷化，显著提高漳平人民健康水平，为打造“产城人”融合发展示范区、建设宜居宜业的现代化生态漳平做出新贡献。</w:t>
      </w:r>
    </w:p>
    <w:p>
      <w:pPr>
        <w:numPr>
          <w:ilvl w:val="0"/>
          <w:numId w:val="9"/>
        </w:numPr>
        <w:spacing w:beforeLines="50" w:afterLines="50" w:line="500" w:lineRule="exact"/>
        <w:ind w:firstLine="667" w:firstLineChars="200"/>
        <w:outlineLvl w:val="1"/>
        <w:rPr>
          <w:rFonts w:ascii="仿宋" w:hAnsi="仿宋" w:eastAsia="仿宋" w:cs="仿宋"/>
          <w:b/>
          <w:spacing w:val="6"/>
          <w:sz w:val="32"/>
          <w:szCs w:val="32"/>
        </w:rPr>
      </w:pPr>
      <w:bookmarkStart w:id="39" w:name="_Toc57878428"/>
      <w:bookmarkStart w:id="40" w:name="_Toc20274"/>
      <w:r>
        <w:rPr>
          <w:rFonts w:hint="eastAsia" w:ascii="仿宋" w:hAnsi="仿宋" w:eastAsia="仿宋" w:cs="仿宋"/>
          <w:b/>
          <w:spacing w:val="6"/>
          <w:sz w:val="32"/>
          <w:szCs w:val="32"/>
        </w:rPr>
        <w:t>发展目标</w:t>
      </w:r>
      <w:bookmarkEnd w:id="39"/>
      <w:bookmarkEnd w:id="40"/>
    </w:p>
    <w:p>
      <w:pPr>
        <w:spacing w:line="500" w:lineRule="exact"/>
        <w:ind w:firstLine="664" w:firstLineChars="200"/>
        <w:rPr>
          <w:rFonts w:ascii="仿宋" w:hAnsi="仿宋" w:eastAsia="仿宋" w:cs="仿宋"/>
          <w:spacing w:val="6"/>
          <w:sz w:val="32"/>
          <w:szCs w:val="32"/>
        </w:rPr>
      </w:pPr>
      <w:r>
        <w:rPr>
          <w:rFonts w:hint="eastAsia" w:ascii="仿宋" w:hAnsi="仿宋" w:eastAsia="仿宋" w:cs="仿宋"/>
          <w:spacing w:val="6"/>
          <w:sz w:val="32"/>
          <w:szCs w:val="32"/>
        </w:rPr>
        <w:t>到2025年，进一步完善国民健康政策，为人民群众提供全方位全生命周期健康服务，卫生健康实现高质量发展超越，居民健康指标继续保持全国水平。基本公共卫生服务体系健全，医疗卫生服务能力提升，“三医”全联深动推进，整合型服务体系初步构建，现代医院管理制度建立，实现城乡均等化发展，人均预期寿命在2020年基础上提高1岁，“健康漳平”战略实施成效显著，在创建省级卫生城市、</w:t>
      </w:r>
      <w:r>
        <w:rPr>
          <w:rFonts w:hint="eastAsia" w:ascii="仿宋" w:hAnsi="仿宋" w:eastAsia="仿宋" w:cs="仿宋"/>
          <w:bCs/>
          <w:spacing w:val="11"/>
          <w:kern w:val="0"/>
          <w:sz w:val="32"/>
          <w:szCs w:val="32"/>
        </w:rPr>
        <w:t>全民运动健身模范市</w:t>
      </w:r>
      <w:r>
        <w:rPr>
          <w:rFonts w:hint="eastAsia" w:ascii="仿宋" w:hAnsi="仿宋" w:eastAsia="仿宋" w:cs="仿宋"/>
          <w:spacing w:val="6"/>
          <w:sz w:val="32"/>
          <w:szCs w:val="32"/>
        </w:rPr>
        <w:t>的基础上，通过“十四五”时期的努力，创建“国家卫生城市、全国群众体育先进集体”，建设健康、宜居、美丽家园。</w:t>
      </w:r>
    </w:p>
    <w:p>
      <w:pPr>
        <w:spacing w:line="500" w:lineRule="exact"/>
        <w:ind w:firstLine="664" w:firstLineChars="200"/>
        <w:rPr>
          <w:rFonts w:ascii="仿宋" w:hAnsi="仿宋" w:eastAsia="仿宋" w:cs="仿宋"/>
          <w:spacing w:val="6"/>
          <w:sz w:val="32"/>
          <w:szCs w:val="32"/>
        </w:rPr>
      </w:pPr>
      <w:r>
        <w:rPr>
          <w:rFonts w:hint="eastAsia" w:ascii="仿宋" w:hAnsi="仿宋" w:eastAsia="仿宋" w:cs="仿宋"/>
          <w:spacing w:val="6"/>
          <w:sz w:val="32"/>
          <w:szCs w:val="32"/>
        </w:rPr>
        <w:t>——制度体系更加成熟定型。持续深化医药卫生体制改革、卫生计生及法律制度进一步健全实施，治理体系和治理能力现代化水平不断提升，健康融入政策实施有效。</w:t>
      </w:r>
    </w:p>
    <w:p>
      <w:pPr>
        <w:spacing w:line="500" w:lineRule="exact"/>
        <w:ind w:firstLine="664" w:firstLineChars="200"/>
        <w:rPr>
          <w:rFonts w:ascii="仿宋" w:hAnsi="仿宋" w:eastAsia="仿宋" w:cs="仿宋"/>
          <w:spacing w:val="6"/>
          <w:sz w:val="32"/>
          <w:szCs w:val="32"/>
        </w:rPr>
      </w:pPr>
      <w:r>
        <w:rPr>
          <w:rFonts w:hint="eastAsia" w:ascii="仿宋" w:hAnsi="仿宋" w:eastAsia="仿宋" w:cs="仿宋"/>
          <w:spacing w:val="6"/>
          <w:sz w:val="32"/>
          <w:szCs w:val="32"/>
        </w:rPr>
        <w:t>——医疗卫生服务能力和质量大幅提高。公共卫生服务卫生体系进一步完善，执业环境不断改善，医疗服务高质量发展，更好满足人民群众基本医疗卫生服务需求和多样化、多层次诊疗需求、群众对诊疗能力与健康服务的满意度提升到90%以上。</w:t>
      </w:r>
    </w:p>
    <w:p>
      <w:pPr>
        <w:spacing w:line="500" w:lineRule="exact"/>
        <w:ind w:firstLine="664" w:firstLineChars="200"/>
        <w:rPr>
          <w:rFonts w:ascii="仿宋" w:hAnsi="仿宋" w:eastAsia="仿宋" w:cs="仿宋"/>
          <w:spacing w:val="6"/>
          <w:sz w:val="32"/>
          <w:szCs w:val="32"/>
        </w:rPr>
      </w:pPr>
      <w:r>
        <w:rPr>
          <w:rFonts w:hint="eastAsia" w:ascii="仿宋" w:hAnsi="仿宋" w:eastAsia="仿宋" w:cs="仿宋"/>
          <w:spacing w:val="6"/>
          <w:sz w:val="32"/>
          <w:szCs w:val="32"/>
        </w:rPr>
        <w:t>——疾病预防控制成效显著。坚持预防为主，防抗救相结合，完善重大疫情防控体制机制，健全公共卫生应急管理体系建设，重点传染病等疾病突发的防控能力加强，提升居民健康素养，有效控制健康危险因素，消除一批重大疾病，做到早发现、早诊疗。</w:t>
      </w:r>
    </w:p>
    <w:p>
      <w:pPr>
        <w:spacing w:line="500" w:lineRule="exact"/>
        <w:ind w:firstLine="664" w:firstLineChars="200"/>
        <w:rPr>
          <w:rFonts w:ascii="仿宋" w:hAnsi="仿宋" w:eastAsia="仿宋" w:cs="仿宋"/>
          <w:spacing w:val="6"/>
          <w:sz w:val="32"/>
          <w:szCs w:val="32"/>
        </w:rPr>
      </w:pPr>
      <w:r>
        <w:rPr>
          <w:rFonts w:hint="eastAsia" w:ascii="仿宋" w:hAnsi="仿宋" w:eastAsia="仿宋" w:cs="仿宋"/>
          <w:spacing w:val="6"/>
          <w:sz w:val="32"/>
          <w:szCs w:val="32"/>
        </w:rPr>
        <w:t>——健康服务模式实现转变。康养产业实现新发展，“康养漳平”成为国家级新名片，农村健康服务模式适应农村老人康养。</w:t>
      </w:r>
    </w:p>
    <w:p>
      <w:pPr>
        <w:spacing w:line="500" w:lineRule="exact"/>
        <w:ind w:firstLine="664" w:firstLineChars="200"/>
        <w:rPr>
          <w:rFonts w:hint="eastAsia" w:ascii="仿宋" w:hAnsi="仿宋" w:eastAsia="仿宋" w:cs="仿宋"/>
          <w:spacing w:val="6"/>
          <w:sz w:val="32"/>
          <w:szCs w:val="32"/>
        </w:rPr>
      </w:pPr>
      <w:r>
        <w:rPr>
          <w:rFonts w:hint="eastAsia" w:ascii="仿宋" w:hAnsi="仿宋" w:eastAsia="仿宋" w:cs="仿宋"/>
          <w:spacing w:val="6"/>
          <w:sz w:val="32"/>
          <w:szCs w:val="32"/>
        </w:rPr>
        <w:t>——保障持续发展明显改善。政府投入力度不断加大，筹资渠道更加多元，群众医药费用负担进一步减轻，个人卫生支出占卫生总费用比重下降到25%左右。完善医学人才培养和发展体系，促进人岗相宜、人尽其才，增强卫生健康行业对优秀人才的吸引力。医疗健康信息化、智能化水平不断提高。</w:t>
      </w:r>
    </w:p>
    <w:p>
      <w:pPr>
        <w:spacing w:line="500" w:lineRule="exact"/>
        <w:ind w:firstLine="664" w:firstLineChars="200"/>
        <w:rPr>
          <w:rFonts w:hint="eastAsia" w:ascii="仿宋" w:hAnsi="仿宋" w:eastAsia="仿宋" w:cs="仿宋"/>
          <w:spacing w:val="6"/>
          <w:sz w:val="32"/>
          <w:szCs w:val="32"/>
        </w:rPr>
      </w:pPr>
    </w:p>
    <w:p>
      <w:pPr>
        <w:spacing w:line="360" w:lineRule="auto"/>
        <w:jc w:val="center"/>
        <w:rPr>
          <w:rFonts w:ascii="仿宋" w:hAnsi="仿宋" w:eastAsia="仿宋" w:cs="仿宋"/>
          <w:sz w:val="24"/>
          <w:szCs w:val="24"/>
        </w:rPr>
      </w:pPr>
      <w:r>
        <w:rPr>
          <w:rFonts w:hint="eastAsia" w:ascii="仿宋" w:hAnsi="仿宋" w:eastAsia="仿宋" w:cs="仿宋"/>
          <w:sz w:val="24"/>
          <w:szCs w:val="24"/>
        </w:rPr>
        <w:t>表1  主要发展指标 </w:t>
      </w:r>
    </w:p>
    <w:tbl>
      <w:tblPr>
        <w:tblStyle w:val="12"/>
        <w:tblW w:w="53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90"/>
        <w:gridCol w:w="4647"/>
        <w:gridCol w:w="856"/>
        <w:gridCol w:w="856"/>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8" w:hRule="atLeast"/>
          <w:jc w:val="center"/>
        </w:trPr>
        <w:tc>
          <w:tcPr>
            <w:tcW w:w="731" w:type="pct"/>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领域</w:t>
            </w:r>
          </w:p>
        </w:tc>
        <w:tc>
          <w:tcPr>
            <w:tcW w:w="2634" w:type="pct"/>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主要指标</w:t>
            </w:r>
          </w:p>
        </w:tc>
        <w:tc>
          <w:tcPr>
            <w:tcW w:w="485" w:type="pct"/>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单位</w:t>
            </w:r>
          </w:p>
        </w:tc>
        <w:tc>
          <w:tcPr>
            <w:tcW w:w="485" w:type="pct"/>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2020年现状</w:t>
            </w:r>
          </w:p>
        </w:tc>
        <w:tc>
          <w:tcPr>
            <w:tcW w:w="662" w:type="pct"/>
            <w:tcMar>
              <w:top w:w="15" w:type="dxa"/>
              <w:left w:w="15" w:type="dxa"/>
              <w:right w:w="15" w:type="dxa"/>
            </w:tcMar>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规划</w:t>
            </w:r>
          </w:p>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731" w:type="pct"/>
            <w:vMerge w:val="restart"/>
            <w:tcMar>
              <w:top w:w="15" w:type="dxa"/>
              <w:left w:w="15" w:type="dxa"/>
              <w:right w:w="15" w:type="dxa"/>
            </w:tcMar>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居民</w:t>
            </w:r>
          </w:p>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健康水平</w:t>
            </w:r>
          </w:p>
        </w:tc>
        <w:tc>
          <w:tcPr>
            <w:tcW w:w="2634" w:type="pct"/>
            <w:tcMar>
              <w:top w:w="15" w:type="dxa"/>
              <w:left w:w="15" w:type="dxa"/>
              <w:right w:w="15" w:type="dxa"/>
            </w:tcMar>
            <w:vAlign w:val="center"/>
          </w:tcPr>
          <w:p>
            <w:pPr>
              <w:widowControl/>
              <w:textAlignment w:val="center"/>
              <w:rPr>
                <w:rFonts w:ascii="仿宋" w:hAnsi="仿宋" w:eastAsia="仿宋" w:cs="仿宋"/>
                <w:sz w:val="24"/>
                <w:szCs w:val="24"/>
              </w:rPr>
            </w:pPr>
            <w:r>
              <w:rPr>
                <w:rFonts w:hint="eastAsia" w:ascii="仿宋" w:hAnsi="仿宋" w:eastAsia="仿宋" w:cs="仿宋"/>
                <w:kern w:val="0"/>
                <w:sz w:val="24"/>
                <w:szCs w:val="24"/>
              </w:rPr>
              <w:t>人均预期寿命</w:t>
            </w:r>
          </w:p>
        </w:tc>
        <w:tc>
          <w:tcPr>
            <w:tcW w:w="485" w:type="pct"/>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岁</w:t>
            </w:r>
          </w:p>
        </w:tc>
        <w:tc>
          <w:tcPr>
            <w:tcW w:w="485" w:type="pct"/>
            <w:tcMar>
              <w:top w:w="15" w:type="dxa"/>
              <w:left w:w="15"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78.29</w:t>
            </w:r>
          </w:p>
        </w:tc>
        <w:tc>
          <w:tcPr>
            <w:tcW w:w="662" w:type="pct"/>
            <w:tcMar>
              <w:top w:w="15" w:type="dxa"/>
              <w:left w:w="15" w:type="dxa"/>
              <w:right w:w="15" w:type="dxa"/>
            </w:tcMar>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rPr>
              <w:t>79</w:t>
            </w:r>
            <w:r>
              <w:rPr>
                <w:rFonts w:hint="eastAsia" w:ascii="仿宋" w:hAnsi="仿宋" w:eastAsia="仿宋" w:cs="仿宋"/>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731" w:type="pct"/>
            <w:vMerge w:val="continue"/>
            <w:tcMar>
              <w:top w:w="15" w:type="dxa"/>
              <w:left w:w="15" w:type="dxa"/>
              <w:right w:w="15" w:type="dxa"/>
            </w:tcMar>
            <w:vAlign w:val="center"/>
          </w:tcPr>
          <w:p>
            <w:pPr>
              <w:jc w:val="center"/>
              <w:rPr>
                <w:rFonts w:ascii="仿宋" w:hAnsi="仿宋" w:eastAsia="仿宋" w:cs="仿宋"/>
                <w:sz w:val="24"/>
                <w:szCs w:val="24"/>
              </w:rPr>
            </w:pPr>
          </w:p>
        </w:tc>
        <w:tc>
          <w:tcPr>
            <w:tcW w:w="2634" w:type="pct"/>
            <w:tcMar>
              <w:top w:w="15" w:type="dxa"/>
              <w:left w:w="15" w:type="dxa"/>
              <w:right w:w="15" w:type="dxa"/>
            </w:tcMar>
            <w:vAlign w:val="center"/>
          </w:tcPr>
          <w:p>
            <w:pPr>
              <w:widowControl/>
              <w:textAlignment w:val="center"/>
              <w:rPr>
                <w:rFonts w:ascii="仿宋" w:hAnsi="仿宋" w:eastAsia="仿宋" w:cs="仿宋"/>
                <w:sz w:val="24"/>
                <w:szCs w:val="24"/>
              </w:rPr>
            </w:pPr>
            <w:r>
              <w:rPr>
                <w:rFonts w:hint="eastAsia" w:ascii="仿宋" w:hAnsi="仿宋" w:eastAsia="仿宋" w:cs="仿宋"/>
                <w:kern w:val="0"/>
                <w:sz w:val="24"/>
                <w:szCs w:val="24"/>
              </w:rPr>
              <w:t>孕产妇死亡率</w:t>
            </w:r>
          </w:p>
        </w:tc>
        <w:tc>
          <w:tcPr>
            <w:tcW w:w="485" w:type="pct"/>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/10万</w:t>
            </w:r>
          </w:p>
        </w:tc>
        <w:tc>
          <w:tcPr>
            <w:tcW w:w="485" w:type="pct"/>
            <w:tcMar>
              <w:top w:w="15" w:type="dxa"/>
              <w:left w:w="15"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0</w:t>
            </w:r>
          </w:p>
        </w:tc>
        <w:tc>
          <w:tcPr>
            <w:tcW w:w="662" w:type="pct"/>
            <w:tcMar>
              <w:top w:w="15" w:type="dxa"/>
              <w:left w:w="15" w:type="dxa"/>
              <w:right w:w="15"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7" w:hRule="atLeast"/>
          <w:jc w:val="center"/>
        </w:trPr>
        <w:tc>
          <w:tcPr>
            <w:tcW w:w="731" w:type="pct"/>
            <w:vMerge w:val="continue"/>
            <w:tcMar>
              <w:top w:w="15" w:type="dxa"/>
              <w:left w:w="15" w:type="dxa"/>
              <w:right w:w="15" w:type="dxa"/>
            </w:tcMar>
            <w:vAlign w:val="center"/>
          </w:tcPr>
          <w:p>
            <w:pPr>
              <w:jc w:val="center"/>
              <w:rPr>
                <w:rFonts w:ascii="仿宋" w:hAnsi="仿宋" w:eastAsia="仿宋" w:cs="仿宋"/>
                <w:sz w:val="24"/>
                <w:szCs w:val="24"/>
              </w:rPr>
            </w:pPr>
          </w:p>
        </w:tc>
        <w:tc>
          <w:tcPr>
            <w:tcW w:w="2634" w:type="pct"/>
            <w:tcMar>
              <w:top w:w="15" w:type="dxa"/>
              <w:left w:w="15" w:type="dxa"/>
              <w:right w:w="15" w:type="dxa"/>
            </w:tcMar>
            <w:vAlign w:val="center"/>
          </w:tcPr>
          <w:p>
            <w:pPr>
              <w:widowControl/>
              <w:textAlignment w:val="center"/>
              <w:rPr>
                <w:rFonts w:ascii="仿宋" w:hAnsi="仿宋" w:eastAsia="仿宋" w:cs="仿宋"/>
                <w:sz w:val="24"/>
                <w:szCs w:val="24"/>
              </w:rPr>
            </w:pPr>
            <w:r>
              <w:rPr>
                <w:rFonts w:hint="eastAsia" w:ascii="仿宋" w:hAnsi="仿宋" w:eastAsia="仿宋" w:cs="仿宋"/>
                <w:kern w:val="0"/>
                <w:sz w:val="24"/>
                <w:szCs w:val="24"/>
              </w:rPr>
              <w:t>婴儿死亡率</w:t>
            </w:r>
          </w:p>
        </w:tc>
        <w:tc>
          <w:tcPr>
            <w:tcW w:w="485" w:type="pct"/>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w:t>
            </w:r>
          </w:p>
        </w:tc>
        <w:tc>
          <w:tcPr>
            <w:tcW w:w="485" w:type="pct"/>
            <w:tcMar>
              <w:top w:w="15" w:type="dxa"/>
              <w:left w:w="15"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2.6</w:t>
            </w:r>
          </w:p>
        </w:tc>
        <w:tc>
          <w:tcPr>
            <w:tcW w:w="662" w:type="pct"/>
            <w:tcMar>
              <w:top w:w="15" w:type="dxa"/>
              <w:left w:w="15"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731" w:type="pct"/>
            <w:vMerge w:val="restart"/>
            <w:tcMar>
              <w:top w:w="15" w:type="dxa"/>
              <w:left w:w="15" w:type="dxa"/>
              <w:right w:w="15" w:type="dxa"/>
            </w:tcMar>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卫生健康资源发展</w:t>
            </w:r>
          </w:p>
        </w:tc>
        <w:tc>
          <w:tcPr>
            <w:tcW w:w="2634" w:type="pct"/>
            <w:tcMar>
              <w:top w:w="15" w:type="dxa"/>
              <w:left w:w="15" w:type="dxa"/>
              <w:right w:w="15" w:type="dxa"/>
            </w:tcMar>
            <w:vAlign w:val="center"/>
          </w:tcPr>
          <w:p>
            <w:pPr>
              <w:widowControl/>
              <w:textAlignment w:val="center"/>
              <w:rPr>
                <w:rFonts w:ascii="仿宋" w:hAnsi="仿宋" w:eastAsia="仿宋" w:cs="仿宋"/>
                <w:kern w:val="0"/>
                <w:sz w:val="24"/>
                <w:szCs w:val="24"/>
              </w:rPr>
            </w:pPr>
            <w:r>
              <w:rPr>
                <w:rFonts w:hint="eastAsia" w:ascii="仿宋" w:hAnsi="仿宋" w:eastAsia="仿宋" w:cs="仿宋"/>
                <w:kern w:val="0"/>
                <w:sz w:val="24"/>
                <w:szCs w:val="24"/>
              </w:rPr>
              <w:t>每千人口医疗卫生机构床位数</w:t>
            </w:r>
          </w:p>
        </w:tc>
        <w:tc>
          <w:tcPr>
            <w:tcW w:w="485" w:type="pct"/>
            <w:tcMar>
              <w:top w:w="15" w:type="dxa"/>
              <w:left w:w="15" w:type="dxa"/>
              <w:right w:w="15" w:type="dxa"/>
            </w:tcMar>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张</w:t>
            </w:r>
          </w:p>
        </w:tc>
        <w:tc>
          <w:tcPr>
            <w:tcW w:w="485" w:type="pct"/>
            <w:tcMar>
              <w:top w:w="15" w:type="dxa"/>
              <w:left w:w="15"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6</w:t>
            </w:r>
          </w:p>
        </w:tc>
        <w:tc>
          <w:tcPr>
            <w:tcW w:w="662" w:type="pct"/>
            <w:tcMar>
              <w:top w:w="15" w:type="dxa"/>
              <w:left w:w="15" w:type="dxa"/>
              <w:right w:w="15" w:type="dxa"/>
            </w:tcMar>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731" w:type="pct"/>
            <w:vMerge w:val="continue"/>
            <w:tcMar>
              <w:top w:w="15" w:type="dxa"/>
              <w:left w:w="15" w:type="dxa"/>
              <w:right w:w="15" w:type="dxa"/>
            </w:tcMar>
            <w:vAlign w:val="center"/>
          </w:tcPr>
          <w:p>
            <w:pPr>
              <w:jc w:val="center"/>
              <w:rPr>
                <w:rFonts w:ascii="仿宋" w:hAnsi="仿宋" w:eastAsia="仿宋" w:cs="仿宋"/>
                <w:kern w:val="0"/>
                <w:sz w:val="24"/>
                <w:szCs w:val="24"/>
              </w:rPr>
            </w:pPr>
          </w:p>
        </w:tc>
        <w:tc>
          <w:tcPr>
            <w:tcW w:w="2634" w:type="pct"/>
            <w:tcMar>
              <w:top w:w="15" w:type="dxa"/>
              <w:left w:w="15" w:type="dxa"/>
              <w:right w:w="15" w:type="dxa"/>
            </w:tcMar>
            <w:vAlign w:val="center"/>
          </w:tcPr>
          <w:p>
            <w:pPr>
              <w:widowControl/>
              <w:textAlignment w:val="center"/>
              <w:rPr>
                <w:rFonts w:ascii="仿宋" w:hAnsi="仿宋" w:eastAsia="仿宋" w:cs="仿宋"/>
                <w:kern w:val="0"/>
                <w:sz w:val="24"/>
                <w:szCs w:val="24"/>
              </w:rPr>
            </w:pPr>
            <w:r>
              <w:rPr>
                <w:rFonts w:hint="eastAsia" w:ascii="仿宋" w:hAnsi="仿宋" w:eastAsia="仿宋" w:cs="仿宋"/>
                <w:kern w:val="0"/>
                <w:sz w:val="24"/>
                <w:szCs w:val="24"/>
              </w:rPr>
              <w:t>每千人口执业（助理）医师数</w:t>
            </w:r>
          </w:p>
        </w:tc>
        <w:tc>
          <w:tcPr>
            <w:tcW w:w="485" w:type="pct"/>
            <w:tcMar>
              <w:top w:w="15" w:type="dxa"/>
              <w:left w:w="15" w:type="dxa"/>
              <w:right w:w="15" w:type="dxa"/>
            </w:tcMar>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人</w:t>
            </w:r>
          </w:p>
        </w:tc>
        <w:tc>
          <w:tcPr>
            <w:tcW w:w="485" w:type="pct"/>
            <w:tcMar>
              <w:top w:w="15" w:type="dxa"/>
              <w:left w:w="15" w:type="dxa"/>
              <w:right w:w="15" w:type="dxa"/>
            </w:tcMar>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2.74</w:t>
            </w:r>
          </w:p>
        </w:tc>
        <w:tc>
          <w:tcPr>
            <w:tcW w:w="662" w:type="pct"/>
            <w:tcMar>
              <w:top w:w="15" w:type="dxa"/>
              <w:left w:w="15" w:type="dxa"/>
              <w:right w:w="15" w:type="dxa"/>
            </w:tcMar>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731" w:type="pct"/>
            <w:vMerge w:val="continue"/>
            <w:tcMar>
              <w:top w:w="15" w:type="dxa"/>
              <w:left w:w="15" w:type="dxa"/>
              <w:right w:w="15" w:type="dxa"/>
            </w:tcMar>
            <w:vAlign w:val="center"/>
          </w:tcPr>
          <w:p>
            <w:pPr>
              <w:jc w:val="center"/>
              <w:rPr>
                <w:rFonts w:ascii="仿宋" w:hAnsi="仿宋" w:eastAsia="仿宋" w:cs="仿宋"/>
                <w:kern w:val="0"/>
                <w:sz w:val="24"/>
                <w:szCs w:val="24"/>
              </w:rPr>
            </w:pPr>
          </w:p>
        </w:tc>
        <w:tc>
          <w:tcPr>
            <w:tcW w:w="2634" w:type="pct"/>
            <w:tcMar>
              <w:top w:w="15" w:type="dxa"/>
              <w:left w:w="15" w:type="dxa"/>
              <w:right w:w="15" w:type="dxa"/>
            </w:tcMar>
            <w:vAlign w:val="center"/>
          </w:tcPr>
          <w:p>
            <w:pPr>
              <w:widowControl/>
              <w:textAlignment w:val="center"/>
              <w:rPr>
                <w:rFonts w:ascii="仿宋" w:hAnsi="仿宋" w:eastAsia="仿宋" w:cs="仿宋"/>
                <w:kern w:val="0"/>
                <w:sz w:val="24"/>
                <w:szCs w:val="24"/>
              </w:rPr>
            </w:pPr>
            <w:r>
              <w:rPr>
                <w:rFonts w:hint="eastAsia" w:ascii="仿宋" w:hAnsi="仿宋" w:eastAsia="仿宋" w:cs="仿宋"/>
                <w:kern w:val="0"/>
                <w:sz w:val="24"/>
                <w:szCs w:val="24"/>
              </w:rPr>
              <w:t>每千人口注册护士数</w:t>
            </w:r>
          </w:p>
        </w:tc>
        <w:tc>
          <w:tcPr>
            <w:tcW w:w="485" w:type="pct"/>
            <w:tcMar>
              <w:top w:w="15" w:type="dxa"/>
              <w:left w:w="15" w:type="dxa"/>
              <w:right w:w="15" w:type="dxa"/>
            </w:tcMar>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人</w:t>
            </w:r>
          </w:p>
        </w:tc>
        <w:tc>
          <w:tcPr>
            <w:tcW w:w="485" w:type="pct"/>
            <w:tcMar>
              <w:top w:w="15" w:type="dxa"/>
              <w:left w:w="15"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3.14</w:t>
            </w:r>
          </w:p>
        </w:tc>
        <w:tc>
          <w:tcPr>
            <w:tcW w:w="662" w:type="pct"/>
            <w:tcMar>
              <w:top w:w="15" w:type="dxa"/>
              <w:left w:w="15"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7" w:hRule="atLeast"/>
          <w:jc w:val="center"/>
        </w:trPr>
        <w:tc>
          <w:tcPr>
            <w:tcW w:w="731" w:type="pct"/>
            <w:vMerge w:val="continue"/>
            <w:tcMar>
              <w:top w:w="15" w:type="dxa"/>
              <w:left w:w="15" w:type="dxa"/>
              <w:right w:w="15" w:type="dxa"/>
            </w:tcMar>
            <w:vAlign w:val="center"/>
          </w:tcPr>
          <w:p>
            <w:pPr>
              <w:jc w:val="center"/>
              <w:rPr>
                <w:rFonts w:ascii="仿宋" w:hAnsi="仿宋" w:eastAsia="仿宋" w:cs="仿宋"/>
                <w:kern w:val="0"/>
                <w:sz w:val="24"/>
                <w:szCs w:val="24"/>
              </w:rPr>
            </w:pPr>
          </w:p>
        </w:tc>
        <w:tc>
          <w:tcPr>
            <w:tcW w:w="2634" w:type="pct"/>
            <w:tcMar>
              <w:top w:w="15" w:type="dxa"/>
              <w:left w:w="15" w:type="dxa"/>
              <w:right w:w="15" w:type="dxa"/>
            </w:tcMar>
            <w:vAlign w:val="center"/>
          </w:tcPr>
          <w:p>
            <w:pPr>
              <w:widowControl/>
              <w:textAlignment w:val="center"/>
              <w:rPr>
                <w:rFonts w:ascii="仿宋" w:hAnsi="仿宋" w:eastAsia="仿宋" w:cs="仿宋"/>
                <w:kern w:val="0"/>
                <w:sz w:val="24"/>
                <w:szCs w:val="24"/>
              </w:rPr>
            </w:pPr>
            <w:r>
              <w:rPr>
                <w:rFonts w:hint="eastAsia" w:ascii="仿宋" w:hAnsi="仿宋" w:eastAsia="仿宋" w:cs="仿宋"/>
                <w:kern w:val="0"/>
                <w:sz w:val="24"/>
                <w:szCs w:val="24"/>
              </w:rPr>
              <w:t>每万人口全科医生数</w:t>
            </w:r>
          </w:p>
        </w:tc>
        <w:tc>
          <w:tcPr>
            <w:tcW w:w="485" w:type="pct"/>
            <w:tcMar>
              <w:top w:w="15" w:type="dxa"/>
              <w:left w:w="15" w:type="dxa"/>
              <w:right w:w="15" w:type="dxa"/>
            </w:tcMar>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人</w:t>
            </w:r>
          </w:p>
        </w:tc>
        <w:tc>
          <w:tcPr>
            <w:tcW w:w="485" w:type="pct"/>
            <w:tcMar>
              <w:top w:w="15" w:type="dxa"/>
              <w:left w:w="15"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≥2</w:t>
            </w:r>
          </w:p>
        </w:tc>
        <w:tc>
          <w:tcPr>
            <w:tcW w:w="662" w:type="pct"/>
            <w:tcMar>
              <w:top w:w="15" w:type="dxa"/>
              <w:left w:w="15"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731" w:type="pct"/>
            <w:vMerge w:val="continue"/>
            <w:tcMar>
              <w:top w:w="15" w:type="dxa"/>
              <w:left w:w="15" w:type="dxa"/>
              <w:right w:w="15" w:type="dxa"/>
            </w:tcMar>
            <w:vAlign w:val="center"/>
          </w:tcPr>
          <w:p>
            <w:pPr>
              <w:jc w:val="center"/>
              <w:rPr>
                <w:rFonts w:ascii="仿宋" w:hAnsi="仿宋" w:eastAsia="仿宋" w:cs="仿宋"/>
                <w:kern w:val="0"/>
                <w:sz w:val="24"/>
                <w:szCs w:val="24"/>
              </w:rPr>
            </w:pPr>
          </w:p>
        </w:tc>
        <w:tc>
          <w:tcPr>
            <w:tcW w:w="2634" w:type="pct"/>
            <w:tcMar>
              <w:top w:w="15" w:type="dxa"/>
              <w:left w:w="15" w:type="dxa"/>
              <w:right w:w="15" w:type="dxa"/>
            </w:tcMar>
            <w:vAlign w:val="center"/>
          </w:tcPr>
          <w:p>
            <w:pPr>
              <w:widowControl/>
              <w:textAlignment w:val="center"/>
              <w:rPr>
                <w:rFonts w:ascii="仿宋" w:hAnsi="仿宋" w:eastAsia="仿宋" w:cs="仿宋"/>
                <w:kern w:val="0"/>
                <w:sz w:val="24"/>
                <w:szCs w:val="24"/>
              </w:rPr>
            </w:pPr>
            <w:r>
              <w:rPr>
                <w:rFonts w:hint="eastAsia" w:ascii="仿宋" w:hAnsi="仿宋" w:eastAsia="仿宋" w:cs="仿宋"/>
                <w:kern w:val="0"/>
                <w:sz w:val="24"/>
                <w:szCs w:val="24"/>
              </w:rPr>
              <w:t>每万人口中医类医院床位数</w:t>
            </w:r>
          </w:p>
        </w:tc>
        <w:tc>
          <w:tcPr>
            <w:tcW w:w="485" w:type="pct"/>
            <w:tcMar>
              <w:top w:w="15" w:type="dxa"/>
              <w:left w:w="15" w:type="dxa"/>
              <w:right w:w="15" w:type="dxa"/>
            </w:tcMar>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张</w:t>
            </w:r>
          </w:p>
        </w:tc>
        <w:tc>
          <w:tcPr>
            <w:tcW w:w="485" w:type="pct"/>
            <w:tcMar>
              <w:top w:w="15" w:type="dxa"/>
              <w:left w:w="15" w:type="dxa"/>
              <w:right w:w="15" w:type="dxa"/>
            </w:tcMar>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4.2</w:t>
            </w:r>
          </w:p>
        </w:tc>
        <w:tc>
          <w:tcPr>
            <w:tcW w:w="662" w:type="pct"/>
            <w:tcMar>
              <w:top w:w="15" w:type="dxa"/>
              <w:left w:w="15" w:type="dxa"/>
              <w:right w:w="15" w:type="dxa"/>
            </w:tcMar>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731" w:type="pct"/>
            <w:vMerge w:val="continue"/>
            <w:tcMar>
              <w:top w:w="15" w:type="dxa"/>
              <w:left w:w="15" w:type="dxa"/>
              <w:right w:w="15" w:type="dxa"/>
            </w:tcMar>
            <w:vAlign w:val="center"/>
          </w:tcPr>
          <w:p>
            <w:pPr>
              <w:jc w:val="center"/>
              <w:rPr>
                <w:rFonts w:ascii="仿宋" w:hAnsi="仿宋" w:eastAsia="仿宋" w:cs="仿宋"/>
                <w:kern w:val="0"/>
                <w:sz w:val="24"/>
                <w:szCs w:val="24"/>
              </w:rPr>
            </w:pPr>
          </w:p>
        </w:tc>
        <w:tc>
          <w:tcPr>
            <w:tcW w:w="2634" w:type="pct"/>
            <w:tcMar>
              <w:top w:w="15" w:type="dxa"/>
              <w:left w:w="15" w:type="dxa"/>
              <w:right w:w="15" w:type="dxa"/>
            </w:tcMar>
            <w:vAlign w:val="center"/>
          </w:tcPr>
          <w:p>
            <w:pPr>
              <w:widowControl/>
              <w:textAlignment w:val="center"/>
              <w:rPr>
                <w:rFonts w:ascii="仿宋" w:hAnsi="仿宋" w:eastAsia="仿宋" w:cs="仿宋"/>
                <w:kern w:val="0"/>
                <w:sz w:val="24"/>
                <w:szCs w:val="24"/>
              </w:rPr>
            </w:pPr>
            <w:r>
              <w:rPr>
                <w:rFonts w:hint="eastAsia" w:ascii="仿宋" w:hAnsi="仿宋" w:eastAsia="仿宋" w:cs="仿宋"/>
                <w:kern w:val="0"/>
                <w:sz w:val="24"/>
                <w:szCs w:val="24"/>
              </w:rPr>
              <w:t>每万人口中医药人数</w:t>
            </w:r>
          </w:p>
        </w:tc>
        <w:tc>
          <w:tcPr>
            <w:tcW w:w="485" w:type="pct"/>
            <w:tcMar>
              <w:top w:w="15" w:type="dxa"/>
              <w:left w:w="15" w:type="dxa"/>
              <w:right w:w="15" w:type="dxa"/>
            </w:tcMar>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人</w:t>
            </w:r>
          </w:p>
        </w:tc>
        <w:tc>
          <w:tcPr>
            <w:tcW w:w="485" w:type="pct"/>
            <w:tcMar>
              <w:top w:w="15" w:type="dxa"/>
              <w:left w:w="15" w:type="dxa"/>
              <w:right w:w="15" w:type="dxa"/>
            </w:tcMar>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3.75</w:t>
            </w:r>
          </w:p>
        </w:tc>
        <w:tc>
          <w:tcPr>
            <w:tcW w:w="662" w:type="pct"/>
            <w:tcMar>
              <w:top w:w="15" w:type="dxa"/>
              <w:left w:w="15" w:type="dxa"/>
              <w:right w:w="15" w:type="dxa"/>
            </w:tcMar>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731" w:type="pct"/>
            <w:vMerge w:val="restart"/>
            <w:tcMar>
              <w:top w:w="15" w:type="dxa"/>
              <w:left w:w="15" w:type="dxa"/>
              <w:right w:w="15" w:type="dxa"/>
            </w:tcMar>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疾病预防与公共卫生</w:t>
            </w:r>
          </w:p>
        </w:tc>
        <w:tc>
          <w:tcPr>
            <w:tcW w:w="2634" w:type="pct"/>
            <w:tcMar>
              <w:top w:w="15" w:type="dxa"/>
              <w:left w:w="15" w:type="dxa"/>
              <w:right w:w="15" w:type="dxa"/>
            </w:tcMar>
            <w:vAlign w:val="center"/>
          </w:tcPr>
          <w:p>
            <w:pPr>
              <w:widowControl/>
              <w:textAlignment w:val="center"/>
              <w:rPr>
                <w:rFonts w:ascii="仿宋" w:hAnsi="仿宋" w:eastAsia="仿宋" w:cs="仿宋"/>
                <w:kern w:val="0"/>
                <w:sz w:val="24"/>
                <w:szCs w:val="24"/>
              </w:rPr>
            </w:pPr>
            <w:r>
              <w:rPr>
                <w:rFonts w:hint="eastAsia" w:ascii="仿宋" w:hAnsi="仿宋" w:eastAsia="仿宋" w:cs="仿宋"/>
                <w:kern w:val="0"/>
                <w:sz w:val="24"/>
                <w:szCs w:val="24"/>
              </w:rPr>
              <w:t>每千人口公共卫生人员数</w:t>
            </w:r>
          </w:p>
        </w:tc>
        <w:tc>
          <w:tcPr>
            <w:tcW w:w="485" w:type="pct"/>
            <w:tcMar>
              <w:top w:w="15" w:type="dxa"/>
              <w:left w:w="15" w:type="dxa"/>
              <w:right w:w="15" w:type="dxa"/>
            </w:tcMar>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人</w:t>
            </w:r>
          </w:p>
        </w:tc>
        <w:tc>
          <w:tcPr>
            <w:tcW w:w="485" w:type="pct"/>
            <w:tcMar>
              <w:top w:w="15" w:type="dxa"/>
              <w:left w:w="15" w:type="dxa"/>
              <w:right w:w="15" w:type="dxa"/>
            </w:tcMar>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0.83</w:t>
            </w:r>
          </w:p>
        </w:tc>
        <w:tc>
          <w:tcPr>
            <w:tcW w:w="662" w:type="pct"/>
            <w:tcMar>
              <w:top w:w="15" w:type="dxa"/>
              <w:left w:w="15" w:type="dxa"/>
              <w:right w:w="15" w:type="dxa"/>
            </w:tcMar>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731" w:type="pct"/>
            <w:vMerge w:val="continue"/>
            <w:tcMar>
              <w:top w:w="15" w:type="dxa"/>
              <w:left w:w="15" w:type="dxa"/>
              <w:right w:w="15" w:type="dxa"/>
            </w:tcMar>
            <w:vAlign w:val="center"/>
          </w:tcPr>
          <w:p>
            <w:pPr>
              <w:widowControl/>
              <w:jc w:val="center"/>
              <w:textAlignment w:val="center"/>
              <w:rPr>
                <w:rFonts w:ascii="仿宋" w:hAnsi="仿宋" w:eastAsia="仿宋" w:cs="仿宋"/>
                <w:kern w:val="0"/>
                <w:sz w:val="24"/>
                <w:szCs w:val="24"/>
              </w:rPr>
            </w:pPr>
          </w:p>
        </w:tc>
        <w:tc>
          <w:tcPr>
            <w:tcW w:w="2634" w:type="pct"/>
            <w:tcMar>
              <w:top w:w="15" w:type="dxa"/>
              <w:left w:w="15" w:type="dxa"/>
              <w:right w:w="15" w:type="dxa"/>
            </w:tcMar>
            <w:vAlign w:val="center"/>
          </w:tcPr>
          <w:p>
            <w:pPr>
              <w:widowControl/>
              <w:textAlignment w:val="center"/>
              <w:rPr>
                <w:rFonts w:ascii="仿宋" w:hAnsi="仿宋" w:eastAsia="仿宋" w:cs="仿宋"/>
                <w:kern w:val="0"/>
                <w:sz w:val="24"/>
                <w:szCs w:val="24"/>
              </w:rPr>
            </w:pPr>
            <w:r>
              <w:rPr>
                <w:rFonts w:hint="eastAsia" w:ascii="仿宋" w:hAnsi="仿宋" w:eastAsia="仿宋" w:cs="仿宋"/>
                <w:kern w:val="0"/>
                <w:sz w:val="24"/>
                <w:szCs w:val="24"/>
              </w:rPr>
              <w:t>每万人口配备疾控人员数</w:t>
            </w:r>
          </w:p>
        </w:tc>
        <w:tc>
          <w:tcPr>
            <w:tcW w:w="485" w:type="pct"/>
            <w:tcMar>
              <w:top w:w="15" w:type="dxa"/>
              <w:left w:w="15" w:type="dxa"/>
              <w:right w:w="15" w:type="dxa"/>
            </w:tcMar>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人</w:t>
            </w:r>
          </w:p>
        </w:tc>
        <w:tc>
          <w:tcPr>
            <w:tcW w:w="485" w:type="pct"/>
            <w:tcMar>
              <w:top w:w="15" w:type="dxa"/>
              <w:left w:w="15" w:type="dxa"/>
              <w:right w:w="15" w:type="dxa"/>
            </w:tcMar>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1.12</w:t>
            </w:r>
          </w:p>
        </w:tc>
        <w:tc>
          <w:tcPr>
            <w:tcW w:w="662" w:type="pct"/>
            <w:tcMar>
              <w:top w:w="15" w:type="dxa"/>
              <w:left w:w="15" w:type="dxa"/>
              <w:right w:w="15" w:type="dxa"/>
            </w:tcMar>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731" w:type="pct"/>
            <w:vMerge w:val="continue"/>
            <w:tcMar>
              <w:top w:w="15" w:type="dxa"/>
              <w:left w:w="15" w:type="dxa"/>
              <w:right w:w="15" w:type="dxa"/>
            </w:tcMar>
            <w:vAlign w:val="center"/>
          </w:tcPr>
          <w:p>
            <w:pPr>
              <w:widowControl/>
              <w:jc w:val="center"/>
              <w:textAlignment w:val="center"/>
              <w:rPr>
                <w:rFonts w:ascii="仿宋" w:hAnsi="仿宋" w:eastAsia="仿宋" w:cs="仿宋"/>
                <w:kern w:val="0"/>
                <w:sz w:val="24"/>
                <w:szCs w:val="24"/>
              </w:rPr>
            </w:pPr>
          </w:p>
        </w:tc>
        <w:tc>
          <w:tcPr>
            <w:tcW w:w="2634" w:type="pct"/>
            <w:tcMar>
              <w:top w:w="15" w:type="dxa"/>
              <w:left w:w="15" w:type="dxa"/>
              <w:right w:w="15" w:type="dxa"/>
            </w:tcMar>
            <w:vAlign w:val="center"/>
          </w:tcPr>
          <w:p>
            <w:pPr>
              <w:widowControl/>
              <w:textAlignment w:val="center"/>
              <w:rPr>
                <w:rFonts w:ascii="仿宋" w:hAnsi="仿宋" w:eastAsia="仿宋" w:cs="仿宋"/>
                <w:kern w:val="0"/>
                <w:sz w:val="24"/>
                <w:szCs w:val="24"/>
              </w:rPr>
            </w:pPr>
            <w:r>
              <w:rPr>
                <w:rFonts w:hint="eastAsia" w:ascii="仿宋" w:hAnsi="仿宋" w:eastAsia="仿宋" w:cs="仿宋"/>
                <w:kern w:val="0"/>
                <w:sz w:val="24"/>
                <w:szCs w:val="24"/>
              </w:rPr>
              <w:t>现存活HIV/AIDS病例数</w:t>
            </w:r>
          </w:p>
        </w:tc>
        <w:tc>
          <w:tcPr>
            <w:tcW w:w="485" w:type="pct"/>
            <w:tcMar>
              <w:top w:w="15" w:type="dxa"/>
              <w:left w:w="15" w:type="dxa"/>
              <w:right w:w="15" w:type="dxa"/>
            </w:tcMar>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人</w:t>
            </w:r>
          </w:p>
        </w:tc>
        <w:tc>
          <w:tcPr>
            <w:tcW w:w="485" w:type="pct"/>
            <w:tcMar>
              <w:top w:w="15" w:type="dxa"/>
              <w:left w:w="15" w:type="dxa"/>
              <w:right w:w="15" w:type="dxa"/>
            </w:tcMar>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45</w:t>
            </w:r>
          </w:p>
        </w:tc>
        <w:tc>
          <w:tcPr>
            <w:tcW w:w="662" w:type="pct"/>
            <w:tcMar>
              <w:top w:w="15" w:type="dxa"/>
              <w:left w:w="15" w:type="dxa"/>
              <w:right w:w="15" w:type="dxa"/>
            </w:tcMar>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731" w:type="pct"/>
            <w:vMerge w:val="continue"/>
            <w:tcMar>
              <w:top w:w="15" w:type="dxa"/>
              <w:left w:w="15" w:type="dxa"/>
              <w:right w:w="15" w:type="dxa"/>
            </w:tcMar>
            <w:vAlign w:val="center"/>
          </w:tcPr>
          <w:p>
            <w:pPr>
              <w:jc w:val="center"/>
              <w:rPr>
                <w:rFonts w:ascii="仿宋" w:hAnsi="仿宋" w:eastAsia="仿宋" w:cs="仿宋"/>
                <w:sz w:val="24"/>
                <w:szCs w:val="24"/>
              </w:rPr>
            </w:pPr>
          </w:p>
        </w:tc>
        <w:tc>
          <w:tcPr>
            <w:tcW w:w="2634" w:type="pct"/>
            <w:tcMar>
              <w:top w:w="15" w:type="dxa"/>
              <w:left w:w="15" w:type="dxa"/>
              <w:right w:w="15" w:type="dxa"/>
            </w:tcMar>
            <w:vAlign w:val="center"/>
          </w:tcPr>
          <w:p>
            <w:pPr>
              <w:widowControl/>
              <w:textAlignment w:val="center"/>
              <w:rPr>
                <w:rFonts w:ascii="仿宋" w:hAnsi="仿宋" w:eastAsia="仿宋" w:cs="仿宋"/>
                <w:sz w:val="24"/>
                <w:szCs w:val="24"/>
              </w:rPr>
            </w:pPr>
            <w:r>
              <w:rPr>
                <w:rFonts w:hint="eastAsia" w:ascii="仿宋" w:hAnsi="仿宋" w:eastAsia="仿宋" w:cs="仿宋"/>
                <w:kern w:val="0"/>
                <w:sz w:val="24"/>
                <w:szCs w:val="24"/>
              </w:rPr>
              <w:t>适龄儿童免疫规划疫苗接种率</w:t>
            </w:r>
          </w:p>
        </w:tc>
        <w:tc>
          <w:tcPr>
            <w:tcW w:w="485" w:type="pct"/>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w:t>
            </w:r>
          </w:p>
        </w:tc>
        <w:tc>
          <w:tcPr>
            <w:tcW w:w="485" w:type="pct"/>
            <w:tcMar>
              <w:top w:w="15" w:type="dxa"/>
              <w:left w:w="15" w:type="dxa"/>
              <w:right w:w="15" w:type="dxa"/>
            </w:tcMar>
            <w:vAlign w:val="center"/>
          </w:tcPr>
          <w:p>
            <w:pPr>
              <w:jc w:val="center"/>
              <w:rPr>
                <w:rFonts w:ascii="仿宋" w:hAnsi="仿宋" w:eastAsia="仿宋" w:cs="仿宋"/>
                <w:sz w:val="24"/>
                <w:szCs w:val="24"/>
              </w:rPr>
            </w:pPr>
            <w:r>
              <w:rPr>
                <w:rFonts w:hint="eastAsia" w:ascii="仿宋" w:hAnsi="仿宋" w:eastAsia="仿宋" w:cs="仿宋"/>
                <w:kern w:val="0"/>
                <w:sz w:val="24"/>
                <w:szCs w:val="24"/>
              </w:rPr>
              <w:t>99.7</w:t>
            </w:r>
          </w:p>
        </w:tc>
        <w:tc>
          <w:tcPr>
            <w:tcW w:w="662" w:type="pct"/>
            <w:tcMar>
              <w:top w:w="15" w:type="dxa"/>
              <w:left w:w="15"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731" w:type="pct"/>
            <w:vMerge w:val="continue"/>
            <w:tcMar>
              <w:top w:w="15" w:type="dxa"/>
              <w:left w:w="15" w:type="dxa"/>
              <w:right w:w="15" w:type="dxa"/>
            </w:tcMar>
            <w:vAlign w:val="center"/>
          </w:tcPr>
          <w:p>
            <w:pPr>
              <w:jc w:val="center"/>
              <w:rPr>
                <w:rFonts w:ascii="仿宋" w:hAnsi="仿宋" w:eastAsia="仿宋" w:cs="仿宋"/>
                <w:sz w:val="24"/>
                <w:szCs w:val="24"/>
              </w:rPr>
            </w:pPr>
          </w:p>
        </w:tc>
        <w:tc>
          <w:tcPr>
            <w:tcW w:w="2634" w:type="pct"/>
            <w:tcMar>
              <w:top w:w="15" w:type="dxa"/>
              <w:left w:w="15" w:type="dxa"/>
              <w:right w:w="15" w:type="dxa"/>
            </w:tcMar>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重度精神疾病患者管理率</w:t>
            </w:r>
          </w:p>
        </w:tc>
        <w:tc>
          <w:tcPr>
            <w:tcW w:w="485" w:type="pct"/>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w:t>
            </w:r>
          </w:p>
        </w:tc>
        <w:tc>
          <w:tcPr>
            <w:tcW w:w="485" w:type="pct"/>
            <w:tcMar>
              <w:top w:w="15" w:type="dxa"/>
              <w:left w:w="15" w:type="dxa"/>
              <w:right w:w="15" w:type="dxa"/>
            </w:tcMar>
            <w:vAlign w:val="center"/>
          </w:tcPr>
          <w:p>
            <w:pPr>
              <w:jc w:val="center"/>
              <w:rPr>
                <w:rFonts w:ascii="仿宋" w:hAnsi="仿宋" w:eastAsia="仿宋" w:cs="仿宋"/>
                <w:sz w:val="24"/>
                <w:szCs w:val="24"/>
              </w:rPr>
            </w:pPr>
            <w:r>
              <w:rPr>
                <w:rFonts w:hint="eastAsia" w:ascii="仿宋" w:hAnsi="仿宋" w:eastAsia="仿宋" w:cs="仿宋"/>
                <w:kern w:val="0"/>
                <w:sz w:val="24"/>
                <w:szCs w:val="24"/>
              </w:rPr>
              <w:t>90.28</w:t>
            </w:r>
          </w:p>
        </w:tc>
        <w:tc>
          <w:tcPr>
            <w:tcW w:w="662" w:type="pct"/>
            <w:tcMar>
              <w:top w:w="15" w:type="dxa"/>
              <w:left w:w="15"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731" w:type="pct"/>
            <w:vMerge w:val="continue"/>
            <w:tcMar>
              <w:top w:w="15" w:type="dxa"/>
              <w:left w:w="15" w:type="dxa"/>
              <w:right w:w="15" w:type="dxa"/>
            </w:tcMar>
            <w:vAlign w:val="center"/>
          </w:tcPr>
          <w:p>
            <w:pPr>
              <w:jc w:val="center"/>
              <w:rPr>
                <w:rFonts w:ascii="仿宋" w:hAnsi="仿宋" w:eastAsia="仿宋" w:cs="仿宋"/>
                <w:sz w:val="24"/>
                <w:szCs w:val="24"/>
              </w:rPr>
            </w:pPr>
          </w:p>
        </w:tc>
        <w:tc>
          <w:tcPr>
            <w:tcW w:w="2634" w:type="pct"/>
            <w:tcMar>
              <w:top w:w="15" w:type="dxa"/>
              <w:left w:w="15" w:type="dxa"/>
              <w:right w:w="15" w:type="dxa"/>
            </w:tcMar>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糖尿病患者规范管理率</w:t>
            </w:r>
          </w:p>
        </w:tc>
        <w:tc>
          <w:tcPr>
            <w:tcW w:w="485" w:type="pct"/>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w:t>
            </w:r>
          </w:p>
        </w:tc>
        <w:tc>
          <w:tcPr>
            <w:tcW w:w="485" w:type="pct"/>
            <w:tcMar>
              <w:top w:w="15" w:type="dxa"/>
              <w:left w:w="15" w:type="dxa"/>
              <w:right w:w="15" w:type="dxa"/>
            </w:tcMar>
            <w:vAlign w:val="center"/>
          </w:tcPr>
          <w:p>
            <w:pPr>
              <w:jc w:val="center"/>
              <w:rPr>
                <w:rFonts w:ascii="仿宋" w:hAnsi="仿宋" w:eastAsia="仿宋" w:cs="仿宋"/>
                <w:sz w:val="24"/>
                <w:szCs w:val="24"/>
              </w:rPr>
            </w:pPr>
            <w:r>
              <w:rPr>
                <w:rFonts w:hint="eastAsia" w:ascii="仿宋" w:hAnsi="仿宋" w:eastAsia="仿宋" w:cs="仿宋"/>
                <w:kern w:val="0"/>
                <w:sz w:val="24"/>
                <w:szCs w:val="24"/>
              </w:rPr>
              <w:t>88.89</w:t>
            </w:r>
          </w:p>
        </w:tc>
        <w:tc>
          <w:tcPr>
            <w:tcW w:w="662" w:type="pct"/>
            <w:tcMar>
              <w:top w:w="15" w:type="dxa"/>
              <w:left w:w="15" w:type="dxa"/>
              <w:right w:w="15" w:type="dxa"/>
            </w:tcMar>
            <w:vAlign w:val="center"/>
          </w:tcPr>
          <w:p>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8</w:t>
            </w:r>
            <w:r>
              <w:rPr>
                <w:rFonts w:hint="eastAsia" w:ascii="仿宋" w:hAnsi="仿宋" w:eastAsia="仿宋" w:cs="仿宋"/>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731" w:type="pct"/>
            <w:vMerge w:val="continue"/>
            <w:tcMar>
              <w:top w:w="15" w:type="dxa"/>
              <w:left w:w="15" w:type="dxa"/>
              <w:right w:w="15" w:type="dxa"/>
            </w:tcMar>
            <w:vAlign w:val="center"/>
          </w:tcPr>
          <w:p>
            <w:pPr>
              <w:jc w:val="center"/>
              <w:rPr>
                <w:rFonts w:ascii="仿宋" w:hAnsi="仿宋" w:eastAsia="仿宋" w:cs="仿宋"/>
                <w:sz w:val="24"/>
                <w:szCs w:val="24"/>
              </w:rPr>
            </w:pPr>
          </w:p>
        </w:tc>
        <w:tc>
          <w:tcPr>
            <w:tcW w:w="2634" w:type="pct"/>
            <w:tcMar>
              <w:top w:w="15" w:type="dxa"/>
              <w:left w:w="15" w:type="dxa"/>
              <w:right w:w="15" w:type="dxa"/>
            </w:tcMar>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高血压患者规范管理率</w:t>
            </w:r>
          </w:p>
        </w:tc>
        <w:tc>
          <w:tcPr>
            <w:tcW w:w="485" w:type="pct"/>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w:t>
            </w:r>
          </w:p>
        </w:tc>
        <w:tc>
          <w:tcPr>
            <w:tcW w:w="485" w:type="pct"/>
            <w:tcMar>
              <w:top w:w="15" w:type="dxa"/>
              <w:left w:w="15"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75.88</w:t>
            </w:r>
          </w:p>
        </w:tc>
        <w:tc>
          <w:tcPr>
            <w:tcW w:w="662" w:type="pct"/>
            <w:tcMar>
              <w:top w:w="15" w:type="dxa"/>
              <w:left w:w="15" w:type="dxa"/>
              <w:right w:w="15" w:type="dxa"/>
            </w:tcMar>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731" w:type="pct"/>
            <w:vMerge w:val="restart"/>
            <w:tcMar>
              <w:top w:w="15" w:type="dxa"/>
              <w:left w:w="15"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全生命周期健康管理</w:t>
            </w:r>
          </w:p>
        </w:tc>
        <w:tc>
          <w:tcPr>
            <w:tcW w:w="2634" w:type="pct"/>
            <w:tcMar>
              <w:top w:w="15" w:type="dxa"/>
              <w:left w:w="15" w:type="dxa"/>
              <w:right w:w="15" w:type="dxa"/>
            </w:tcMar>
            <w:vAlign w:val="center"/>
          </w:tcPr>
          <w:p>
            <w:pPr>
              <w:widowControl/>
              <w:textAlignment w:val="center"/>
              <w:rPr>
                <w:rFonts w:ascii="仿宋" w:hAnsi="仿宋" w:eastAsia="仿宋" w:cs="仿宋"/>
                <w:kern w:val="0"/>
                <w:sz w:val="24"/>
                <w:szCs w:val="24"/>
              </w:rPr>
            </w:pPr>
            <w:r>
              <w:rPr>
                <w:rFonts w:hint="eastAsia" w:ascii="仿宋" w:hAnsi="仿宋" w:eastAsia="仿宋" w:cs="仿宋"/>
                <w:kern w:val="0"/>
                <w:sz w:val="24"/>
                <w:szCs w:val="24"/>
              </w:rPr>
              <w:t>5岁以下儿童死亡率</w:t>
            </w:r>
          </w:p>
        </w:tc>
        <w:tc>
          <w:tcPr>
            <w:tcW w:w="485" w:type="pct"/>
            <w:tcMar>
              <w:top w:w="15" w:type="dxa"/>
              <w:left w:w="15" w:type="dxa"/>
              <w:right w:w="15" w:type="dxa"/>
            </w:tcMar>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w:t>
            </w:r>
          </w:p>
        </w:tc>
        <w:tc>
          <w:tcPr>
            <w:tcW w:w="485" w:type="pct"/>
            <w:tcMar>
              <w:top w:w="15" w:type="dxa"/>
              <w:left w:w="15" w:type="dxa"/>
              <w:right w:w="15" w:type="dxa"/>
            </w:tcMar>
            <w:vAlign w:val="center"/>
          </w:tcPr>
          <w:p>
            <w:pPr>
              <w:jc w:val="center"/>
              <w:rPr>
                <w:rFonts w:ascii="仿宋" w:hAnsi="仿宋" w:eastAsia="仿宋" w:cs="仿宋"/>
                <w:color w:val="FF0000"/>
                <w:sz w:val="24"/>
                <w:szCs w:val="24"/>
                <w:u w:val="single"/>
              </w:rPr>
            </w:pPr>
            <w:r>
              <w:rPr>
                <w:rFonts w:hint="eastAsia" w:ascii="仿宋" w:hAnsi="仿宋" w:eastAsia="仿宋" w:cs="仿宋"/>
                <w:sz w:val="24"/>
                <w:szCs w:val="24"/>
              </w:rPr>
              <w:t>3.47</w:t>
            </w:r>
          </w:p>
        </w:tc>
        <w:tc>
          <w:tcPr>
            <w:tcW w:w="662" w:type="pct"/>
            <w:tcMar>
              <w:top w:w="15" w:type="dxa"/>
              <w:left w:w="15"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731" w:type="pct"/>
            <w:vMerge w:val="continue"/>
            <w:tcMar>
              <w:top w:w="15" w:type="dxa"/>
              <w:left w:w="15" w:type="dxa"/>
              <w:right w:w="15" w:type="dxa"/>
            </w:tcMar>
            <w:vAlign w:val="center"/>
          </w:tcPr>
          <w:p>
            <w:pPr>
              <w:jc w:val="center"/>
              <w:rPr>
                <w:rFonts w:ascii="仿宋" w:hAnsi="仿宋" w:eastAsia="仿宋" w:cs="仿宋"/>
                <w:sz w:val="24"/>
                <w:szCs w:val="24"/>
              </w:rPr>
            </w:pPr>
          </w:p>
        </w:tc>
        <w:tc>
          <w:tcPr>
            <w:tcW w:w="2634" w:type="pct"/>
            <w:tcMar>
              <w:top w:w="15" w:type="dxa"/>
              <w:left w:w="15" w:type="dxa"/>
              <w:right w:w="15" w:type="dxa"/>
            </w:tcMar>
            <w:vAlign w:val="center"/>
          </w:tcPr>
          <w:p>
            <w:pPr>
              <w:widowControl/>
              <w:textAlignment w:val="center"/>
              <w:rPr>
                <w:rFonts w:ascii="仿宋" w:hAnsi="仿宋" w:eastAsia="仿宋" w:cs="仿宋"/>
                <w:sz w:val="24"/>
                <w:szCs w:val="24"/>
              </w:rPr>
            </w:pPr>
            <w:r>
              <w:rPr>
                <w:rFonts w:hint="eastAsia" w:ascii="仿宋" w:hAnsi="仿宋" w:eastAsia="仿宋" w:cs="仿宋"/>
                <w:kern w:val="0"/>
                <w:sz w:val="24"/>
                <w:szCs w:val="24"/>
              </w:rPr>
              <w:t>居民健康素养水平</w:t>
            </w:r>
          </w:p>
        </w:tc>
        <w:tc>
          <w:tcPr>
            <w:tcW w:w="485" w:type="pct"/>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w:t>
            </w:r>
          </w:p>
        </w:tc>
        <w:tc>
          <w:tcPr>
            <w:tcW w:w="485" w:type="pct"/>
            <w:tcMar>
              <w:top w:w="15" w:type="dxa"/>
              <w:left w:w="15"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21.98</w:t>
            </w:r>
          </w:p>
        </w:tc>
        <w:tc>
          <w:tcPr>
            <w:tcW w:w="662" w:type="pct"/>
            <w:tcMar>
              <w:top w:w="15" w:type="dxa"/>
              <w:left w:w="15"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731" w:type="pct"/>
            <w:vMerge w:val="continue"/>
            <w:tcMar>
              <w:top w:w="15" w:type="dxa"/>
              <w:left w:w="15" w:type="dxa"/>
              <w:right w:w="15" w:type="dxa"/>
            </w:tcMar>
            <w:vAlign w:val="center"/>
          </w:tcPr>
          <w:p>
            <w:pPr>
              <w:jc w:val="center"/>
              <w:rPr>
                <w:rFonts w:ascii="仿宋" w:hAnsi="仿宋" w:eastAsia="仿宋" w:cs="仿宋"/>
                <w:sz w:val="24"/>
                <w:szCs w:val="24"/>
              </w:rPr>
            </w:pPr>
          </w:p>
        </w:tc>
        <w:tc>
          <w:tcPr>
            <w:tcW w:w="2634" w:type="pct"/>
            <w:tcMar>
              <w:top w:w="15" w:type="dxa"/>
              <w:left w:w="15" w:type="dxa"/>
              <w:right w:w="15" w:type="dxa"/>
            </w:tcMar>
            <w:vAlign w:val="center"/>
          </w:tcPr>
          <w:p>
            <w:pPr>
              <w:widowControl/>
              <w:textAlignment w:val="center"/>
              <w:rPr>
                <w:rFonts w:ascii="仿宋" w:hAnsi="仿宋" w:eastAsia="仿宋" w:cs="仿宋"/>
                <w:sz w:val="24"/>
                <w:szCs w:val="24"/>
              </w:rPr>
            </w:pPr>
            <w:r>
              <w:rPr>
                <w:rFonts w:hint="eastAsia" w:ascii="仿宋" w:hAnsi="仿宋" w:eastAsia="仿宋" w:cs="仿宋"/>
                <w:kern w:val="0"/>
                <w:sz w:val="24"/>
                <w:szCs w:val="24"/>
              </w:rPr>
              <w:t>孕产妇系统管理率</w:t>
            </w:r>
          </w:p>
        </w:tc>
        <w:tc>
          <w:tcPr>
            <w:tcW w:w="485" w:type="pct"/>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w:t>
            </w:r>
          </w:p>
        </w:tc>
        <w:tc>
          <w:tcPr>
            <w:tcW w:w="485" w:type="pct"/>
            <w:tcMar>
              <w:top w:w="15" w:type="dxa"/>
              <w:left w:w="15"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≥90</w:t>
            </w:r>
          </w:p>
        </w:tc>
        <w:tc>
          <w:tcPr>
            <w:tcW w:w="662" w:type="pct"/>
            <w:tcMar>
              <w:top w:w="15" w:type="dxa"/>
              <w:left w:w="15" w:type="dxa"/>
              <w:right w:w="15" w:type="dxa"/>
            </w:tcMar>
            <w:vAlign w:val="center"/>
          </w:tcPr>
          <w:p>
            <w:pPr>
              <w:jc w:val="center"/>
              <w:rPr>
                <w:rFonts w:ascii="仿宋" w:hAnsi="仿宋" w:eastAsia="仿宋" w:cs="仿宋"/>
                <w:sz w:val="24"/>
                <w:szCs w:val="24"/>
              </w:rPr>
            </w:pPr>
            <w:r>
              <w:rPr>
                <w:rFonts w:hint="eastAsia" w:ascii="仿宋" w:hAnsi="仿宋" w:eastAsia="仿宋" w:cs="仿宋"/>
                <w:kern w:val="0"/>
                <w:sz w:val="24"/>
                <w:szCs w:val="24"/>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731" w:type="pct"/>
            <w:vMerge w:val="continue"/>
            <w:tcMar>
              <w:top w:w="15" w:type="dxa"/>
              <w:left w:w="15" w:type="dxa"/>
              <w:right w:w="15" w:type="dxa"/>
            </w:tcMar>
            <w:vAlign w:val="center"/>
          </w:tcPr>
          <w:p>
            <w:pPr>
              <w:jc w:val="center"/>
              <w:rPr>
                <w:rFonts w:ascii="仿宋" w:hAnsi="仿宋" w:eastAsia="仿宋" w:cs="仿宋"/>
                <w:sz w:val="24"/>
                <w:szCs w:val="24"/>
              </w:rPr>
            </w:pPr>
          </w:p>
        </w:tc>
        <w:tc>
          <w:tcPr>
            <w:tcW w:w="2634" w:type="pct"/>
            <w:tcMar>
              <w:top w:w="15" w:type="dxa"/>
              <w:left w:w="15" w:type="dxa"/>
              <w:right w:w="15" w:type="dxa"/>
            </w:tcMar>
            <w:vAlign w:val="center"/>
          </w:tcPr>
          <w:p>
            <w:pPr>
              <w:widowControl/>
              <w:textAlignment w:val="center"/>
              <w:rPr>
                <w:rFonts w:ascii="仿宋" w:hAnsi="仿宋" w:eastAsia="仿宋" w:cs="仿宋"/>
                <w:sz w:val="24"/>
                <w:szCs w:val="24"/>
              </w:rPr>
            </w:pPr>
            <w:r>
              <w:rPr>
                <w:rFonts w:hint="eastAsia" w:ascii="仿宋" w:hAnsi="仿宋" w:eastAsia="仿宋" w:cs="仿宋"/>
                <w:kern w:val="0"/>
                <w:sz w:val="24"/>
                <w:szCs w:val="24"/>
              </w:rPr>
              <w:t>新发尘肺病报告率</w:t>
            </w:r>
          </w:p>
        </w:tc>
        <w:tc>
          <w:tcPr>
            <w:tcW w:w="485" w:type="pct"/>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w:t>
            </w:r>
          </w:p>
        </w:tc>
        <w:tc>
          <w:tcPr>
            <w:tcW w:w="485" w:type="pct"/>
            <w:tcMar>
              <w:top w:w="15" w:type="dxa"/>
              <w:left w:w="15"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w:t>
            </w:r>
          </w:p>
        </w:tc>
        <w:tc>
          <w:tcPr>
            <w:tcW w:w="662" w:type="pct"/>
            <w:tcMar>
              <w:top w:w="15" w:type="dxa"/>
              <w:left w:w="15"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逐步下降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 w:hRule="atLeast"/>
          <w:jc w:val="center"/>
        </w:trPr>
        <w:tc>
          <w:tcPr>
            <w:tcW w:w="731" w:type="pct"/>
            <w:vMerge w:val="continue"/>
            <w:tcMar>
              <w:top w:w="15" w:type="dxa"/>
              <w:left w:w="15" w:type="dxa"/>
              <w:right w:w="15" w:type="dxa"/>
            </w:tcMar>
            <w:vAlign w:val="center"/>
          </w:tcPr>
          <w:p>
            <w:pPr>
              <w:jc w:val="center"/>
              <w:rPr>
                <w:rFonts w:ascii="仿宋" w:hAnsi="仿宋" w:eastAsia="仿宋" w:cs="仿宋"/>
                <w:sz w:val="24"/>
                <w:szCs w:val="24"/>
              </w:rPr>
            </w:pPr>
          </w:p>
        </w:tc>
        <w:tc>
          <w:tcPr>
            <w:tcW w:w="2634" w:type="pct"/>
            <w:tcMar>
              <w:top w:w="15" w:type="dxa"/>
              <w:left w:w="15" w:type="dxa"/>
              <w:right w:w="15" w:type="dxa"/>
            </w:tcMar>
            <w:vAlign w:val="center"/>
          </w:tcPr>
          <w:p>
            <w:pPr>
              <w:widowControl/>
              <w:textAlignment w:val="center"/>
              <w:rPr>
                <w:rFonts w:ascii="仿宋" w:hAnsi="仿宋" w:eastAsia="仿宋" w:cs="仿宋"/>
                <w:sz w:val="24"/>
                <w:szCs w:val="24"/>
              </w:rPr>
            </w:pPr>
            <w:r>
              <w:rPr>
                <w:rFonts w:hint="eastAsia" w:ascii="仿宋" w:hAnsi="仿宋" w:eastAsia="仿宋" w:cs="仿宋"/>
                <w:kern w:val="0"/>
                <w:sz w:val="24"/>
                <w:szCs w:val="24"/>
              </w:rPr>
              <w:t>老年人健康管理率</w:t>
            </w:r>
          </w:p>
        </w:tc>
        <w:tc>
          <w:tcPr>
            <w:tcW w:w="485" w:type="pct"/>
            <w:tcMar>
              <w:top w:w="15" w:type="dxa"/>
              <w:left w:w="15" w:type="dxa"/>
              <w:right w:w="15" w:type="dxa"/>
            </w:tcMar>
            <w:vAlign w:val="center"/>
          </w:tcPr>
          <w:p>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w:t>
            </w:r>
          </w:p>
        </w:tc>
        <w:tc>
          <w:tcPr>
            <w:tcW w:w="485" w:type="pct"/>
            <w:tcMar>
              <w:top w:w="15" w:type="dxa"/>
              <w:left w:w="15" w:type="dxa"/>
              <w:right w:w="15" w:type="dxa"/>
            </w:tcMar>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70</w:t>
            </w:r>
          </w:p>
        </w:tc>
        <w:tc>
          <w:tcPr>
            <w:tcW w:w="662" w:type="pct"/>
            <w:tcMar>
              <w:top w:w="15" w:type="dxa"/>
              <w:left w:w="15" w:type="dxa"/>
              <w:right w:w="15" w:type="dxa"/>
            </w:tcMar>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731" w:type="pct"/>
            <w:vMerge w:val="restart"/>
            <w:tcMar>
              <w:top w:w="15" w:type="dxa"/>
              <w:left w:w="15" w:type="dxa"/>
              <w:right w:w="15" w:type="dxa"/>
            </w:tcMar>
            <w:vAlign w:val="center"/>
          </w:tcPr>
          <w:p>
            <w:pPr>
              <w:jc w:val="center"/>
              <w:rPr>
                <w:rFonts w:ascii="仿宋" w:hAnsi="仿宋" w:eastAsia="仿宋" w:cs="仿宋"/>
                <w:sz w:val="24"/>
                <w:szCs w:val="24"/>
              </w:rPr>
            </w:pPr>
            <w:r>
              <w:rPr>
                <w:rFonts w:hint="eastAsia" w:ascii="仿宋" w:hAnsi="仿宋" w:eastAsia="仿宋" w:cs="仿宋"/>
                <w:sz w:val="24"/>
                <w:szCs w:val="24"/>
              </w:rPr>
              <w:t>卫生健康发展保障</w:t>
            </w:r>
          </w:p>
        </w:tc>
        <w:tc>
          <w:tcPr>
            <w:tcW w:w="2634" w:type="pct"/>
            <w:tcMar>
              <w:top w:w="15" w:type="dxa"/>
              <w:left w:w="15" w:type="dxa"/>
              <w:right w:w="15" w:type="dxa"/>
            </w:tcMar>
            <w:vAlign w:val="center"/>
          </w:tcPr>
          <w:p>
            <w:pPr>
              <w:jc w:val="left"/>
              <w:rPr>
                <w:rFonts w:ascii="仿宋" w:hAnsi="仿宋" w:eastAsia="仿宋" w:cs="仿宋"/>
                <w:kern w:val="0"/>
                <w:sz w:val="24"/>
                <w:szCs w:val="24"/>
              </w:rPr>
            </w:pPr>
            <w:r>
              <w:rPr>
                <w:rFonts w:hint="eastAsia" w:ascii="仿宋" w:hAnsi="仿宋" w:eastAsia="仿宋" w:cs="仿宋"/>
                <w:kern w:val="0"/>
                <w:sz w:val="24"/>
                <w:szCs w:val="24"/>
              </w:rPr>
              <w:t>人口出生率</w:t>
            </w:r>
          </w:p>
        </w:tc>
        <w:tc>
          <w:tcPr>
            <w:tcW w:w="485" w:type="pct"/>
            <w:tcMar>
              <w:top w:w="15" w:type="dxa"/>
              <w:left w:w="15" w:type="dxa"/>
              <w:right w:w="15" w:type="dxa"/>
            </w:tcMar>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w:t>
            </w:r>
          </w:p>
        </w:tc>
        <w:tc>
          <w:tcPr>
            <w:tcW w:w="485" w:type="pct"/>
            <w:tcMar>
              <w:top w:w="15" w:type="dxa"/>
              <w:left w:w="15" w:type="dxa"/>
              <w:right w:w="15" w:type="dxa"/>
            </w:tcMar>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≥7.0</w:t>
            </w:r>
          </w:p>
        </w:tc>
        <w:tc>
          <w:tcPr>
            <w:tcW w:w="662" w:type="pct"/>
            <w:tcMar>
              <w:top w:w="15" w:type="dxa"/>
              <w:left w:w="15" w:type="dxa"/>
              <w:right w:w="15" w:type="dxa"/>
            </w:tcMar>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731" w:type="pct"/>
            <w:vMerge w:val="continue"/>
            <w:tcMar>
              <w:top w:w="15" w:type="dxa"/>
              <w:left w:w="15" w:type="dxa"/>
              <w:right w:w="15" w:type="dxa"/>
            </w:tcMar>
            <w:vAlign w:val="center"/>
          </w:tcPr>
          <w:p>
            <w:pPr>
              <w:jc w:val="center"/>
              <w:rPr>
                <w:rFonts w:ascii="仿宋" w:hAnsi="仿宋" w:eastAsia="仿宋" w:cs="仿宋"/>
                <w:sz w:val="24"/>
                <w:szCs w:val="24"/>
              </w:rPr>
            </w:pPr>
          </w:p>
        </w:tc>
        <w:tc>
          <w:tcPr>
            <w:tcW w:w="2634" w:type="pct"/>
            <w:tcMar>
              <w:top w:w="15" w:type="dxa"/>
              <w:left w:w="15" w:type="dxa"/>
              <w:right w:w="15" w:type="dxa"/>
            </w:tcMar>
            <w:vAlign w:val="center"/>
          </w:tcPr>
          <w:p>
            <w:pPr>
              <w:widowControl/>
              <w:textAlignment w:val="center"/>
              <w:rPr>
                <w:rFonts w:ascii="仿宋" w:hAnsi="仿宋" w:eastAsia="仿宋" w:cs="仿宋"/>
                <w:sz w:val="24"/>
                <w:szCs w:val="24"/>
              </w:rPr>
            </w:pPr>
            <w:r>
              <w:rPr>
                <w:rFonts w:hint="eastAsia" w:ascii="仿宋" w:hAnsi="仿宋" w:eastAsia="仿宋" w:cs="仿宋"/>
                <w:sz w:val="24"/>
                <w:szCs w:val="24"/>
              </w:rPr>
              <w:t>人口自然增长率</w:t>
            </w:r>
          </w:p>
        </w:tc>
        <w:tc>
          <w:tcPr>
            <w:tcW w:w="485" w:type="pct"/>
            <w:tcMar>
              <w:top w:w="15" w:type="dxa"/>
              <w:left w:w="15" w:type="dxa"/>
              <w:right w:w="15" w:type="dxa"/>
            </w:tcMar>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w:t>
            </w:r>
          </w:p>
        </w:tc>
        <w:tc>
          <w:tcPr>
            <w:tcW w:w="485" w:type="pct"/>
            <w:tcMar>
              <w:top w:w="15" w:type="dxa"/>
              <w:left w:w="15" w:type="dxa"/>
              <w:right w:w="15" w:type="dxa"/>
            </w:tcMar>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≥5.0</w:t>
            </w:r>
          </w:p>
        </w:tc>
        <w:tc>
          <w:tcPr>
            <w:tcW w:w="662" w:type="pct"/>
            <w:tcMar>
              <w:top w:w="15" w:type="dxa"/>
              <w:left w:w="15" w:type="dxa"/>
              <w:right w:w="15" w:type="dxa"/>
            </w:tcMar>
            <w:vAlign w:val="center"/>
          </w:tcPr>
          <w:p>
            <w:pPr>
              <w:jc w:val="center"/>
              <w:rPr>
                <w:rFonts w:ascii="仿宋" w:hAnsi="仿宋" w:eastAsia="仿宋" w:cs="仿宋"/>
                <w:kern w:val="0"/>
                <w:sz w:val="24"/>
                <w:szCs w:val="24"/>
              </w:rPr>
            </w:pPr>
            <w:r>
              <w:rPr>
                <w:rFonts w:hint="eastAsia" w:ascii="仿宋" w:hAnsi="仿宋" w:eastAsia="仿宋" w:cs="仿宋"/>
                <w:kern w:val="0"/>
                <w:sz w:val="24"/>
                <w:szCs w:val="24"/>
              </w:rPr>
              <w:t>≥7.0</w:t>
            </w:r>
          </w:p>
        </w:tc>
      </w:tr>
    </w:tbl>
    <w:p>
      <w:pPr>
        <w:numPr>
          <w:ilvl w:val="0"/>
          <w:numId w:val="2"/>
        </w:numPr>
        <w:spacing w:beforeLines="50" w:afterLines="50" w:line="500" w:lineRule="exact"/>
        <w:jc w:val="center"/>
        <w:outlineLvl w:val="0"/>
        <w:rPr>
          <w:rFonts w:ascii="仿宋" w:hAnsi="仿宋" w:eastAsia="仿宋" w:cs="仿宋"/>
          <w:b/>
          <w:spacing w:val="6"/>
          <w:sz w:val="32"/>
          <w:szCs w:val="32"/>
        </w:rPr>
      </w:pPr>
      <w:bookmarkStart w:id="41" w:name="_Toc16936"/>
      <w:bookmarkStart w:id="42" w:name="_Toc57878429"/>
      <w:r>
        <w:rPr>
          <w:rFonts w:hint="eastAsia" w:ascii="仿宋" w:hAnsi="仿宋" w:eastAsia="仿宋" w:cs="仿宋"/>
          <w:b/>
          <w:spacing w:val="6"/>
          <w:sz w:val="32"/>
          <w:szCs w:val="32"/>
        </w:rPr>
        <w:t>开启新时代卫生健康新局面发展任务</w:t>
      </w:r>
      <w:bookmarkEnd w:id="41"/>
      <w:bookmarkEnd w:id="42"/>
    </w:p>
    <w:p>
      <w:pPr>
        <w:numPr>
          <w:ilvl w:val="0"/>
          <w:numId w:val="10"/>
        </w:numPr>
        <w:spacing w:beforeLines="50" w:afterLines="50" w:line="500" w:lineRule="exact"/>
        <w:ind w:firstLine="667" w:firstLineChars="200"/>
        <w:outlineLvl w:val="1"/>
        <w:rPr>
          <w:rFonts w:ascii="仿宋" w:hAnsi="仿宋" w:eastAsia="仿宋" w:cs="仿宋"/>
          <w:b/>
          <w:spacing w:val="6"/>
          <w:sz w:val="32"/>
          <w:szCs w:val="32"/>
        </w:rPr>
      </w:pPr>
      <w:bookmarkStart w:id="43" w:name="_Toc15959"/>
      <w:bookmarkStart w:id="44" w:name="_Toc57878430"/>
      <w:r>
        <w:rPr>
          <w:rFonts w:hint="eastAsia" w:ascii="仿宋" w:hAnsi="仿宋" w:eastAsia="仿宋" w:cs="仿宋"/>
          <w:b/>
          <w:spacing w:val="6"/>
          <w:sz w:val="32"/>
          <w:szCs w:val="32"/>
        </w:rPr>
        <w:t>筑牢公共卫生体系，加强疾病防控救治能力建设</w:t>
      </w:r>
      <w:bookmarkEnd w:id="43"/>
      <w:bookmarkEnd w:id="44"/>
    </w:p>
    <w:p>
      <w:pPr>
        <w:numPr>
          <w:ilvl w:val="0"/>
          <w:numId w:val="11"/>
        </w:numPr>
        <w:spacing w:beforeLines="50" w:afterLines="50" w:line="500" w:lineRule="exact"/>
        <w:ind w:firstLine="667" w:firstLineChars="200"/>
        <w:rPr>
          <w:rFonts w:ascii="仿宋" w:hAnsi="仿宋" w:eastAsia="仿宋" w:cs="仿宋"/>
          <w:b/>
          <w:spacing w:val="6"/>
          <w:sz w:val="32"/>
          <w:szCs w:val="32"/>
        </w:rPr>
      </w:pPr>
      <w:r>
        <w:rPr>
          <w:rFonts w:hint="eastAsia" w:ascii="仿宋" w:hAnsi="仿宋" w:eastAsia="仿宋" w:cs="仿宋"/>
          <w:b/>
          <w:spacing w:val="6"/>
          <w:sz w:val="32"/>
          <w:szCs w:val="32"/>
        </w:rPr>
        <w:t>加强基本防控救治和应对能力建设</w:t>
      </w:r>
    </w:p>
    <w:p>
      <w:pPr>
        <w:spacing w:line="500" w:lineRule="exact"/>
        <w:ind w:firstLine="664" w:firstLineChars="200"/>
        <w:rPr>
          <w:rFonts w:ascii="仿宋" w:hAnsi="仿宋" w:eastAsia="仿宋" w:cs="仿宋"/>
          <w:spacing w:val="6"/>
          <w:sz w:val="32"/>
          <w:szCs w:val="32"/>
        </w:rPr>
      </w:pPr>
      <w:r>
        <w:rPr>
          <w:rFonts w:hint="eastAsia" w:ascii="仿宋" w:hAnsi="仿宋" w:eastAsia="仿宋" w:cs="仿宋"/>
          <w:spacing w:val="6"/>
          <w:sz w:val="32"/>
          <w:szCs w:val="32"/>
        </w:rPr>
        <w:t>1.推进疾病预防控制能力建设。坚持生命至上，预防为主、防治结合的方针，加强疾控机构建设，改善疾控机构配套设施、技术能力和标准化设备条件建设，完善业务用地用房、专业化设备和专业技术车辆等配置。提高疾控机构实验室水平，级别达到二级实验室。布局建设疾病预防控制中心实验室能力一批提升项目，如改扩建食品检测实验室建设项目、疾控中心环境改造项目、疾控中心职业病危害因素检测中心项目，健全疾控机构和城乡社区联动工作机制，建立人员通、信息通、资源通和监督监管相互制约的机制，促进医防协同。</w:t>
      </w:r>
    </w:p>
    <w:p>
      <w:pPr>
        <w:spacing w:line="500" w:lineRule="exact"/>
        <w:ind w:firstLine="664" w:firstLineChars="200"/>
        <w:rPr>
          <w:rFonts w:ascii="仿宋" w:hAnsi="仿宋" w:eastAsia="仿宋" w:cs="仿宋"/>
          <w:spacing w:val="6"/>
          <w:sz w:val="32"/>
          <w:szCs w:val="32"/>
        </w:rPr>
      </w:pPr>
      <w:r>
        <w:rPr>
          <w:rFonts w:hint="eastAsia" w:ascii="仿宋" w:hAnsi="仿宋" w:eastAsia="仿宋" w:cs="仿宋"/>
          <w:spacing w:val="6"/>
          <w:sz w:val="32"/>
          <w:szCs w:val="32"/>
        </w:rPr>
        <w:t>2.加强重大疫情医疗救治能力建设。建立健全分级、分层、分流的重大疫情医疗救治机制，健全临床治疗、疾病控制、医疗保障、物资供应、科学研究协同机制，持续开展“健康使命”系列卫生应急综合性演练，卫生应急处置能力提升机制。完善传染病防治管理机制，重点建设传染病密切接触者集中医学观察点建设项目和总医院传染病房改扩建工程项目，预期投资6200万元，其中争取预算内投资4960万元。加强新型冠状病毒等输入性传染病的防范，加强重症监护病区和可转换病区建设，重点建设漳平总医院体外核酸扩增建设（PCR)工程，预期投资1500万元，其中争取中央预算内投资1200万元。对病毒核酸实验室进行负压系统升级改造，提高检验检测能力，优化流程设计，建设医学教育培训基地和在线培训课程平台、物资储备调度系统，完善设施设备配备。全面改造提升医院公共服务和辅助设施，重点建设基层后勤发热门诊与生物安全建设项目，预期投资3500万元，其中：争取预算内投资2800万元。提高新发突发传染病早期发现和快速处置能力。</w:t>
      </w:r>
    </w:p>
    <w:p>
      <w:pPr>
        <w:spacing w:line="500" w:lineRule="exact"/>
        <w:ind w:firstLine="664" w:firstLineChars="200"/>
        <w:rPr>
          <w:rFonts w:ascii="仿宋" w:hAnsi="仿宋" w:eastAsia="仿宋" w:cs="仿宋"/>
          <w:spacing w:val="6"/>
          <w:sz w:val="32"/>
          <w:szCs w:val="32"/>
        </w:rPr>
      </w:pPr>
      <w:r>
        <w:rPr>
          <w:rFonts w:hint="eastAsia" w:ascii="仿宋" w:hAnsi="仿宋" w:eastAsia="仿宋" w:cs="仿宋"/>
          <w:spacing w:val="6"/>
          <w:sz w:val="32"/>
          <w:szCs w:val="32"/>
        </w:rPr>
        <w:t>3.健全重大疫情医疗救治费用保障机制。针对突发疫情等紧急情况，探索建立与基本医疗保险、大病保险、医疗救助等保障制度相适应的财政补助机制。优化重大疫情医疗救治医保支付政策，将相关救治药品和医疗服务项目临时纳入医保报销范围。探索建立特殊群体、特定疾病医药费豁免制度，有针对性免除医保支付目录、支付限额、用药量等限制性条款，减轻困难群体就医就诊后顾之忧，推进公共卫生服务和医疗服务有效衔接。</w:t>
      </w:r>
    </w:p>
    <w:p>
      <w:pPr>
        <w:spacing w:line="500" w:lineRule="exact"/>
        <w:ind w:firstLine="664" w:firstLineChars="200"/>
        <w:rPr>
          <w:rFonts w:ascii="仿宋" w:hAnsi="仿宋" w:eastAsia="仿宋" w:cs="仿宋"/>
          <w:spacing w:val="6"/>
          <w:sz w:val="32"/>
          <w:szCs w:val="32"/>
        </w:rPr>
      </w:pPr>
      <w:r>
        <w:rPr>
          <w:rFonts w:hint="eastAsia" w:ascii="仿宋" w:hAnsi="仿宋" w:eastAsia="仿宋" w:cs="仿宋"/>
          <w:spacing w:val="6"/>
          <w:sz w:val="32"/>
          <w:szCs w:val="32"/>
        </w:rPr>
        <w:t>4.加强推进精神卫生和心理健康服务能力建设。完善市、乡镇、村三级精神卫生和心理健康服务工作网络。推动提升区域精神医疗服务保障能力，改造乡镇卫生院心理咨询室，配置相关心理健康服务设备。建立完善的精神卫生工作组织领导和部门协调机制，发改、卫健、公安、民政、司法行政等部门各司其职，按照“应治尽治、应管尽管、应收尽收”的要求，加强精神卫生防治网络建设和精神卫生专业队伍建设，合理配置精神科医师、护士、心理治疗师，逐步提高精神卫生服务能力，提高重性精神障碍患者检出率、治疗率和管理率。同时，加强严重精神障碍患者健康管理工作，到2025年实现严重精神障碍患者管理率达到100%。</w:t>
      </w:r>
    </w:p>
    <w:p>
      <w:pPr>
        <w:spacing w:line="500" w:lineRule="exact"/>
        <w:ind w:firstLine="664" w:firstLineChars="200"/>
        <w:rPr>
          <w:rFonts w:ascii="仿宋" w:hAnsi="仿宋" w:eastAsia="仿宋" w:cs="仿宋"/>
          <w:spacing w:val="6"/>
          <w:sz w:val="32"/>
          <w:szCs w:val="32"/>
        </w:rPr>
      </w:pPr>
      <w:r>
        <w:rPr>
          <w:rFonts w:hint="eastAsia" w:ascii="仿宋" w:hAnsi="仿宋" w:eastAsia="仿宋" w:cs="仿宋"/>
          <w:spacing w:val="6"/>
          <w:sz w:val="32"/>
          <w:szCs w:val="32"/>
        </w:rPr>
        <w:t>5.实施慢性病综合防控战略。增强紧急医学救援能力，建设漳平市医院创伤医学中心和新建西园分院创伤医学中心，预期投资1.4亿元，其中争取中央预算内投资1.12亿元。加强慢性病综合防控示范区建设，强化慢性病筛查和早期发现，针对高发地区重点癌症开展早诊早治工作，推动癌症、脑卒中、冠心病等慢性病的机会性筛查。推进社区健康促进工程，向有条件的地区将高血压、糖尿病等特色病种认定放宽到基层医疗卫生机构，落实慢性病“长处方”政策，鼓励引导慢性病患者基层就诊。丰富健康教育形式，深入开展健康促进和行为干预。到2025年，全市居民基本健康知识知晓率和基本健康行为形成率分别达到85％和80％。</w:t>
      </w:r>
    </w:p>
    <w:tbl>
      <w:tblPr>
        <w:tblStyle w:val="13"/>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atLeast"/>
          <w:jc w:val="center"/>
        </w:trPr>
        <w:tc>
          <w:tcPr>
            <w:tcW w:w="8500" w:type="dxa"/>
          </w:tcPr>
          <w:p>
            <w:pPr>
              <w:pStyle w:val="3"/>
              <w:spacing w:beforeLines="0" w:afterLines="0" w:line="360" w:lineRule="exact"/>
              <w:jc w:val="center"/>
              <w:outlineLvl w:val="1"/>
              <w:rPr>
                <w:rFonts w:ascii="仿宋" w:hAnsi="仿宋" w:eastAsia="仿宋" w:cs="仿宋"/>
              </w:rPr>
            </w:pPr>
            <w:bookmarkStart w:id="45" w:name="_Toc12265"/>
            <w:bookmarkStart w:id="46" w:name="_Toc19336"/>
            <w:bookmarkStart w:id="47" w:name="_Toc27213"/>
            <w:bookmarkStart w:id="48" w:name="_Toc25454"/>
            <w:bookmarkStart w:id="49" w:name="_Toc18648"/>
            <w:bookmarkStart w:id="50" w:name="_Toc16127"/>
            <w:bookmarkStart w:id="51" w:name="_Toc18996"/>
            <w:bookmarkStart w:id="52" w:name="_Toc24778"/>
            <w:bookmarkStart w:id="53" w:name="_Toc30189"/>
            <w:bookmarkStart w:id="54" w:name="_Toc57878431"/>
            <w:r>
              <w:rPr>
                <w:rFonts w:hint="eastAsia" w:ascii="仿宋" w:hAnsi="仿宋" w:eastAsia="仿宋" w:cs="仿宋"/>
                <w:sz w:val="24"/>
                <w:szCs w:val="24"/>
              </w:rPr>
              <w:t>专栏1： 公共卫生服务推进工程</w:t>
            </w:r>
            <w:bookmarkEnd w:id="45"/>
            <w:bookmarkEnd w:id="46"/>
            <w:bookmarkEnd w:id="47"/>
            <w:bookmarkEnd w:id="48"/>
            <w:bookmarkEnd w:id="49"/>
            <w:bookmarkEnd w:id="50"/>
            <w:bookmarkEnd w:id="51"/>
            <w:bookmarkEnd w:id="52"/>
            <w:bookmarkEnd w:id="53"/>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6" w:hRule="atLeast"/>
          <w:jc w:val="center"/>
        </w:trPr>
        <w:tc>
          <w:tcPr>
            <w:tcW w:w="8500" w:type="dxa"/>
          </w:tcPr>
          <w:p>
            <w:pPr>
              <w:pStyle w:val="11"/>
              <w:widowControl/>
              <w:spacing w:before="0" w:beforeAutospacing="0" w:after="0" w:afterAutospacing="0" w:line="312" w:lineRule="auto"/>
              <w:ind w:firstLine="480" w:firstLineChars="200"/>
              <w:jc w:val="both"/>
              <w:rPr>
                <w:rFonts w:ascii="仿宋" w:hAnsi="仿宋" w:eastAsia="仿宋" w:cs="仿宋"/>
              </w:rPr>
            </w:pPr>
            <w:r>
              <w:rPr>
                <w:rFonts w:hint="eastAsia" w:ascii="仿宋" w:hAnsi="仿宋" w:eastAsia="仿宋" w:cs="仿宋"/>
              </w:rPr>
              <w:t>基本公共卫生均等化：扩大基本公共卫生计生服务项目，全面推进流动人口基本公共卫生计生服务均等化，逐年提高基本公共卫生服务人均经费补助标准。</w:t>
            </w:r>
          </w:p>
          <w:p>
            <w:pPr>
              <w:pStyle w:val="11"/>
              <w:widowControl/>
              <w:spacing w:before="0" w:beforeAutospacing="0" w:after="0" w:afterAutospacing="0" w:line="312" w:lineRule="auto"/>
              <w:ind w:firstLine="480" w:firstLineChars="200"/>
              <w:jc w:val="both"/>
              <w:rPr>
                <w:rFonts w:ascii="仿宋" w:hAnsi="仿宋" w:eastAsia="仿宋" w:cs="仿宋"/>
              </w:rPr>
            </w:pPr>
            <w:r>
              <w:rPr>
                <w:rFonts w:hint="eastAsia" w:ascii="仿宋" w:hAnsi="仿宋" w:eastAsia="仿宋" w:cs="仿宋"/>
              </w:rPr>
              <w:t>重大传染病及地方病防控：血吸虫病防控，艾滋病防控，结核病防控，突发急性传染病、新冠肺炎防控，流感和不明原因肺炎监测，重点地方病防控。</w:t>
            </w:r>
          </w:p>
          <w:p>
            <w:pPr>
              <w:pStyle w:val="11"/>
              <w:widowControl/>
              <w:spacing w:before="0" w:beforeAutospacing="0" w:after="0" w:afterAutospacing="0" w:line="312" w:lineRule="auto"/>
              <w:ind w:firstLine="480" w:firstLineChars="200"/>
              <w:jc w:val="both"/>
              <w:rPr>
                <w:rFonts w:ascii="仿宋" w:hAnsi="仿宋" w:eastAsia="仿宋" w:cs="仿宋"/>
              </w:rPr>
            </w:pPr>
            <w:r>
              <w:rPr>
                <w:rFonts w:hint="eastAsia" w:ascii="仿宋" w:hAnsi="仿宋" w:eastAsia="仿宋" w:cs="仿宋"/>
              </w:rPr>
              <w:t>落实扩大国家免疫规划：扩大国家免疫规划，常规疫苗可预防重点传染病监测。</w:t>
            </w:r>
          </w:p>
          <w:p>
            <w:pPr>
              <w:pStyle w:val="11"/>
              <w:widowControl/>
              <w:spacing w:before="0" w:beforeAutospacing="0" w:after="0" w:afterAutospacing="0" w:line="312" w:lineRule="auto"/>
              <w:ind w:firstLine="480" w:firstLineChars="200"/>
              <w:jc w:val="both"/>
              <w:rPr>
                <w:rFonts w:ascii="仿宋" w:hAnsi="仿宋" w:eastAsia="仿宋" w:cs="仿宋"/>
              </w:rPr>
            </w:pPr>
            <w:r>
              <w:rPr>
                <w:rFonts w:hint="eastAsia" w:ascii="仿宋" w:hAnsi="仿宋" w:eastAsia="仿宋" w:cs="仿宋"/>
              </w:rPr>
              <w:t>慢性病防控：全民健康生活方式行动，慢性病监测与综合干预，居民死因登记报告，肿瘤登记报告，伤害监测，高血压患者管理与健康干预，糖尿病患者管理与健康干预，癌症早诊早治，心血管疾病高危人群早期筛查与综合干预，慢性呼吸系统疾病高危人群筛查和干预，重点人群口腔疾病综合干预。</w:t>
            </w:r>
          </w:p>
          <w:p>
            <w:pPr>
              <w:spacing w:line="312" w:lineRule="auto"/>
              <w:ind w:firstLine="480" w:firstLineChars="200"/>
              <w:rPr>
                <w:rFonts w:ascii="仿宋" w:hAnsi="仿宋" w:eastAsia="仿宋" w:cs="仿宋"/>
              </w:rPr>
            </w:pPr>
            <w:bookmarkStart w:id="55" w:name="_Toc7218"/>
            <w:r>
              <w:rPr>
                <w:rFonts w:hint="eastAsia" w:ascii="仿宋" w:hAnsi="仿宋" w:eastAsia="仿宋" w:cs="仿宋"/>
                <w:sz w:val="24"/>
                <w:szCs w:val="24"/>
              </w:rPr>
              <w:t>精神卫生干预：精神卫生综合管理试点，精神卫生等专业公共卫生机构建设，严重精神障碍患者管理治疗，心理健康服务，心理援助热线。</w:t>
            </w:r>
            <w:bookmarkEnd w:id="55"/>
          </w:p>
        </w:tc>
      </w:tr>
    </w:tbl>
    <w:p>
      <w:pPr>
        <w:numPr>
          <w:ilvl w:val="0"/>
          <w:numId w:val="11"/>
        </w:numPr>
        <w:spacing w:beforeLines="50" w:afterLines="50" w:line="500" w:lineRule="exact"/>
        <w:ind w:firstLine="667" w:firstLineChars="200"/>
        <w:rPr>
          <w:rFonts w:ascii="仿宋" w:hAnsi="仿宋" w:eastAsia="仿宋" w:cs="仿宋"/>
          <w:b/>
          <w:spacing w:val="6"/>
          <w:sz w:val="32"/>
          <w:szCs w:val="32"/>
        </w:rPr>
      </w:pPr>
      <w:r>
        <w:rPr>
          <w:rFonts w:hint="eastAsia" w:ascii="仿宋" w:hAnsi="仿宋" w:eastAsia="仿宋" w:cs="仿宋"/>
          <w:b/>
          <w:spacing w:val="6"/>
          <w:sz w:val="32"/>
          <w:szCs w:val="32"/>
        </w:rPr>
        <w:t>加强突发事件应急处置能力建设</w:t>
      </w:r>
    </w:p>
    <w:p>
      <w:pPr>
        <w:spacing w:line="500" w:lineRule="exact"/>
        <w:ind w:firstLine="664" w:firstLineChars="200"/>
        <w:rPr>
          <w:rFonts w:ascii="仿宋" w:hAnsi="仿宋" w:eastAsia="仿宋" w:cs="仿宋"/>
          <w:spacing w:val="6"/>
          <w:sz w:val="32"/>
          <w:szCs w:val="32"/>
        </w:rPr>
      </w:pPr>
      <w:r>
        <w:rPr>
          <w:rFonts w:hint="eastAsia" w:ascii="仿宋" w:hAnsi="仿宋" w:eastAsia="仿宋" w:cs="仿宋"/>
          <w:spacing w:val="6"/>
          <w:sz w:val="32"/>
          <w:szCs w:val="32"/>
        </w:rPr>
        <w:t>1.健全突发公共卫生事件应急工作机制，完善监测、预警、决策、处置全链条响应机制，建立完善平战结合、科学高效的控体制机制，提升公共卫生应急工作能力。</w:t>
      </w:r>
    </w:p>
    <w:p>
      <w:pPr>
        <w:spacing w:line="500" w:lineRule="exact"/>
        <w:ind w:firstLine="664" w:firstLineChars="200"/>
        <w:rPr>
          <w:rFonts w:ascii="仿宋" w:hAnsi="仿宋" w:eastAsia="仿宋" w:cs="仿宋"/>
          <w:spacing w:val="6"/>
          <w:sz w:val="32"/>
          <w:szCs w:val="32"/>
        </w:rPr>
      </w:pPr>
      <w:r>
        <w:rPr>
          <w:rFonts w:hint="eastAsia" w:ascii="仿宋" w:hAnsi="仿宋" w:eastAsia="仿宋" w:cs="仿宋"/>
          <w:spacing w:val="6"/>
          <w:sz w:val="32"/>
          <w:szCs w:val="32"/>
        </w:rPr>
        <w:t>2.加强公共卫生应急指挥系统建设。逐步实现市、乡镇、村三级卫生应急决策指挥平台互通对接和信息资源共享，提高公共卫生监测预警能力，提升应急救援处置能力，健全完善应急物资保障和储备体系。如新建应急物资储备库，设置医疗救援药品库、传染病控制物资库、中毒处置物资库、核与放射类处置物资库等。重点建设福建省卫生应急闽西南储备库建设项目和改扩建漳平市方舱医院，预期投资2.8亿元，其中争取中央预算内投资2.24亿元。加强全市卫生应急队伍规范化管理，开展卫生应急培训演练，完善现场应急处置、救援装备配备，制定市级卫生应急物资储备计划，提高应急保障能力，不断完善“120”急救调度平台。至2025年，实现每万人ロ(管理人ロ)拥有救护车0.3辆，合理布局急救点，完善院前急救补偿机制。</w:t>
      </w:r>
    </w:p>
    <w:p>
      <w:pPr>
        <w:numPr>
          <w:ilvl w:val="0"/>
          <w:numId w:val="10"/>
        </w:numPr>
        <w:spacing w:beforeLines="50" w:afterLines="50" w:line="500" w:lineRule="exact"/>
        <w:ind w:firstLine="667" w:firstLineChars="200"/>
        <w:outlineLvl w:val="1"/>
        <w:rPr>
          <w:rFonts w:ascii="仿宋" w:hAnsi="仿宋" w:eastAsia="仿宋" w:cs="仿宋"/>
          <w:b/>
          <w:spacing w:val="6"/>
          <w:sz w:val="32"/>
          <w:szCs w:val="32"/>
        </w:rPr>
      </w:pPr>
      <w:bookmarkStart w:id="56" w:name="_Toc16963"/>
      <w:bookmarkStart w:id="57" w:name="_Toc57878432"/>
      <w:bookmarkStart w:id="58" w:name="_Toc12767"/>
      <w:r>
        <w:rPr>
          <w:rFonts w:hint="eastAsia" w:ascii="仿宋" w:hAnsi="仿宋" w:eastAsia="仿宋" w:cs="仿宋"/>
          <w:b/>
          <w:spacing w:val="6"/>
          <w:sz w:val="32"/>
          <w:szCs w:val="32"/>
        </w:rPr>
        <w:t>“夯实基层医防网底”，加大基本公共卫生服务体系建设</w:t>
      </w:r>
      <w:bookmarkEnd w:id="56"/>
      <w:bookmarkEnd w:id="57"/>
      <w:bookmarkEnd w:id="58"/>
      <w:r>
        <w:rPr>
          <w:rFonts w:hint="eastAsia" w:ascii="仿宋" w:hAnsi="仿宋" w:eastAsia="仿宋" w:cs="仿宋"/>
          <w:b/>
          <w:spacing w:val="6"/>
          <w:sz w:val="32"/>
          <w:szCs w:val="32"/>
        </w:rPr>
        <w:tab/>
      </w:r>
    </w:p>
    <w:p>
      <w:pPr>
        <w:spacing w:line="500" w:lineRule="exact"/>
        <w:ind w:firstLine="664" w:firstLineChars="200"/>
        <w:rPr>
          <w:rFonts w:ascii="仿宋" w:hAnsi="仿宋" w:eastAsia="仿宋" w:cs="仿宋"/>
          <w:spacing w:val="6"/>
          <w:sz w:val="32"/>
          <w:szCs w:val="32"/>
        </w:rPr>
      </w:pPr>
      <w:r>
        <w:rPr>
          <w:rFonts w:hint="eastAsia" w:ascii="仿宋" w:hAnsi="仿宋" w:eastAsia="仿宋" w:cs="仿宋"/>
          <w:spacing w:val="6"/>
          <w:sz w:val="32"/>
          <w:szCs w:val="32"/>
        </w:rPr>
        <w:t>按照“两控两调一限”的总要求，优化医疗资源布局，加强优质医疗资源扩容下沉，提升县域综合服务能力，促进医疗机构高质量的发展。加快建立分级诊疗制度，积极推进区域医疗中心建设，县域健共体建设，构建起“上下联动、区域协同、集团管理”的运行模式向“横向到边、纵向到底、系统连续”的疫情防控救治体系快速转变的模式。允许公立医院根据规划和需求，与社会力量合作举办新的非营利性医疗机构，对社会办医总量和专业不作规划限制，到2025年，社会办医床位数占全市医院床位数26%左右，推动形成多元化办医格局。</w:t>
      </w:r>
    </w:p>
    <w:p>
      <w:pPr>
        <w:pStyle w:val="3"/>
        <w:spacing w:beforeLines="0" w:afterLines="0" w:line="500" w:lineRule="exact"/>
        <w:ind w:firstLine="667" w:firstLineChars="200"/>
        <w:jc w:val="both"/>
        <w:rPr>
          <w:rFonts w:ascii="仿宋" w:hAnsi="仿宋" w:eastAsia="仿宋" w:cs="仿宋"/>
          <w:b/>
          <w:bCs/>
          <w:spacing w:val="6"/>
        </w:rPr>
      </w:pPr>
      <w:r>
        <w:rPr>
          <w:rFonts w:hint="eastAsia" w:ascii="仿宋" w:hAnsi="仿宋" w:eastAsia="仿宋" w:cs="仿宋"/>
          <w:b/>
          <w:bCs/>
          <w:spacing w:val="6"/>
        </w:rPr>
        <w:t>（一）加大对市总医院的要素投入</w:t>
      </w:r>
    </w:p>
    <w:p>
      <w:pPr>
        <w:tabs>
          <w:tab w:val="left" w:pos="312"/>
        </w:tabs>
        <w:spacing w:line="500" w:lineRule="exact"/>
        <w:ind w:firstLine="664" w:firstLineChars="200"/>
        <w:rPr>
          <w:rFonts w:ascii="仿宋" w:hAnsi="仿宋" w:eastAsia="仿宋" w:cs="仿宋"/>
          <w:spacing w:val="6"/>
          <w:sz w:val="32"/>
          <w:szCs w:val="32"/>
        </w:rPr>
      </w:pPr>
      <w:r>
        <w:rPr>
          <w:rFonts w:hint="eastAsia" w:ascii="仿宋" w:hAnsi="仿宋" w:eastAsia="仿宋" w:cs="仿宋"/>
          <w:spacing w:val="6"/>
          <w:sz w:val="32"/>
          <w:szCs w:val="32"/>
        </w:rPr>
        <w:t>结合世行贷款医改促进项目实施，持续推进医疗服务技术、协作、信息等三大平台建设，在已完成区域影像中心、远程会诊中心、心电诊断中心、消毒供应中心、病理诊断中心建设的基础上，加快对检验中心的建设，并进入实质性运作，加强重点专科和薄弱学科建设。重点建设漳平市医院智慧医院及后勤保障设施建设项目，增强总医院后勤保障能力，预期投资2000万元，其中争取中央预算内投资1600万元。新建智能停车场、医疗废物管理房家管理系统，污水污物处理系统。</w:t>
      </w:r>
    </w:p>
    <w:p>
      <w:pPr>
        <w:pStyle w:val="3"/>
        <w:spacing w:beforeLines="0" w:afterLines="0" w:line="500" w:lineRule="exact"/>
        <w:ind w:firstLine="667" w:firstLineChars="200"/>
        <w:jc w:val="both"/>
        <w:rPr>
          <w:rFonts w:ascii="仿宋" w:hAnsi="仿宋" w:eastAsia="仿宋" w:cs="仿宋"/>
          <w:b/>
          <w:bCs/>
          <w:spacing w:val="6"/>
        </w:rPr>
      </w:pPr>
      <w:r>
        <w:rPr>
          <w:rFonts w:hint="eastAsia" w:ascii="仿宋" w:hAnsi="仿宋" w:eastAsia="仿宋" w:cs="仿宋"/>
          <w:b/>
          <w:bCs/>
          <w:spacing w:val="6"/>
        </w:rPr>
        <w:t>（二）持续改善基层卫生服务水平</w:t>
      </w:r>
    </w:p>
    <w:p>
      <w:pPr>
        <w:tabs>
          <w:tab w:val="left" w:pos="312"/>
        </w:tabs>
        <w:spacing w:line="500" w:lineRule="exact"/>
        <w:ind w:firstLine="664" w:firstLineChars="200"/>
        <w:rPr>
          <w:rFonts w:ascii="仿宋" w:hAnsi="仿宋" w:eastAsia="仿宋" w:cs="仿宋"/>
          <w:bCs/>
          <w:spacing w:val="6"/>
          <w:sz w:val="32"/>
          <w:szCs w:val="32"/>
        </w:rPr>
      </w:pPr>
      <w:r>
        <w:rPr>
          <w:rFonts w:hint="eastAsia" w:ascii="仿宋" w:hAnsi="仿宋" w:eastAsia="仿宋" w:cs="仿宋"/>
          <w:bCs/>
          <w:spacing w:val="6"/>
          <w:sz w:val="32"/>
          <w:szCs w:val="32"/>
        </w:rPr>
        <w:t>1.继续开展基层医疗卫生机构业务用房、设备双达标建设。按照省、龙岩市有关加快医疗卫生事业发展的实施意见提出的业务用房、诊疗设备达标建设要求，推进基层基础短板项目建设。加快推进西园分院创伤医学中心、赤水卫生院、官田卫生院综合楼等补短板项目</w:t>
      </w:r>
      <w:bookmarkStart w:id="126" w:name="_GoBack"/>
      <w:bookmarkEnd w:id="126"/>
      <w:r>
        <w:rPr>
          <w:rFonts w:hint="eastAsia" w:ascii="仿宋" w:hAnsi="仿宋" w:eastAsia="仿宋" w:cs="仿宋"/>
          <w:bCs/>
          <w:spacing w:val="6"/>
          <w:sz w:val="32"/>
          <w:szCs w:val="32"/>
        </w:rPr>
        <w:t>建设，加大投入，完善部分基层医疗卫生机构DR、彩超、心电图机、生化分析仪、血液分析仪、尿液分析仪等必备设备的配置。新建新桥分院、溪南分院、象湖分院，改扩建赤水分院，整体搬迁永福分院。预期投资5.9亿元，其中争取中央预算内投资4.72亿元。</w:t>
      </w:r>
    </w:p>
    <w:p>
      <w:pPr>
        <w:tabs>
          <w:tab w:val="left" w:pos="312"/>
        </w:tabs>
        <w:spacing w:line="500" w:lineRule="exact"/>
        <w:ind w:firstLine="664" w:firstLineChars="200"/>
        <w:rPr>
          <w:rFonts w:ascii="仿宋" w:hAnsi="仿宋" w:eastAsia="仿宋" w:cs="仿宋"/>
          <w:bCs/>
          <w:spacing w:val="6"/>
          <w:sz w:val="32"/>
          <w:szCs w:val="32"/>
        </w:rPr>
      </w:pPr>
      <w:r>
        <w:rPr>
          <w:rFonts w:hint="eastAsia" w:ascii="仿宋" w:hAnsi="仿宋" w:eastAsia="仿宋" w:cs="仿宋"/>
          <w:bCs/>
          <w:spacing w:val="6"/>
          <w:sz w:val="32"/>
          <w:szCs w:val="32"/>
        </w:rPr>
        <w:t>2.推进区域医疗分中心建设。开展永福、新桥两个区域医疗分中心建设，构建“横向到边，纵向到底”的医疗卫生服务网络。实施市总医院永福分院整体迁建项目，积极争取中央、省预算内投资，推进项目前期工作，争取2020年12月份开工建设。</w:t>
      </w:r>
    </w:p>
    <w:p>
      <w:pPr>
        <w:tabs>
          <w:tab w:val="left" w:pos="312"/>
        </w:tabs>
        <w:spacing w:line="500" w:lineRule="exact"/>
        <w:ind w:firstLine="664" w:firstLineChars="200"/>
        <w:rPr>
          <w:rFonts w:ascii="仿宋" w:hAnsi="仿宋" w:eastAsia="仿宋" w:cs="仿宋"/>
          <w:bCs/>
          <w:spacing w:val="6"/>
          <w:sz w:val="32"/>
          <w:szCs w:val="32"/>
        </w:rPr>
      </w:pPr>
      <w:r>
        <w:rPr>
          <w:rFonts w:hint="eastAsia" w:ascii="仿宋" w:hAnsi="仿宋" w:eastAsia="仿宋" w:cs="仿宋"/>
          <w:bCs/>
          <w:spacing w:val="6"/>
          <w:sz w:val="32"/>
          <w:szCs w:val="32"/>
        </w:rPr>
        <w:t>3.加强市总医院新桥分院建设，加强技术力量配备，提升影像、检验等必备设备配置，提升我市北片区域服务水平和辐射能力。</w:t>
      </w:r>
    </w:p>
    <w:p>
      <w:pPr>
        <w:pStyle w:val="3"/>
        <w:spacing w:beforeLines="0" w:afterLines="0" w:line="500" w:lineRule="exact"/>
        <w:ind w:firstLine="667" w:firstLineChars="200"/>
        <w:jc w:val="both"/>
        <w:rPr>
          <w:rFonts w:ascii="仿宋" w:hAnsi="仿宋" w:eastAsia="仿宋" w:cs="仿宋"/>
          <w:b/>
          <w:bCs/>
          <w:spacing w:val="6"/>
        </w:rPr>
      </w:pPr>
      <w:bookmarkStart w:id="59" w:name="_Toc1296"/>
      <w:bookmarkStart w:id="60" w:name="_Toc23813"/>
      <w:bookmarkStart w:id="61" w:name="_Toc57878433"/>
      <w:bookmarkStart w:id="62" w:name="_Toc31842"/>
      <w:bookmarkStart w:id="63" w:name="_Toc8717"/>
      <w:bookmarkStart w:id="64" w:name="_Toc18099"/>
      <w:bookmarkStart w:id="65" w:name="_Toc7611"/>
      <w:bookmarkStart w:id="66" w:name="_Toc20838"/>
      <w:bookmarkStart w:id="67" w:name="_Toc13073"/>
      <w:r>
        <w:rPr>
          <w:rFonts w:hint="eastAsia" w:ascii="仿宋" w:hAnsi="仿宋" w:eastAsia="仿宋" w:cs="仿宋"/>
          <w:b/>
          <w:bCs/>
          <w:spacing w:val="6"/>
        </w:rPr>
        <w:t>(三)加强推进一体化村卫生所标准化建设</w:t>
      </w:r>
    </w:p>
    <w:p>
      <w:pPr>
        <w:pStyle w:val="3"/>
        <w:spacing w:beforeLines="0" w:afterLines="0" w:line="500" w:lineRule="exact"/>
        <w:ind w:firstLine="640" w:firstLineChars="200"/>
        <w:jc w:val="both"/>
        <w:rPr>
          <w:rFonts w:ascii="仿宋" w:hAnsi="仿宋" w:eastAsia="仿宋" w:cs="仿宋"/>
        </w:rPr>
      </w:pPr>
      <w:r>
        <w:rPr>
          <w:rFonts w:hint="eastAsia" w:ascii="仿宋" w:hAnsi="仿宋" w:eastAsia="仿宋" w:cs="仿宋"/>
        </w:rPr>
        <w:t>持续推进村卫生所一体化服务管理，做好村医养老保障，落实乡村医生养老保障和多渠道补偿机制，稳定村医队伍。</w:t>
      </w:r>
      <w:bookmarkEnd w:id="59"/>
      <w:bookmarkEnd w:id="60"/>
      <w:bookmarkEnd w:id="61"/>
      <w:bookmarkEnd w:id="62"/>
      <w:bookmarkEnd w:id="63"/>
      <w:bookmarkEnd w:id="64"/>
      <w:bookmarkEnd w:id="65"/>
      <w:bookmarkEnd w:id="66"/>
      <w:bookmarkEnd w:id="67"/>
    </w:p>
    <w:tbl>
      <w:tblPr>
        <w:tblStyle w:val="13"/>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580" w:type="dxa"/>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专栏2：基层卫生服务体系建设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580" w:type="dxa"/>
          </w:tcPr>
          <w:p>
            <w:pPr>
              <w:spacing w:line="336" w:lineRule="auto"/>
              <w:ind w:firstLine="480" w:firstLineChars="200"/>
              <w:jc w:val="left"/>
              <w:rPr>
                <w:rFonts w:ascii="仿宋" w:hAnsi="仿宋" w:eastAsia="仿宋" w:cs="仿宋"/>
                <w:sz w:val="24"/>
                <w:szCs w:val="24"/>
              </w:rPr>
            </w:pPr>
            <w:r>
              <w:rPr>
                <w:rFonts w:hint="eastAsia" w:ascii="仿宋" w:hAnsi="仿宋" w:eastAsia="仿宋" w:cs="仿宋"/>
                <w:sz w:val="24"/>
                <w:szCs w:val="24"/>
              </w:rPr>
              <w:t>1.基层医疗卫生机构服务能力提升建设工程：支持所有基层医疗卫生机构完成达标建设；支持乡镇卫生院或社区卫生服务中心，对照社区医院和二级医院建设标准，开展基础设施设备、学科建设等能力提升建设。</w:t>
            </w:r>
          </w:p>
          <w:p>
            <w:pPr>
              <w:spacing w:line="336" w:lineRule="auto"/>
              <w:ind w:firstLine="480" w:firstLineChars="200"/>
              <w:rPr>
                <w:rFonts w:ascii="仿宋" w:hAnsi="仿宋" w:eastAsia="仿宋" w:cs="仿宋"/>
                <w:sz w:val="24"/>
                <w:szCs w:val="24"/>
              </w:rPr>
            </w:pPr>
            <w:r>
              <w:rPr>
                <w:rFonts w:hint="eastAsia" w:ascii="仿宋" w:hAnsi="仿宋" w:eastAsia="仿宋" w:cs="仿宋"/>
                <w:sz w:val="24"/>
                <w:szCs w:val="24"/>
              </w:rPr>
              <w:t>2.基层医疗卫生机构“一乡一品”特色专科建设，基层医疗卫生机构，每所基层医疗卫生机构支持建设1个特色专科科室。落实县域总医院专家下沉基层提供配备设施保障，为农村乡镇卫生院每所建设两套周转房。</w:t>
            </w:r>
          </w:p>
        </w:tc>
      </w:tr>
    </w:tbl>
    <w:p>
      <w:pPr>
        <w:numPr>
          <w:ilvl w:val="0"/>
          <w:numId w:val="10"/>
        </w:numPr>
        <w:spacing w:beforeLines="50" w:afterLines="50" w:line="500" w:lineRule="exact"/>
        <w:ind w:firstLine="667" w:firstLineChars="200"/>
        <w:outlineLvl w:val="1"/>
        <w:rPr>
          <w:rFonts w:ascii="仿宋" w:hAnsi="仿宋" w:eastAsia="仿宋" w:cs="仿宋"/>
          <w:b/>
          <w:spacing w:val="6"/>
          <w:sz w:val="32"/>
          <w:szCs w:val="32"/>
        </w:rPr>
      </w:pPr>
      <w:bookmarkStart w:id="68" w:name="_Toc26962"/>
      <w:bookmarkStart w:id="69" w:name="_Toc57878434"/>
      <w:r>
        <w:rPr>
          <w:rFonts w:hint="eastAsia" w:ascii="仿宋" w:hAnsi="仿宋" w:eastAsia="仿宋" w:cs="仿宋"/>
          <w:b/>
          <w:spacing w:val="6"/>
          <w:sz w:val="32"/>
          <w:szCs w:val="32"/>
        </w:rPr>
        <w:t>加强全生命周期管理，加强妇幼卫生保健和计生体系服务建设</w:t>
      </w:r>
      <w:bookmarkEnd w:id="68"/>
      <w:bookmarkEnd w:id="69"/>
    </w:p>
    <w:p>
      <w:pPr>
        <w:numPr>
          <w:ilvl w:val="0"/>
          <w:numId w:val="12"/>
        </w:numPr>
        <w:spacing w:beforeLines="50" w:afterLines="50" w:line="500" w:lineRule="exact"/>
        <w:ind w:firstLine="667" w:firstLineChars="200"/>
        <w:rPr>
          <w:rFonts w:ascii="仿宋" w:hAnsi="仿宋" w:eastAsia="仿宋" w:cs="仿宋"/>
          <w:b/>
          <w:bCs/>
          <w:spacing w:val="6"/>
          <w:sz w:val="32"/>
          <w:szCs w:val="32"/>
        </w:rPr>
      </w:pPr>
      <w:r>
        <w:rPr>
          <w:rFonts w:hint="eastAsia" w:ascii="仿宋" w:hAnsi="仿宋" w:eastAsia="仿宋" w:cs="仿宋"/>
          <w:b/>
          <w:bCs/>
          <w:spacing w:val="6"/>
          <w:sz w:val="32"/>
          <w:szCs w:val="32"/>
        </w:rPr>
        <w:t>保障妇幼健康服务</w:t>
      </w:r>
    </w:p>
    <w:p>
      <w:pPr>
        <w:spacing w:line="500" w:lineRule="exact"/>
        <w:ind w:firstLine="664" w:firstLineChars="200"/>
        <w:rPr>
          <w:rFonts w:ascii="仿宋" w:hAnsi="仿宋" w:eastAsia="仿宋" w:cs="仿宋"/>
          <w:bCs/>
          <w:spacing w:val="6"/>
          <w:sz w:val="32"/>
          <w:szCs w:val="32"/>
        </w:rPr>
      </w:pPr>
      <w:r>
        <w:rPr>
          <w:rFonts w:hint="eastAsia" w:ascii="仿宋" w:hAnsi="仿宋" w:eastAsia="仿宋" w:cs="仿宋"/>
          <w:bCs/>
          <w:spacing w:val="6"/>
          <w:sz w:val="32"/>
          <w:szCs w:val="32"/>
        </w:rPr>
        <w:t>1.保障妇幼健康服务</w:t>
      </w:r>
      <w:bookmarkStart w:id="70" w:name="_Toc8960"/>
      <w:bookmarkStart w:id="71" w:name="_Toc16800"/>
      <w:r>
        <w:rPr>
          <w:rFonts w:hint="eastAsia" w:ascii="仿宋" w:hAnsi="仿宋" w:eastAsia="仿宋" w:cs="仿宋"/>
          <w:bCs/>
          <w:spacing w:val="6"/>
          <w:sz w:val="32"/>
          <w:szCs w:val="32"/>
        </w:rPr>
        <w:t>。提升妇幼健康服务质量与水平，按标准化要求加强妇幼保健机构基础设施建设，创建孕产妇健康服务示范市，加强婚前、孕前、孕产期、新生儿期和儿童期、青春期、妇女更年期保健等健康服务。</w:t>
      </w:r>
      <w:bookmarkEnd w:id="70"/>
      <w:bookmarkEnd w:id="71"/>
    </w:p>
    <w:p>
      <w:pPr>
        <w:spacing w:line="500" w:lineRule="exact"/>
        <w:ind w:firstLine="664" w:firstLineChars="200"/>
        <w:rPr>
          <w:rFonts w:ascii="仿宋" w:hAnsi="仿宋" w:eastAsia="仿宋" w:cs="仿宋"/>
          <w:bCs/>
          <w:spacing w:val="6"/>
          <w:sz w:val="32"/>
          <w:szCs w:val="32"/>
        </w:rPr>
      </w:pPr>
      <w:r>
        <w:rPr>
          <w:rFonts w:hint="eastAsia" w:ascii="仿宋" w:hAnsi="仿宋" w:eastAsia="仿宋" w:cs="仿宋"/>
          <w:bCs/>
          <w:spacing w:val="6"/>
          <w:sz w:val="32"/>
          <w:szCs w:val="32"/>
        </w:rPr>
        <w:t>2.实施健康儿童行动计划。巩固完善新生儿救护网络、儿童医疗救治服务体系建设，推进儿童早期发展服务网络建设，提高儿童早期发展均等化水平。全面开展新生儿疾病筛查，加强筛查阳性病例的随访、确诊、治疗和干预，提高确诊病例治疗率。扩大新生儿疾病筛查病种范围，落实0－6岁儿童健康管理，规范开展新生儿访视。</w:t>
      </w:r>
    </w:p>
    <w:p>
      <w:pPr>
        <w:spacing w:line="500" w:lineRule="exact"/>
        <w:ind w:firstLine="664" w:firstLineChars="200"/>
        <w:rPr>
          <w:rFonts w:ascii="仿宋" w:hAnsi="仿宋" w:eastAsia="仿宋" w:cs="仿宋"/>
          <w:bCs/>
          <w:spacing w:val="6"/>
          <w:sz w:val="32"/>
          <w:szCs w:val="32"/>
        </w:rPr>
      </w:pPr>
      <w:r>
        <w:rPr>
          <w:rFonts w:hint="eastAsia" w:ascii="仿宋" w:hAnsi="仿宋" w:eastAsia="仿宋" w:cs="仿宋"/>
          <w:bCs/>
          <w:spacing w:val="6"/>
          <w:sz w:val="32"/>
          <w:szCs w:val="32"/>
        </w:rPr>
        <w:t>3.发展婴幼儿照护服务。加大母婴设施建设力度，指导提升母婴设施服务管理水平，探索机构设置、机构管理、课程教材开发、保育服务等方面一体化标准。推动完善相关托育服务的标准化和规范化建设，发展托育从业人员培训、托育机构管理咨询、家庭养育指导和社区亲子服务等服务。鼓励推动托育服务技术创新和应用，实施托育机构设备提档升级，“十四五”期间至少指导建设1所标准化示范性托幼机构。</w:t>
      </w:r>
    </w:p>
    <w:p>
      <w:pPr>
        <w:spacing w:line="500" w:lineRule="exact"/>
        <w:ind w:firstLine="664" w:firstLineChars="200"/>
        <w:rPr>
          <w:rFonts w:ascii="仿宋" w:hAnsi="仿宋" w:eastAsia="仿宋" w:cs="仿宋"/>
          <w:bCs/>
          <w:spacing w:val="6"/>
          <w:sz w:val="32"/>
          <w:szCs w:val="32"/>
        </w:rPr>
      </w:pPr>
      <w:r>
        <w:rPr>
          <w:rFonts w:hint="eastAsia" w:ascii="仿宋" w:hAnsi="仿宋" w:eastAsia="仿宋" w:cs="仿宋"/>
          <w:bCs/>
          <w:spacing w:val="6"/>
          <w:sz w:val="32"/>
          <w:szCs w:val="32"/>
        </w:rPr>
        <w:t>4.逐步扩大35-64岁妇女“两癌”筛查等基本公共卫生项目覆盖面，全面落实城乡均等化。继续实施预防艾滋病、梅毒和乙肝母婴传播项目，以肺炎、腹泻、贫血、哮喘、龋齿、视力不良、心理行为问题等为重点，推广儿童疾病综合管理适宜技术。妇幼保健机构推广应用中医药适宜技术和方法，开展妇幼保健中医特色专科建设，扩大中医药在孕育调养、产后康复等方面应用。加强妇女儿童疾病诊疗中西医临床协作，提高疑难病、急危重症诊疗水平。加强妇幼保健机构公共卫生职能建设，提升公共卫生履职和应急处置能力。</w:t>
      </w:r>
    </w:p>
    <w:tbl>
      <w:tblPr>
        <w:tblStyle w:val="13"/>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500" w:type="dxa"/>
          </w:tcPr>
          <w:p>
            <w:pPr>
              <w:spacing w:line="360" w:lineRule="auto"/>
              <w:ind w:firstLine="480" w:firstLineChars="200"/>
              <w:jc w:val="center"/>
              <w:rPr>
                <w:rFonts w:ascii="仿宋" w:hAnsi="仿宋" w:eastAsia="仿宋" w:cs="仿宋"/>
                <w:bCs/>
                <w:spacing w:val="6"/>
                <w:sz w:val="24"/>
                <w:szCs w:val="24"/>
              </w:rPr>
            </w:pPr>
            <w:r>
              <w:rPr>
                <w:rFonts w:hint="eastAsia" w:ascii="仿宋" w:hAnsi="仿宋" w:eastAsia="仿宋" w:cs="仿宋"/>
                <w:sz w:val="24"/>
                <w:szCs w:val="24"/>
              </w:rPr>
              <w:t>专栏3：妇幼健康工程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00" w:type="dxa"/>
          </w:tcPr>
          <w:p>
            <w:pPr>
              <w:pStyle w:val="11"/>
              <w:widowControl/>
              <w:spacing w:before="0" w:beforeAutospacing="0" w:after="0" w:afterAutospacing="0" w:line="360" w:lineRule="auto"/>
              <w:ind w:firstLine="480" w:firstLineChars="200"/>
              <w:jc w:val="both"/>
              <w:rPr>
                <w:rFonts w:ascii="仿宋" w:hAnsi="仿宋" w:eastAsia="仿宋" w:cs="仿宋"/>
              </w:rPr>
            </w:pPr>
            <w:r>
              <w:rPr>
                <w:rFonts w:hint="eastAsia" w:ascii="仿宋" w:hAnsi="仿宋" w:eastAsia="仿宋" w:cs="仿宋"/>
              </w:rPr>
              <w:t>妇幼健康服务体系建设：加强县级妇幼保健院能力建设，重点扩大妇、产和儿科临床服务供给能力，以妇女儿童健康管理和重大疾病防治为重点，开展妇幼保健重点学科建设、重点人才培养以及技术科学研究，引进、推广和应用。加强产儿科和妇幼保健紧缺人才的培养和使用。</w:t>
            </w:r>
          </w:p>
          <w:p>
            <w:pPr>
              <w:pStyle w:val="11"/>
              <w:widowControl/>
              <w:spacing w:before="0" w:beforeAutospacing="0" w:after="0" w:afterAutospacing="0" w:line="360" w:lineRule="auto"/>
              <w:ind w:firstLine="480" w:firstLineChars="200"/>
              <w:jc w:val="both"/>
              <w:rPr>
                <w:rFonts w:ascii="仿宋" w:hAnsi="仿宋" w:eastAsia="仿宋" w:cs="仿宋"/>
              </w:rPr>
            </w:pPr>
            <w:r>
              <w:rPr>
                <w:rFonts w:hint="eastAsia" w:ascii="仿宋" w:hAnsi="仿宋" w:eastAsia="仿宋" w:cs="仿宋"/>
              </w:rPr>
              <w:t>妇女儿童健康保障：健全市、乡镇二级孕产妇和新生儿危急重症救治中心，推广应用孕产妇危重急症救治规范和新生儿窒息复苏技术。完善妇幼健康服务规范和技术标准，建立妇幼健康服务安全保障制度，加强新生儿安全监控，确保产妇和新生儿生命安全。</w:t>
            </w:r>
          </w:p>
          <w:p>
            <w:pPr>
              <w:pStyle w:val="11"/>
              <w:widowControl/>
              <w:spacing w:before="0" w:beforeAutospacing="0" w:after="0" w:afterAutospacing="0" w:line="360" w:lineRule="auto"/>
              <w:ind w:firstLine="480" w:firstLineChars="200"/>
              <w:jc w:val="both"/>
              <w:rPr>
                <w:rFonts w:ascii="仿宋" w:hAnsi="仿宋" w:eastAsia="仿宋" w:cs="仿宋"/>
                <w:bCs/>
                <w:spacing w:val="6"/>
              </w:rPr>
            </w:pPr>
            <w:r>
              <w:rPr>
                <w:rFonts w:hint="eastAsia" w:ascii="仿宋" w:hAnsi="仿宋" w:eastAsia="仿宋" w:cs="仿宋"/>
              </w:rPr>
              <w:t>加强出生缺陷综合防治：完善出生缺陷防治的政策措施，将产前筛查、诊断和新生儿疾病筛查制度纳入妇幼基本公共卫生服务项目，推行免费婚前医学检查制度，推广基因筛查等新技术应用。</w:t>
            </w:r>
          </w:p>
        </w:tc>
      </w:tr>
    </w:tbl>
    <w:p>
      <w:pPr>
        <w:numPr>
          <w:ilvl w:val="0"/>
          <w:numId w:val="12"/>
        </w:numPr>
        <w:spacing w:beforeLines="50" w:afterLines="50" w:line="500" w:lineRule="exact"/>
        <w:ind w:firstLine="667" w:firstLineChars="200"/>
        <w:rPr>
          <w:rFonts w:ascii="仿宋" w:hAnsi="仿宋" w:eastAsia="仿宋" w:cs="仿宋"/>
          <w:b/>
          <w:bCs/>
          <w:spacing w:val="6"/>
          <w:sz w:val="32"/>
          <w:szCs w:val="32"/>
        </w:rPr>
      </w:pPr>
      <w:r>
        <w:rPr>
          <w:rFonts w:hint="eastAsia" w:ascii="仿宋" w:hAnsi="仿宋" w:eastAsia="仿宋" w:cs="仿宋"/>
          <w:b/>
          <w:bCs/>
          <w:spacing w:val="6"/>
          <w:sz w:val="32"/>
          <w:szCs w:val="32"/>
        </w:rPr>
        <w:t>加大供给，满足老年健康需求</w:t>
      </w:r>
    </w:p>
    <w:p>
      <w:pPr>
        <w:spacing w:line="500" w:lineRule="exact"/>
        <w:ind w:firstLine="664" w:firstLineChars="200"/>
        <w:rPr>
          <w:rFonts w:ascii="仿宋" w:hAnsi="仿宋" w:eastAsia="仿宋" w:cs="仿宋"/>
          <w:spacing w:val="6"/>
          <w:sz w:val="32"/>
          <w:szCs w:val="32"/>
        </w:rPr>
      </w:pPr>
      <w:r>
        <w:rPr>
          <w:rFonts w:hint="eastAsia" w:ascii="仿宋" w:hAnsi="仿宋" w:eastAsia="仿宋" w:cs="仿宋"/>
          <w:spacing w:val="6"/>
          <w:sz w:val="32"/>
          <w:szCs w:val="32"/>
        </w:rPr>
        <w:t>依托专业公共卫生机构、医疗机构、基层医疗卫生机构，探索健全“防、治、管”相结合的老年人健康管理模式。加强老年人群重点慢性病和心理健康问题的早期筛查、早期干预及分类管理，降低65周岁及以上人群老年期痴呆患病率。实施失能预防项目，降低老年人失能发生率。到2025年，创建老年友善医疗卫生机构，全市医疗机构为老年人提供就医便利服务绿色通道的比例达100%。</w:t>
      </w:r>
    </w:p>
    <w:p>
      <w:pPr>
        <w:numPr>
          <w:ilvl w:val="0"/>
          <w:numId w:val="10"/>
        </w:numPr>
        <w:spacing w:beforeLines="50" w:afterLines="50" w:line="500" w:lineRule="exact"/>
        <w:ind w:firstLine="667" w:firstLineChars="200"/>
        <w:outlineLvl w:val="1"/>
        <w:rPr>
          <w:rFonts w:ascii="仿宋" w:hAnsi="仿宋" w:eastAsia="仿宋" w:cs="仿宋"/>
          <w:b/>
          <w:spacing w:val="6"/>
          <w:sz w:val="32"/>
          <w:szCs w:val="32"/>
        </w:rPr>
      </w:pPr>
      <w:bookmarkStart w:id="72" w:name="_Toc8286"/>
      <w:bookmarkStart w:id="73" w:name="_Toc57878435"/>
      <w:r>
        <w:rPr>
          <w:rFonts w:hint="eastAsia" w:ascii="仿宋" w:hAnsi="仿宋" w:eastAsia="仿宋" w:cs="仿宋"/>
          <w:b/>
          <w:spacing w:val="6"/>
          <w:sz w:val="32"/>
          <w:szCs w:val="32"/>
        </w:rPr>
        <w:t>优化医疗资源配置，提升医疗能力及服务水平</w:t>
      </w:r>
      <w:bookmarkEnd w:id="72"/>
      <w:bookmarkEnd w:id="73"/>
    </w:p>
    <w:p>
      <w:pPr>
        <w:spacing w:line="500" w:lineRule="exact"/>
        <w:ind w:firstLine="667" w:firstLineChars="200"/>
        <w:rPr>
          <w:rFonts w:ascii="仿宋" w:hAnsi="仿宋" w:eastAsia="仿宋" w:cs="仿宋"/>
          <w:b/>
          <w:bCs/>
          <w:spacing w:val="6"/>
          <w:sz w:val="32"/>
          <w:szCs w:val="32"/>
        </w:rPr>
      </w:pPr>
      <w:r>
        <w:rPr>
          <w:rFonts w:hint="eastAsia" w:ascii="仿宋" w:hAnsi="仿宋" w:eastAsia="仿宋" w:cs="仿宋"/>
          <w:b/>
          <w:bCs/>
          <w:spacing w:val="6"/>
          <w:sz w:val="32"/>
          <w:szCs w:val="32"/>
        </w:rPr>
        <w:t>（一）推进落实分级诊疗制度</w:t>
      </w:r>
    </w:p>
    <w:p>
      <w:pPr>
        <w:spacing w:line="500" w:lineRule="exact"/>
        <w:ind w:firstLine="664" w:firstLineChars="200"/>
        <w:rPr>
          <w:rFonts w:ascii="仿宋" w:hAnsi="仿宋" w:eastAsia="仿宋" w:cs="仿宋"/>
          <w:spacing w:val="6"/>
          <w:sz w:val="32"/>
          <w:szCs w:val="32"/>
        </w:rPr>
      </w:pPr>
      <w:r>
        <w:rPr>
          <w:rFonts w:hint="eastAsia" w:ascii="仿宋" w:hAnsi="仿宋" w:eastAsia="仿宋" w:cs="仿宋"/>
          <w:bCs/>
          <w:spacing w:val="6"/>
          <w:sz w:val="32"/>
          <w:szCs w:val="32"/>
        </w:rPr>
        <w:t>坚持居民自愿、基层首诊、政策引导、创新机制，以家庭医生签约服务为重要手段，建立符合漳平实际的家庭医生执业方式和服务模式，巩固签约服务覆盖面，重点人群签约率维持在60%以上。以纵向型、紧凑型医联体建设为载体，推动形成基层首诊、双向转诊、急慢分治、上下联动的分级诊疗新格局，稳步提高基层首诊率，控制大型医疗机构的普通门诊规模，逐步提高下转比例，到2025年，确保90%的患者首诊在基层，住院病人下转率逐年提高3个百分点。</w:t>
      </w:r>
    </w:p>
    <w:p>
      <w:pPr>
        <w:spacing w:line="500" w:lineRule="exact"/>
        <w:ind w:firstLine="667" w:firstLineChars="200"/>
        <w:rPr>
          <w:rFonts w:ascii="仿宋" w:hAnsi="仿宋" w:eastAsia="仿宋" w:cs="仿宋"/>
          <w:b/>
          <w:bCs/>
          <w:spacing w:val="6"/>
          <w:sz w:val="32"/>
          <w:szCs w:val="32"/>
        </w:rPr>
      </w:pPr>
      <w:r>
        <w:rPr>
          <w:rFonts w:hint="eastAsia" w:ascii="仿宋" w:hAnsi="仿宋" w:eastAsia="仿宋" w:cs="仿宋"/>
          <w:b/>
          <w:bCs/>
          <w:spacing w:val="6"/>
          <w:sz w:val="32"/>
          <w:szCs w:val="32"/>
        </w:rPr>
        <w:t>（二）加快临床薄弱学科和核心专科能力建设</w:t>
      </w:r>
    </w:p>
    <w:p>
      <w:pPr>
        <w:spacing w:line="500" w:lineRule="exact"/>
        <w:ind w:firstLine="664" w:firstLineChars="200"/>
        <w:rPr>
          <w:rFonts w:ascii="仿宋" w:hAnsi="仿宋" w:eastAsia="仿宋" w:cs="仿宋"/>
          <w:spacing w:val="6"/>
          <w:sz w:val="32"/>
          <w:szCs w:val="32"/>
        </w:rPr>
      </w:pPr>
      <w:r>
        <w:rPr>
          <w:rFonts w:hint="eastAsia" w:ascii="仿宋" w:hAnsi="仿宋" w:eastAsia="仿宋" w:cs="仿宋"/>
          <w:spacing w:val="6"/>
          <w:sz w:val="32"/>
          <w:szCs w:val="32"/>
        </w:rPr>
        <w:t>按照《县医院医疗服务能力基本标准》，落实内、外、妇、儿等15个临床科室设置全面覆盖，加快五大临床薄弱学科（新生儿科、精神科、康复科、血液透析科、重症监护等）和五大核心临床专科（内科、外科、妇产科、儿科、急诊科等）能力建设和推广设立预防保健中心（科）。推进精神医学科建设，派出医护人员到上级医院进修学习，提升医疗卫生服务能力。继续推进眼科、心内科等重点专科建设。</w:t>
      </w:r>
    </w:p>
    <w:p>
      <w:pPr>
        <w:spacing w:line="500" w:lineRule="exact"/>
        <w:ind w:firstLine="667" w:firstLineChars="200"/>
        <w:rPr>
          <w:rFonts w:ascii="仿宋" w:hAnsi="仿宋" w:eastAsia="仿宋" w:cs="仿宋"/>
          <w:b/>
          <w:bCs/>
          <w:spacing w:val="6"/>
          <w:sz w:val="32"/>
          <w:szCs w:val="32"/>
        </w:rPr>
      </w:pPr>
      <w:r>
        <w:rPr>
          <w:rFonts w:hint="eastAsia" w:ascii="仿宋" w:hAnsi="仿宋" w:eastAsia="仿宋" w:cs="仿宋"/>
          <w:b/>
          <w:bCs/>
          <w:spacing w:val="6"/>
          <w:sz w:val="32"/>
          <w:szCs w:val="32"/>
        </w:rPr>
        <w:t>（三）提高医疗卫生服务质量和管理水平</w:t>
      </w:r>
    </w:p>
    <w:p>
      <w:pPr>
        <w:spacing w:line="500" w:lineRule="exact"/>
        <w:ind w:firstLine="664" w:firstLineChars="200"/>
        <w:rPr>
          <w:rFonts w:ascii="仿宋" w:hAnsi="仿宋" w:eastAsia="仿宋" w:cs="仿宋"/>
          <w:spacing w:val="6"/>
          <w:sz w:val="32"/>
          <w:szCs w:val="32"/>
        </w:rPr>
      </w:pPr>
      <w:r>
        <w:rPr>
          <w:rFonts w:hint="eastAsia" w:ascii="仿宋" w:hAnsi="仿宋" w:eastAsia="仿宋" w:cs="仿宋"/>
          <w:spacing w:val="6"/>
          <w:sz w:val="32"/>
          <w:szCs w:val="32"/>
        </w:rPr>
        <w:t>持续改进医疗服务措施，优化医疗服务环境，强化基层在岗人员培训，重点实施具有全科医学特点、促进基本药物使用等针对性和实用性强的培训项目。强化基本医疗与基本公共卫生服务有机结合机制，进一步转变基层医疗卫生机构服务模式，建立健全医共体与疾病预防控制、卫生监督等专业公共卫生机构的联动协作或融合发展机制，把医疗服务和健康保健融为一体，全面提升县级公立医院和基层医疗卫生机构服务能力。</w:t>
      </w:r>
    </w:p>
    <w:p>
      <w:pPr>
        <w:spacing w:line="500" w:lineRule="exact"/>
        <w:ind w:firstLine="667" w:firstLineChars="200"/>
        <w:rPr>
          <w:rFonts w:ascii="仿宋" w:hAnsi="仿宋" w:eastAsia="仿宋" w:cs="仿宋"/>
          <w:b/>
          <w:bCs/>
          <w:spacing w:val="6"/>
          <w:sz w:val="32"/>
          <w:szCs w:val="32"/>
        </w:rPr>
      </w:pPr>
      <w:r>
        <w:rPr>
          <w:rFonts w:hint="eastAsia" w:ascii="仿宋" w:hAnsi="仿宋" w:eastAsia="仿宋" w:cs="仿宋"/>
          <w:b/>
          <w:bCs/>
          <w:spacing w:val="6"/>
          <w:sz w:val="32"/>
          <w:szCs w:val="32"/>
        </w:rPr>
        <w:t>（四）实施改善医疗服务行动计划</w:t>
      </w:r>
    </w:p>
    <w:p>
      <w:pPr>
        <w:spacing w:line="500" w:lineRule="exact"/>
        <w:ind w:firstLine="664" w:firstLineChars="200"/>
        <w:rPr>
          <w:rFonts w:ascii="仿宋" w:hAnsi="仿宋" w:eastAsia="仿宋" w:cs="仿宋"/>
          <w:spacing w:val="6"/>
          <w:sz w:val="32"/>
          <w:szCs w:val="32"/>
        </w:rPr>
      </w:pPr>
      <w:r>
        <w:rPr>
          <w:rFonts w:hint="eastAsia" w:ascii="仿宋" w:hAnsi="仿宋" w:eastAsia="仿宋" w:cs="仿宋"/>
          <w:spacing w:val="6"/>
          <w:sz w:val="32"/>
          <w:szCs w:val="32"/>
        </w:rPr>
        <w:t>健全医疗质量控制体系，持续改进医疗质量。大力推行临床路径，力争市医院60%的出院患者按照临床路径管理。继续扩大优质护理服务覆盖面，市医院所有病房开展优质护理服务。优化诊区设施布局和就医流程，推广预约转诊、诊间结算、手机等移动设备支付等便民服务。在统一质量和标准前提下，实行同级医疗机构检查检验结果互认，医保按共认结果一次付费。大力推行日间手术，推进医学人文建设，构建和谐医患关系。</w:t>
      </w:r>
    </w:p>
    <w:p>
      <w:pPr>
        <w:spacing w:line="500" w:lineRule="exact"/>
        <w:ind w:firstLine="667" w:firstLineChars="200"/>
        <w:rPr>
          <w:rFonts w:ascii="仿宋" w:hAnsi="仿宋" w:eastAsia="仿宋" w:cs="仿宋"/>
          <w:b/>
          <w:bCs/>
          <w:spacing w:val="6"/>
          <w:sz w:val="32"/>
          <w:szCs w:val="32"/>
        </w:rPr>
      </w:pPr>
      <w:bookmarkStart w:id="74" w:name="_Toc5711"/>
      <w:bookmarkStart w:id="75" w:name="_Toc25567"/>
      <w:bookmarkStart w:id="76" w:name="_Toc20405"/>
      <w:bookmarkStart w:id="77" w:name="_Toc10858"/>
      <w:bookmarkStart w:id="78" w:name="_Toc6100"/>
      <w:bookmarkStart w:id="79" w:name="_Toc30951"/>
      <w:bookmarkStart w:id="80" w:name="_Toc15320"/>
      <w:bookmarkStart w:id="81" w:name="_Toc57878436"/>
      <w:bookmarkStart w:id="82" w:name="_Toc28642"/>
      <w:r>
        <w:rPr>
          <w:rFonts w:hint="eastAsia" w:ascii="仿宋" w:hAnsi="仿宋" w:eastAsia="仿宋" w:cs="仿宋"/>
          <w:b/>
          <w:bCs/>
          <w:spacing w:val="6"/>
          <w:sz w:val="32"/>
          <w:szCs w:val="32"/>
        </w:rPr>
        <w:t>(五)完善健康扶贫救治机制</w:t>
      </w:r>
    </w:p>
    <w:p>
      <w:pPr>
        <w:pStyle w:val="3"/>
        <w:spacing w:beforeLines="0" w:afterLines="0" w:line="500" w:lineRule="exact"/>
        <w:ind w:firstLine="664" w:firstLineChars="200"/>
        <w:jc w:val="both"/>
        <w:rPr>
          <w:rFonts w:hint="eastAsia" w:ascii="仿宋" w:hAnsi="仿宋" w:eastAsia="仿宋" w:cs="仿宋"/>
          <w:spacing w:val="6"/>
        </w:rPr>
      </w:pPr>
      <w:r>
        <w:rPr>
          <w:rFonts w:hint="eastAsia" w:ascii="仿宋" w:hAnsi="仿宋" w:eastAsia="仿宋" w:cs="仿宋"/>
          <w:spacing w:val="6"/>
        </w:rPr>
        <w:t>进一步完善健康扶贫政策措施，推进建立健康扶贫长效机制，做好大病专项救治工作。持续做好贫困人口基本医疗卫生服务，保证“贫困人口”已脱贫而健康扶贫政策持续</w:t>
      </w:r>
      <w:bookmarkEnd w:id="74"/>
      <w:bookmarkEnd w:id="75"/>
      <w:bookmarkEnd w:id="76"/>
      <w:bookmarkEnd w:id="77"/>
      <w:bookmarkEnd w:id="78"/>
      <w:bookmarkEnd w:id="79"/>
      <w:bookmarkEnd w:id="80"/>
      <w:bookmarkEnd w:id="81"/>
      <w:bookmarkEnd w:id="82"/>
      <w:r>
        <w:rPr>
          <w:rFonts w:hint="eastAsia" w:ascii="仿宋" w:hAnsi="仿宋" w:eastAsia="仿宋" w:cs="仿宋"/>
          <w:spacing w:val="6"/>
        </w:rPr>
        <w:t>。</w:t>
      </w:r>
    </w:p>
    <w:p>
      <w:pPr>
        <w:rPr>
          <w:rFonts w:hint="eastAsia" w:ascii="仿宋" w:hAnsi="仿宋" w:eastAsia="仿宋" w:cs="仿宋"/>
          <w:spacing w:val="6"/>
        </w:rPr>
      </w:pPr>
    </w:p>
    <w:p>
      <w:pPr>
        <w:rPr>
          <w:rFonts w:hint="eastAsia" w:ascii="仿宋" w:hAnsi="仿宋" w:eastAsia="仿宋" w:cs="仿宋"/>
          <w:spacing w:val="6"/>
        </w:rPr>
      </w:pPr>
    </w:p>
    <w:p>
      <w:pPr>
        <w:rPr>
          <w:rFonts w:hint="eastAsia" w:ascii="仿宋" w:hAnsi="仿宋" w:eastAsia="仿宋" w:cs="仿宋"/>
          <w:spacing w:val="6"/>
        </w:rPr>
      </w:pPr>
    </w:p>
    <w:p>
      <w:pPr>
        <w:numPr>
          <w:ilvl w:val="0"/>
          <w:numId w:val="10"/>
        </w:numPr>
        <w:spacing w:beforeLines="50" w:afterLines="50" w:line="500" w:lineRule="exact"/>
        <w:ind w:firstLine="667" w:firstLineChars="200"/>
        <w:outlineLvl w:val="1"/>
        <w:rPr>
          <w:rFonts w:ascii="仿宋" w:hAnsi="仿宋" w:eastAsia="仿宋" w:cs="仿宋"/>
          <w:b/>
          <w:spacing w:val="6"/>
          <w:sz w:val="32"/>
          <w:szCs w:val="32"/>
        </w:rPr>
      </w:pPr>
      <w:bookmarkStart w:id="83" w:name="_Toc57878437"/>
      <w:bookmarkStart w:id="84" w:name="_Toc2639"/>
      <w:r>
        <w:rPr>
          <w:rFonts w:hint="eastAsia" w:ascii="仿宋" w:hAnsi="仿宋" w:eastAsia="仿宋" w:cs="仿宋"/>
          <w:b/>
          <w:spacing w:val="6"/>
          <w:sz w:val="32"/>
          <w:szCs w:val="32"/>
        </w:rPr>
        <w:t>增加医疗服务供给，推进中医药事业新发展</w:t>
      </w:r>
      <w:bookmarkEnd w:id="83"/>
      <w:bookmarkEnd w:id="84"/>
    </w:p>
    <w:p>
      <w:pPr>
        <w:spacing w:line="500" w:lineRule="exact"/>
        <w:ind w:firstLine="664" w:firstLineChars="200"/>
        <w:rPr>
          <w:rFonts w:ascii="仿宋" w:hAnsi="仿宋" w:eastAsia="仿宋" w:cs="仿宋"/>
          <w:bCs/>
          <w:spacing w:val="6"/>
          <w:sz w:val="32"/>
          <w:szCs w:val="32"/>
        </w:rPr>
      </w:pPr>
      <w:r>
        <w:rPr>
          <w:rFonts w:hint="eastAsia" w:ascii="仿宋" w:hAnsi="仿宋" w:eastAsia="仿宋" w:cs="仿宋"/>
          <w:bCs/>
          <w:spacing w:val="6"/>
          <w:sz w:val="32"/>
          <w:szCs w:val="32"/>
        </w:rPr>
        <w:t>以强化“传承精华、守正创新”为抓手，推进中医药事业发展，推动中西医药相互补充、协调发展，提高中医院应急救治能力。</w:t>
      </w:r>
    </w:p>
    <w:p>
      <w:pPr>
        <w:spacing w:line="500" w:lineRule="exact"/>
        <w:ind w:firstLine="664" w:firstLineChars="200"/>
        <w:rPr>
          <w:rFonts w:ascii="仿宋" w:hAnsi="仿宋" w:eastAsia="仿宋" w:cs="仿宋"/>
          <w:bCs/>
          <w:spacing w:val="6"/>
          <w:sz w:val="32"/>
          <w:szCs w:val="32"/>
        </w:rPr>
      </w:pPr>
      <w:r>
        <w:rPr>
          <w:rFonts w:hint="eastAsia" w:ascii="仿宋" w:hAnsi="仿宋" w:eastAsia="仿宋" w:cs="仿宋"/>
          <w:bCs/>
          <w:spacing w:val="6"/>
          <w:sz w:val="32"/>
          <w:szCs w:val="32"/>
        </w:rPr>
        <w:t>加快完善中医药服务体系建设。认真贯彻实施《中华人民共和国中医药法》，</w:t>
      </w:r>
      <w:r>
        <w:rPr>
          <w:rFonts w:hint="eastAsia" w:ascii="仿宋" w:hAnsi="仿宋" w:eastAsia="仿宋" w:cs="仿宋"/>
          <w:sz w:val="32"/>
          <w:szCs w:val="32"/>
        </w:rPr>
        <w:t>力争全部社区卫生服务中心和乡镇卫生院设置中医馆，配备中医医师。鼓励由市中医医院牵头组建多种形式医联体，</w:t>
      </w:r>
      <w:r>
        <w:rPr>
          <w:rFonts w:hint="eastAsia" w:ascii="仿宋" w:hAnsi="仿宋" w:eastAsia="仿宋" w:cs="仿宋"/>
          <w:bCs/>
          <w:spacing w:val="6"/>
          <w:sz w:val="32"/>
          <w:szCs w:val="32"/>
        </w:rPr>
        <w:t>全面实施社区卫生服务中心中医标准化、规范化和信息化建设，在基层医疗机构实施以中医适宜技术推广为重点的中医能力建设。重点实施漳平市中医院整体迁建项目，总建筑面积25000㎡，预期投资2亿元，其中争取中央预算内投资1.6亿元。以</w:t>
      </w:r>
      <w:r>
        <w:rPr>
          <w:rFonts w:hint="eastAsia" w:ascii="仿宋" w:hAnsi="仿宋" w:eastAsia="仿宋" w:cs="仿宋"/>
          <w:sz w:val="32"/>
          <w:szCs w:val="32"/>
        </w:rPr>
        <w:t>市总医院永福</w:t>
      </w:r>
      <w:r>
        <w:rPr>
          <w:rFonts w:hint="eastAsia" w:ascii="仿宋" w:hAnsi="仿宋" w:eastAsia="仿宋" w:cs="仿宋"/>
          <w:snapToGrid w:val="0"/>
          <w:spacing w:val="6"/>
          <w:sz w:val="32"/>
          <w:szCs w:val="32"/>
        </w:rPr>
        <w:t>中医院</w:t>
      </w:r>
      <w:r>
        <w:rPr>
          <w:rFonts w:hint="eastAsia" w:ascii="仿宋" w:hAnsi="仿宋" w:eastAsia="仿宋" w:cs="仿宋"/>
          <w:bCs/>
          <w:spacing w:val="6"/>
          <w:sz w:val="32"/>
          <w:szCs w:val="32"/>
        </w:rPr>
        <w:t>为主导，</w:t>
      </w:r>
      <w:r>
        <w:rPr>
          <w:rFonts w:hint="eastAsia" w:ascii="仿宋" w:hAnsi="仿宋" w:eastAsia="仿宋" w:cs="仿宋"/>
          <w:snapToGrid w:val="0"/>
          <w:spacing w:val="6"/>
          <w:sz w:val="32"/>
          <w:szCs w:val="32"/>
        </w:rPr>
        <w:t>乡镇</w:t>
      </w:r>
      <w:r>
        <w:rPr>
          <w:rFonts w:hint="eastAsia" w:ascii="仿宋" w:hAnsi="仿宋" w:eastAsia="仿宋" w:cs="仿宋"/>
          <w:bCs/>
          <w:spacing w:val="6"/>
          <w:sz w:val="32"/>
          <w:szCs w:val="32"/>
        </w:rPr>
        <w:t>（街道）社区卫生服务中心和乡镇卫生院逐步建设中医馆，分设中医临床科室、配备中医医师，适应群众医疗保健需求的中医医疗服务体系。改扩建漳平市医院中医康复特色专科项目，预期投资1000万元，其中争取中央预算内投资800万元。到“十四五”末期，基本形成中医医疗和养生保健服务网络基本健全，中医药健康服务人员素质明显提高，中医药健康服务领域不断拓展，基本适应全社会中医药健康服务需求。</w:t>
      </w:r>
    </w:p>
    <w:p>
      <w:pPr>
        <w:numPr>
          <w:ilvl w:val="0"/>
          <w:numId w:val="10"/>
        </w:numPr>
        <w:spacing w:beforeLines="50" w:afterLines="50" w:line="500" w:lineRule="exact"/>
        <w:ind w:firstLine="667" w:firstLineChars="200"/>
        <w:outlineLvl w:val="1"/>
        <w:rPr>
          <w:rFonts w:ascii="仿宋" w:hAnsi="仿宋" w:eastAsia="仿宋" w:cs="仿宋"/>
          <w:b/>
          <w:spacing w:val="6"/>
          <w:sz w:val="32"/>
          <w:szCs w:val="32"/>
        </w:rPr>
      </w:pPr>
      <w:bookmarkStart w:id="85" w:name="_Toc23609"/>
      <w:bookmarkStart w:id="86" w:name="_Toc57878438"/>
      <w:r>
        <w:rPr>
          <w:rFonts w:hint="eastAsia" w:ascii="仿宋" w:hAnsi="仿宋" w:eastAsia="仿宋" w:cs="仿宋"/>
          <w:b/>
          <w:spacing w:val="6"/>
          <w:sz w:val="32"/>
          <w:szCs w:val="32"/>
        </w:rPr>
        <w:t>推动爱国卫生运动与健康促进</w:t>
      </w:r>
      <w:bookmarkEnd w:id="85"/>
      <w:bookmarkEnd w:id="86"/>
    </w:p>
    <w:p>
      <w:pPr>
        <w:spacing w:line="500" w:lineRule="exact"/>
        <w:ind w:firstLine="664" w:firstLineChars="200"/>
        <w:rPr>
          <w:rFonts w:ascii="仿宋" w:hAnsi="仿宋" w:eastAsia="仿宋" w:cs="仿宋"/>
          <w:bCs/>
          <w:color w:val="FF0000"/>
          <w:spacing w:val="6"/>
          <w:sz w:val="32"/>
          <w:szCs w:val="32"/>
        </w:rPr>
      </w:pPr>
      <w:r>
        <w:rPr>
          <w:rFonts w:hint="eastAsia" w:ascii="仿宋" w:hAnsi="仿宋" w:eastAsia="仿宋" w:cs="仿宋"/>
          <w:spacing w:val="6"/>
          <w:sz w:val="32"/>
          <w:szCs w:val="32"/>
        </w:rPr>
        <w:t>坚持将爱国卫生运动作为卫生防病工作实践，丰富爱国卫生工作内涵，创新方式方法，加强创建卫生城镇工作，全面改善人居环境，推进城乡环境卫生整治。强化个人为健康第一责任人的意识，加强公众健康习惯养成教育，大力倡导勤洗手、科学佩戴口罩等文明卫生新风尚，革除滥食野生动物，随地吐痰便等陋习。</w:t>
      </w:r>
      <w:r>
        <w:rPr>
          <w:rFonts w:hint="eastAsia" w:ascii="仿宋" w:hAnsi="仿宋" w:eastAsia="仿宋" w:cs="仿宋"/>
          <w:bCs/>
          <w:spacing w:val="6"/>
          <w:sz w:val="32"/>
          <w:szCs w:val="32"/>
        </w:rPr>
        <w:t>设置专刊专栏，开设健康教育课等多渠道宣传健康教育，注重培养市民卫生行为规范。</w:t>
      </w:r>
    </w:p>
    <w:p>
      <w:pPr>
        <w:spacing w:line="500" w:lineRule="exact"/>
        <w:ind w:firstLine="664" w:firstLineChars="200"/>
        <w:rPr>
          <w:rFonts w:ascii="仿宋" w:hAnsi="仿宋" w:eastAsia="仿宋" w:cs="仿宋"/>
          <w:bCs/>
          <w:spacing w:val="6"/>
          <w:sz w:val="32"/>
          <w:szCs w:val="32"/>
        </w:rPr>
      </w:pPr>
      <w:r>
        <w:rPr>
          <w:rFonts w:hint="eastAsia" w:ascii="仿宋" w:hAnsi="仿宋" w:eastAsia="仿宋" w:cs="仿宋"/>
          <w:bCs/>
          <w:spacing w:val="6"/>
          <w:sz w:val="32"/>
          <w:szCs w:val="32"/>
        </w:rPr>
        <w:t>倡导“将健康融入所有政策”理念，增强公民健康素养。加强健康促进和教育，出台有利于健康的政策，创造有利于健康的环境，提高群众健康知识水平和技能。加强重点场所健康促进，开展健康促进学校、健康促进医院、健康家庭、无烟单位等健康单位创建活动。以市为单位每年新开展健康社区、健康单位、健康学校、健康食堂、健康餐厅/酒店等创建至少10个。开展无烟医院、无烟校园、无烟单位等各类无烟环境创建至少10个。创建健康步道、健康一条街、健康主题公园等至少5个。利用互联网+健康教育模式，加大新闻媒体无偿开展健康教育公益宣传力度，开发新媒体健康知识传播平台。推进健康知识进社区、进企业、进农村文化礼堂，广泛开展全民健身活动。加强青少年和职工体育工作，推动公共体育场馆和学校体育场地设施免费向社会开放。加强健康素养监测技术，干预策略研究和效果评估，建立健康素养和烟草流行监测系统，全市15岁及以上公民吸烟率明显下降。</w:t>
      </w:r>
    </w:p>
    <w:p>
      <w:pPr>
        <w:numPr>
          <w:ilvl w:val="0"/>
          <w:numId w:val="10"/>
        </w:numPr>
        <w:spacing w:beforeLines="50" w:afterLines="50" w:line="500" w:lineRule="exact"/>
        <w:ind w:firstLine="667" w:firstLineChars="200"/>
        <w:outlineLvl w:val="1"/>
        <w:rPr>
          <w:rFonts w:ascii="仿宋" w:hAnsi="仿宋" w:eastAsia="仿宋" w:cs="仿宋"/>
          <w:b/>
          <w:spacing w:val="6"/>
          <w:sz w:val="32"/>
          <w:szCs w:val="32"/>
        </w:rPr>
      </w:pPr>
      <w:bookmarkStart w:id="87" w:name="_Toc3738"/>
      <w:bookmarkStart w:id="88" w:name="_Toc57878439"/>
      <w:r>
        <w:rPr>
          <w:rFonts w:hint="eastAsia" w:ascii="仿宋" w:hAnsi="仿宋" w:eastAsia="仿宋" w:cs="仿宋"/>
          <w:b/>
          <w:spacing w:val="6"/>
          <w:sz w:val="32"/>
          <w:szCs w:val="32"/>
        </w:rPr>
        <w:t>推进医诊创新应用，发展互联网+医疗健康模式</w:t>
      </w:r>
      <w:bookmarkEnd w:id="87"/>
      <w:bookmarkEnd w:id="88"/>
    </w:p>
    <w:p>
      <w:pPr>
        <w:spacing w:line="500" w:lineRule="exact"/>
        <w:ind w:firstLine="664" w:firstLineChars="200"/>
        <w:rPr>
          <w:rFonts w:ascii="仿宋" w:hAnsi="仿宋" w:eastAsia="仿宋" w:cs="仿宋"/>
          <w:bCs/>
          <w:spacing w:val="6"/>
          <w:sz w:val="32"/>
          <w:szCs w:val="32"/>
        </w:rPr>
      </w:pPr>
      <w:r>
        <w:rPr>
          <w:rFonts w:hint="eastAsia" w:ascii="仿宋" w:hAnsi="仿宋" w:eastAsia="仿宋" w:cs="仿宋"/>
          <w:bCs/>
          <w:spacing w:val="6"/>
          <w:sz w:val="32"/>
          <w:szCs w:val="32"/>
        </w:rPr>
        <w:t>加强医疗协同服务体系建设，不断丰富和完善平台功能，强化系统间的功能互撑和资源共享，按照“服务惠民、面向医改、立足当前、着眼长远、统筹规划、重点推进、统一标准、互联共享、业务协同、强化应用”的原则，应用移动互联网、物联网、云计算、可穿戴设备等信息技术，以八闽健康码“多码融合”应用、互联网医院、医学影像共享平台、福建12320热线服务平台、家庭医生签约电子化等为重点，开展医疗健康便民惠民创新服务项目，推进“互联网+医疗健康”应用，促进智慧健康管理。积极探索及完善线上诊疗服务模式，包括预约诊疗、诊间结算、第三方医疗支付、检验检查结果查询、知情通报等，建立远程视频门诊，开展远程会诊解决基层疑难病症的诊疗，开展远程医学教育提升基层医疗机构服务能力，完善实施远程家庭健康监护，充分发挥远程医疗服务的优势。依托互联网建设面向公众的健康服务门户网站，支持个人健康管理，居民健康档案查询等，满足广大群众对人口健康服务诉求多样化、服务个性化、方式便利化的新需要，提升信息便民惠民服务效能。到2025年，完成对所有乡镇卫生院和社区卫生服务中心信息系统建设。</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420" w:type="dxa"/>
          </w:tcPr>
          <w:p>
            <w:pPr>
              <w:pStyle w:val="3"/>
              <w:spacing w:before="156" w:after="156" w:line="360" w:lineRule="auto"/>
              <w:jc w:val="center"/>
              <w:outlineLvl w:val="1"/>
              <w:rPr>
                <w:rFonts w:ascii="仿宋" w:hAnsi="仿宋" w:eastAsia="仿宋" w:cs="仿宋"/>
              </w:rPr>
            </w:pPr>
            <w:bookmarkStart w:id="89" w:name="_Toc19863"/>
            <w:bookmarkStart w:id="90" w:name="_Toc31487"/>
            <w:bookmarkStart w:id="91" w:name="_Toc25776"/>
            <w:bookmarkStart w:id="92" w:name="_Toc20684"/>
            <w:bookmarkStart w:id="93" w:name="_Toc25907"/>
            <w:bookmarkStart w:id="94" w:name="_Toc21133"/>
            <w:bookmarkStart w:id="95" w:name="_Toc28938"/>
            <w:bookmarkStart w:id="96" w:name="_Toc6700"/>
            <w:bookmarkStart w:id="97" w:name="_Toc57878440"/>
            <w:bookmarkStart w:id="98" w:name="_Toc22508"/>
            <w:r>
              <w:rPr>
                <w:rFonts w:hint="eastAsia" w:ascii="仿宋" w:hAnsi="仿宋" w:eastAsia="仿宋" w:cs="仿宋"/>
                <w:sz w:val="24"/>
                <w:szCs w:val="24"/>
              </w:rPr>
              <w:t>专栏4：  智慧健康服务工程</w:t>
            </w:r>
            <w:bookmarkEnd w:id="89"/>
            <w:bookmarkEnd w:id="90"/>
            <w:bookmarkEnd w:id="91"/>
            <w:bookmarkEnd w:id="92"/>
            <w:bookmarkEnd w:id="93"/>
            <w:bookmarkEnd w:id="94"/>
            <w:bookmarkEnd w:id="95"/>
            <w:bookmarkEnd w:id="96"/>
            <w:bookmarkEnd w:id="97"/>
            <w:bookmarkEnd w:id="9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6" w:hRule="atLeast"/>
        </w:trPr>
        <w:tc>
          <w:tcPr>
            <w:tcW w:w="8420" w:type="dxa"/>
          </w:tcPr>
          <w:p>
            <w:pPr>
              <w:pStyle w:val="11"/>
              <w:widowControl/>
              <w:spacing w:before="0" w:beforeAutospacing="0" w:after="0" w:afterAutospacing="0" w:line="360" w:lineRule="auto"/>
              <w:ind w:firstLine="480" w:firstLineChars="200"/>
              <w:jc w:val="both"/>
              <w:rPr>
                <w:rFonts w:ascii="仿宋" w:hAnsi="仿宋" w:eastAsia="仿宋" w:cs="仿宋"/>
              </w:rPr>
            </w:pPr>
            <w:r>
              <w:rPr>
                <w:rFonts w:hint="eastAsia" w:ascii="仿宋" w:hAnsi="仿宋" w:eastAsia="仿宋" w:cs="仿宋"/>
              </w:rPr>
              <w:t>智慧健康基础设施建设：合理构建市、乡镇级健康信息平台和数据中心，综合利用卫生计生信息传输主干网、电子政务网、互联网，建立完善横向到边、纵向到底的网络基础设施。</w:t>
            </w:r>
          </w:p>
          <w:p>
            <w:pPr>
              <w:pStyle w:val="11"/>
              <w:widowControl/>
              <w:spacing w:before="0" w:beforeAutospacing="0" w:after="0" w:afterAutospacing="0" w:line="360" w:lineRule="auto"/>
              <w:ind w:firstLine="480" w:firstLineChars="200"/>
              <w:jc w:val="both"/>
              <w:rPr>
                <w:rFonts w:ascii="仿宋" w:hAnsi="仿宋" w:eastAsia="仿宋" w:cs="仿宋"/>
              </w:rPr>
            </w:pPr>
            <w:r>
              <w:rPr>
                <w:rFonts w:hint="eastAsia" w:ascii="仿宋" w:hAnsi="仿宋" w:eastAsia="仿宋" w:cs="仿宋"/>
              </w:rPr>
              <w:t>健康信息共享建设：建立健康医疗信息共享交换标准体系，面向基层医疗卫生机构开展远程会诊、双向转诊、医学咨询等远程医疗业务，支持形成上下联动、急慢分治等健康医疗服务新模式。</w:t>
            </w:r>
          </w:p>
          <w:p>
            <w:pPr>
              <w:pStyle w:val="11"/>
              <w:widowControl/>
              <w:spacing w:before="0" w:beforeAutospacing="0" w:after="0" w:afterAutospacing="0" w:line="360" w:lineRule="auto"/>
              <w:ind w:firstLine="480" w:firstLineChars="200"/>
              <w:jc w:val="both"/>
              <w:rPr>
                <w:rFonts w:ascii="仿宋" w:hAnsi="仿宋" w:eastAsia="仿宋" w:cs="仿宋"/>
              </w:rPr>
            </w:pPr>
            <w:r>
              <w:rPr>
                <w:rFonts w:hint="eastAsia" w:ascii="仿宋" w:hAnsi="仿宋" w:eastAsia="仿宋" w:cs="仿宋"/>
              </w:rPr>
              <w:t>健康信息务实应用建设：开展预约诊疗、医患互动、信息查询、健康档案自我管理和运行监测、辅助决策、绩效考评。利用物联网、移动互联网、可穿戴设备等技术探索提供健康指导、康复、慢病管理个性化服务。</w:t>
            </w:r>
          </w:p>
          <w:p>
            <w:pPr>
              <w:spacing w:line="360" w:lineRule="auto"/>
              <w:ind w:firstLine="480" w:firstLineChars="200"/>
              <w:rPr>
                <w:rFonts w:ascii="仿宋" w:hAnsi="仿宋" w:eastAsia="仿宋" w:cs="仿宋"/>
              </w:rPr>
            </w:pPr>
            <w:bookmarkStart w:id="99" w:name="_Toc1276"/>
            <w:r>
              <w:rPr>
                <w:rFonts w:hint="eastAsia" w:ascii="仿宋" w:hAnsi="仿宋" w:eastAsia="仿宋" w:cs="仿宋"/>
                <w:sz w:val="24"/>
                <w:szCs w:val="24"/>
              </w:rPr>
              <w:t>健康医疗大数据应用：建立和完善全员人口、服务资源、电子健康档案、电子病历和健康知识数据库，开展大数据深度挖掘与分析利用。</w:t>
            </w:r>
            <w:bookmarkEnd w:id="99"/>
          </w:p>
        </w:tc>
      </w:tr>
    </w:tbl>
    <w:p>
      <w:pPr>
        <w:numPr>
          <w:ilvl w:val="0"/>
          <w:numId w:val="10"/>
        </w:numPr>
        <w:spacing w:beforeLines="50" w:afterLines="50" w:line="500" w:lineRule="exact"/>
        <w:ind w:firstLine="667" w:firstLineChars="200"/>
        <w:outlineLvl w:val="1"/>
        <w:rPr>
          <w:rFonts w:ascii="仿宋" w:hAnsi="仿宋" w:eastAsia="仿宋" w:cs="仿宋"/>
          <w:b/>
          <w:spacing w:val="6"/>
          <w:sz w:val="32"/>
          <w:szCs w:val="32"/>
        </w:rPr>
      </w:pPr>
      <w:bookmarkStart w:id="100" w:name="_Toc15137"/>
      <w:bookmarkStart w:id="101" w:name="_Toc57878441"/>
      <w:r>
        <w:rPr>
          <w:rFonts w:hint="eastAsia" w:ascii="仿宋" w:hAnsi="仿宋" w:eastAsia="仿宋" w:cs="仿宋"/>
          <w:b/>
          <w:spacing w:val="6"/>
          <w:sz w:val="32"/>
          <w:szCs w:val="32"/>
        </w:rPr>
        <w:t>推进健康服务新模式,加快康养产业新发展</w:t>
      </w:r>
      <w:bookmarkEnd w:id="100"/>
      <w:bookmarkEnd w:id="101"/>
    </w:p>
    <w:p>
      <w:pPr>
        <w:spacing w:line="500" w:lineRule="exact"/>
        <w:ind w:firstLine="640" w:firstLineChars="200"/>
        <w:rPr>
          <w:rFonts w:ascii="仿宋" w:hAnsi="仿宋" w:eastAsia="仿宋" w:cs="仿宋"/>
          <w:bCs/>
          <w:spacing w:val="6"/>
          <w:sz w:val="32"/>
          <w:szCs w:val="32"/>
        </w:rPr>
      </w:pPr>
      <w:r>
        <w:rPr>
          <w:rFonts w:hint="eastAsia" w:ascii="仿宋" w:hAnsi="仿宋" w:eastAsia="仿宋" w:cs="仿宋"/>
          <w:sz w:val="32"/>
          <w:szCs w:val="32"/>
        </w:rPr>
        <w:t>“十四五”时期</w:t>
      </w:r>
      <w:r>
        <w:rPr>
          <w:rFonts w:hint="eastAsia" w:ascii="仿宋" w:hAnsi="仿宋" w:eastAsia="仿宋" w:cs="仿宋"/>
          <w:bCs/>
          <w:spacing w:val="6"/>
          <w:sz w:val="32"/>
          <w:szCs w:val="32"/>
        </w:rPr>
        <w:t>贯彻执行国家、省、市促进健康服务业发展意见，将健康服务业纳入第三产业的发展规划，加快发展医养、医健、医旅、医体等结合型服务，大力发展多层次健康服务，满足多样化健康需求，逐步形成布局合理、特色鲜明、错位发展的健康产业格局。一是</w:t>
      </w:r>
      <w:r>
        <w:rPr>
          <w:rFonts w:hint="eastAsia" w:ascii="仿宋" w:hAnsi="仿宋" w:eastAsia="仿宋" w:cs="仿宋"/>
          <w:sz w:val="32"/>
          <w:szCs w:val="32"/>
        </w:rPr>
        <w:t>积极应对人口老龄化，</w:t>
      </w:r>
      <w:r>
        <w:rPr>
          <w:rFonts w:hint="eastAsia" w:ascii="仿宋" w:hAnsi="仿宋" w:eastAsia="仿宋" w:cs="仿宋"/>
          <w:bCs/>
          <w:spacing w:val="6"/>
          <w:sz w:val="32"/>
          <w:szCs w:val="32"/>
        </w:rPr>
        <w:t>发展特色健康产业集群，鼓励社会资本参与高端医疗服务、护理康复、养生保健、健康管理等新兴健康产业的投资，提供高水平、差异化、个性化服务</w:t>
      </w:r>
      <w:r>
        <w:rPr>
          <w:rFonts w:hint="eastAsia" w:ascii="仿宋" w:hAnsi="仿宋" w:eastAsia="仿宋" w:cs="仿宋"/>
          <w:sz w:val="32"/>
          <w:szCs w:val="32"/>
        </w:rPr>
        <w:t>。充分利用南学堂片区及永福镇医疗、气候、旅游等资源及区域优势，努力争取中央、省医疗健康服务体系建设项目，加大健康产业投入，推进医养结合，加快健康服务业发展。加大招商引资力度，充分利用国企或社会资本资金，做好项目运营，</w:t>
      </w:r>
      <w:r>
        <w:rPr>
          <w:rFonts w:hint="eastAsia" w:ascii="仿宋" w:hAnsi="仿宋" w:eastAsia="仿宋" w:cs="仿宋"/>
          <w:bCs/>
          <w:spacing w:val="6"/>
          <w:sz w:val="32"/>
          <w:szCs w:val="32"/>
        </w:rPr>
        <w:t>打造成为集智能、养老、疗养、护理、生态、自然等元素为一体的综合性医养结合中心。</w:t>
      </w:r>
      <w:r>
        <w:rPr>
          <w:rFonts w:hint="eastAsia" w:ascii="仿宋" w:hAnsi="仿宋" w:eastAsia="仿宋" w:cs="仿宋"/>
          <w:sz w:val="32"/>
          <w:szCs w:val="32"/>
        </w:rPr>
        <w:t>积极筹备菁和源二期项目建设，计划总投资8亿元，设立疗养床位3000张，力争2021年开工建设。做好市总医院永福分院周边康养项目前期规划</w:t>
      </w:r>
      <w:r>
        <w:rPr>
          <w:rFonts w:hint="eastAsia" w:ascii="仿宋" w:hAnsi="仿宋" w:eastAsia="仿宋" w:cs="仿宋"/>
          <w:bCs/>
          <w:spacing w:val="6"/>
          <w:sz w:val="32"/>
          <w:szCs w:val="32"/>
        </w:rPr>
        <w:t>。二是发展医疗诊疗辅助产业，实现筹资社会化、运行市场化，有效扩展健康产业链。三是发展中医药养老康复服务产业，把医疗康复和养老敬老事业结合起来，打造区域老年人防病、治病、康复、休养、疗养的品牌机构，形成独特的康复养老模式。到2025年，养老机构为入住老年人提供医疗卫生服务的比例达100%。</w:t>
      </w:r>
    </w:p>
    <w:p>
      <w:pPr>
        <w:numPr>
          <w:ilvl w:val="0"/>
          <w:numId w:val="10"/>
        </w:numPr>
        <w:spacing w:beforeLines="50" w:afterLines="50" w:line="500" w:lineRule="exact"/>
        <w:ind w:firstLine="667" w:firstLineChars="200"/>
        <w:outlineLvl w:val="1"/>
        <w:rPr>
          <w:rFonts w:ascii="仿宋" w:hAnsi="仿宋" w:eastAsia="仿宋" w:cs="仿宋"/>
          <w:b/>
          <w:spacing w:val="6"/>
          <w:sz w:val="32"/>
          <w:szCs w:val="32"/>
        </w:rPr>
      </w:pPr>
      <w:bookmarkStart w:id="102" w:name="_Toc21258"/>
      <w:bookmarkStart w:id="103" w:name="_Toc57878442"/>
      <w:r>
        <w:rPr>
          <w:rFonts w:hint="eastAsia" w:ascii="仿宋" w:hAnsi="仿宋" w:eastAsia="仿宋" w:cs="仿宋"/>
          <w:b/>
          <w:spacing w:val="6"/>
          <w:sz w:val="32"/>
          <w:szCs w:val="32"/>
        </w:rPr>
        <w:t>提升防治支撑能力，加强人才队伍建设</w:t>
      </w:r>
      <w:bookmarkEnd w:id="102"/>
      <w:bookmarkEnd w:id="103"/>
    </w:p>
    <w:p>
      <w:pPr>
        <w:numPr>
          <w:ilvl w:val="0"/>
          <w:numId w:val="13"/>
        </w:numPr>
        <w:spacing w:line="500" w:lineRule="exact"/>
        <w:ind w:firstLine="667" w:firstLineChars="200"/>
        <w:rPr>
          <w:rFonts w:ascii="仿宋" w:hAnsi="仿宋" w:eastAsia="仿宋" w:cs="仿宋"/>
          <w:b/>
          <w:bCs/>
          <w:spacing w:val="6"/>
          <w:sz w:val="32"/>
          <w:szCs w:val="32"/>
        </w:rPr>
      </w:pPr>
      <w:r>
        <w:rPr>
          <w:rFonts w:hint="eastAsia" w:ascii="仿宋" w:hAnsi="仿宋" w:eastAsia="仿宋" w:cs="仿宋"/>
          <w:b/>
          <w:bCs/>
          <w:spacing w:val="6"/>
          <w:sz w:val="32"/>
          <w:szCs w:val="32"/>
        </w:rPr>
        <w:t>创新学科带头人，高端人才引进机制</w:t>
      </w:r>
    </w:p>
    <w:p>
      <w:pPr>
        <w:spacing w:line="500" w:lineRule="exact"/>
        <w:ind w:firstLine="664" w:firstLineChars="200"/>
        <w:rPr>
          <w:rFonts w:ascii="仿宋" w:hAnsi="仿宋" w:eastAsia="仿宋" w:cs="仿宋"/>
          <w:bCs/>
          <w:spacing w:val="6"/>
          <w:sz w:val="32"/>
          <w:szCs w:val="32"/>
          <w:shd w:val="clear" w:color="auto" w:fill="FFFFFF"/>
        </w:rPr>
      </w:pPr>
      <w:r>
        <w:rPr>
          <w:rFonts w:hint="eastAsia" w:ascii="仿宋" w:hAnsi="仿宋" w:eastAsia="仿宋" w:cs="仿宋"/>
          <w:bCs/>
          <w:spacing w:val="6"/>
          <w:sz w:val="32"/>
          <w:szCs w:val="32"/>
        </w:rPr>
        <w:t>建立紧缺急需人才预警和管理机制，实行紧缺急需人才指导目录定期发布制度。</w:t>
      </w:r>
      <w:r>
        <w:rPr>
          <w:rFonts w:hint="eastAsia" w:ascii="仿宋" w:hAnsi="仿宋" w:eastAsia="仿宋" w:cs="仿宋"/>
          <w:bCs/>
          <w:spacing w:val="6"/>
          <w:sz w:val="32"/>
          <w:szCs w:val="32"/>
          <w:shd w:val="clear" w:color="auto" w:fill="FFFFFF"/>
        </w:rPr>
        <w:t>实行公立医院用人自主招聘，对符合当年度</w:t>
      </w:r>
      <w:r>
        <w:rPr>
          <w:rStyle w:val="15"/>
          <w:rFonts w:hint="eastAsia" w:ascii="仿宋" w:hAnsi="仿宋" w:eastAsia="仿宋" w:cs="仿宋"/>
          <w:b w:val="0"/>
          <w:bCs/>
          <w:spacing w:val="6"/>
          <w:sz w:val="32"/>
          <w:szCs w:val="32"/>
          <w:shd w:val="clear" w:color="auto" w:fill="FFFFFF"/>
        </w:rPr>
        <w:t>紧缺急需专业目录的全日制本科</w:t>
      </w:r>
      <w:r>
        <w:rPr>
          <w:rFonts w:hint="eastAsia" w:ascii="仿宋" w:hAnsi="仿宋" w:eastAsia="仿宋" w:cs="仿宋"/>
          <w:bCs/>
          <w:spacing w:val="6"/>
          <w:sz w:val="32"/>
          <w:szCs w:val="32"/>
          <w:shd w:val="clear" w:color="auto" w:fill="FFFFFF"/>
        </w:rPr>
        <w:t>、硕士研究生学历或副高职称人才，专业对口的全日制博士生或正高职称人才，在市委编办、市人社局审核的计划内，由公立医院按人社部门的有关规定自主公开招聘。其他事业医卫人才招聘，按照省市有关事业单位公开招聘工作人员相关规定执行，多形式引进高端医卫人才。以政策激励、事业平台（专家工作室、特聘专家）、“休假+医疗”等模式，吸引副高及以上科主任或学科带头人来漳工作。</w:t>
      </w:r>
    </w:p>
    <w:p>
      <w:pPr>
        <w:numPr>
          <w:ilvl w:val="0"/>
          <w:numId w:val="13"/>
        </w:numPr>
        <w:spacing w:line="500" w:lineRule="exact"/>
        <w:ind w:firstLine="667" w:firstLineChars="200"/>
        <w:rPr>
          <w:rFonts w:ascii="仿宋" w:hAnsi="仿宋" w:eastAsia="仿宋" w:cs="仿宋"/>
          <w:b/>
          <w:bCs/>
          <w:spacing w:val="6"/>
          <w:sz w:val="32"/>
          <w:szCs w:val="32"/>
        </w:rPr>
      </w:pPr>
      <w:r>
        <w:rPr>
          <w:rFonts w:hint="eastAsia" w:ascii="仿宋" w:hAnsi="仿宋" w:eastAsia="仿宋" w:cs="仿宋"/>
          <w:b/>
          <w:bCs/>
          <w:spacing w:val="6"/>
          <w:sz w:val="32"/>
          <w:szCs w:val="32"/>
        </w:rPr>
        <w:t>普通医护人员培养（包括本土人才培育、定向委培）</w:t>
      </w:r>
    </w:p>
    <w:p>
      <w:pPr>
        <w:spacing w:line="500" w:lineRule="exact"/>
        <w:ind w:firstLine="664" w:firstLineChars="200"/>
        <w:rPr>
          <w:rFonts w:ascii="仿宋" w:hAnsi="仿宋" w:eastAsia="仿宋" w:cs="仿宋"/>
          <w:spacing w:val="6"/>
          <w:sz w:val="32"/>
          <w:szCs w:val="32"/>
          <w:shd w:val="clear" w:color="auto" w:fill="FFFFFF"/>
        </w:rPr>
      </w:pPr>
      <w:r>
        <w:rPr>
          <w:rFonts w:hint="eastAsia" w:ascii="仿宋" w:hAnsi="仿宋" w:eastAsia="仿宋" w:cs="仿宋"/>
          <w:spacing w:val="6"/>
          <w:sz w:val="32"/>
          <w:szCs w:val="32"/>
        </w:rPr>
        <w:t>1.</w:t>
      </w:r>
      <w:r>
        <w:rPr>
          <w:rFonts w:hint="eastAsia" w:ascii="仿宋" w:hAnsi="仿宋" w:eastAsia="仿宋" w:cs="仿宋"/>
          <w:spacing w:val="6"/>
          <w:sz w:val="32"/>
          <w:szCs w:val="32"/>
          <w:shd w:val="clear" w:color="auto" w:fill="FFFFFF"/>
        </w:rPr>
        <w:t>鼓励在职医技人员培训进修，各医疗卫生单位每年针对性安排部分卫技人员外派进修培训，并重点选派爱岗敬业、业务进步较快的中青年业务骨干到省、市重点医院进修培训，并签订培训服务合同。</w:t>
      </w:r>
    </w:p>
    <w:p>
      <w:pPr>
        <w:spacing w:line="500" w:lineRule="exact"/>
        <w:ind w:firstLine="664" w:firstLineChars="200"/>
        <w:rPr>
          <w:rFonts w:ascii="仿宋" w:hAnsi="仿宋" w:eastAsia="仿宋" w:cs="仿宋"/>
          <w:spacing w:val="6"/>
          <w:sz w:val="32"/>
          <w:szCs w:val="32"/>
        </w:rPr>
      </w:pPr>
      <w:r>
        <w:rPr>
          <w:rFonts w:hint="eastAsia" w:ascii="仿宋" w:hAnsi="仿宋" w:eastAsia="仿宋" w:cs="仿宋"/>
          <w:spacing w:val="6"/>
          <w:sz w:val="32"/>
          <w:szCs w:val="32"/>
          <w:shd w:val="clear" w:color="auto" w:fill="FFFFFF"/>
        </w:rPr>
        <w:t>2.</w:t>
      </w:r>
      <w:r>
        <w:rPr>
          <w:rFonts w:hint="eastAsia" w:ascii="仿宋" w:hAnsi="仿宋" w:eastAsia="仿宋" w:cs="仿宋"/>
          <w:spacing w:val="6"/>
          <w:sz w:val="32"/>
          <w:szCs w:val="32"/>
        </w:rPr>
        <w:t>超前引进培养乡镇卫生人才，根据医卫人才成长规律及医卫人员年龄结构，提前实施招聘后继人才计划。</w:t>
      </w:r>
    </w:p>
    <w:p>
      <w:pPr>
        <w:spacing w:line="500" w:lineRule="exact"/>
        <w:ind w:firstLine="667" w:firstLineChars="200"/>
        <w:rPr>
          <w:rFonts w:ascii="仿宋" w:hAnsi="仿宋" w:eastAsia="仿宋" w:cs="仿宋"/>
          <w:b/>
          <w:bCs/>
          <w:spacing w:val="6"/>
          <w:sz w:val="32"/>
          <w:szCs w:val="32"/>
        </w:rPr>
      </w:pPr>
      <w:r>
        <w:rPr>
          <w:rFonts w:hint="eastAsia" w:ascii="仿宋" w:hAnsi="仿宋" w:eastAsia="仿宋" w:cs="仿宋"/>
          <w:b/>
          <w:bCs/>
          <w:spacing w:val="6"/>
          <w:sz w:val="32"/>
          <w:szCs w:val="32"/>
        </w:rPr>
        <w:t>（三）中医药人才培养</w:t>
      </w:r>
    </w:p>
    <w:p>
      <w:pPr>
        <w:spacing w:line="500" w:lineRule="exact"/>
        <w:ind w:firstLine="664" w:firstLineChars="200"/>
        <w:rPr>
          <w:rFonts w:ascii="仿宋" w:hAnsi="仿宋" w:eastAsia="仿宋" w:cs="仿宋"/>
          <w:bCs/>
          <w:spacing w:val="6"/>
          <w:sz w:val="32"/>
          <w:szCs w:val="32"/>
        </w:rPr>
      </w:pPr>
      <w:r>
        <w:rPr>
          <w:rFonts w:hint="eastAsia" w:ascii="仿宋" w:hAnsi="仿宋" w:eastAsia="仿宋" w:cs="仿宋"/>
          <w:bCs/>
          <w:spacing w:val="6"/>
          <w:sz w:val="32"/>
          <w:szCs w:val="32"/>
        </w:rPr>
        <w:t>开展中西医协同攻关，强化中医临床思维，优化中医（中西医结合）诊疗方案、临床路径，综合应用中医医疗技术和现代科学技术，提高“急危重疑特”疾病临床疗效。实现专科建设与人才培养协同发展，通过师承教育、学历教育、职业教育与培训，加大中医、中西医结合临床人才的培养力度，加强实用性中医药人才培养，开展基层医疗卫生机构非中医类医生中医药适宜技术培训，积极推进中医药继续教育，加快学术技术带头人和中青年技术骨干的选拔和培养，建设一支职称结构和技术结构合理的中医药专业队伍。</w:t>
      </w:r>
    </w:p>
    <w:p>
      <w:pPr>
        <w:spacing w:line="500" w:lineRule="exact"/>
        <w:ind w:firstLine="667" w:firstLineChars="200"/>
        <w:rPr>
          <w:rFonts w:ascii="仿宋" w:hAnsi="仿宋" w:eastAsia="仿宋" w:cs="仿宋"/>
          <w:b/>
          <w:bCs/>
          <w:spacing w:val="6"/>
          <w:sz w:val="32"/>
          <w:szCs w:val="32"/>
        </w:rPr>
      </w:pPr>
      <w:r>
        <w:rPr>
          <w:rFonts w:hint="eastAsia" w:ascii="仿宋" w:hAnsi="仿宋" w:eastAsia="仿宋" w:cs="仿宋"/>
          <w:b/>
          <w:bCs/>
          <w:spacing w:val="6"/>
          <w:sz w:val="32"/>
          <w:szCs w:val="32"/>
        </w:rPr>
        <w:t>（四）村医队伍建设</w:t>
      </w:r>
    </w:p>
    <w:p>
      <w:pPr>
        <w:spacing w:line="500" w:lineRule="exact"/>
        <w:ind w:firstLine="664" w:firstLineChars="200"/>
        <w:rPr>
          <w:rFonts w:ascii="仿宋" w:hAnsi="仿宋" w:eastAsia="仿宋" w:cs="仿宋"/>
          <w:bCs/>
          <w:spacing w:val="6"/>
          <w:sz w:val="32"/>
          <w:szCs w:val="32"/>
        </w:rPr>
      </w:pPr>
      <w:r>
        <w:rPr>
          <w:rFonts w:hint="eastAsia" w:ascii="仿宋" w:hAnsi="仿宋" w:eastAsia="仿宋" w:cs="仿宋"/>
          <w:bCs/>
          <w:spacing w:val="6"/>
          <w:sz w:val="32"/>
          <w:szCs w:val="32"/>
        </w:rPr>
        <w:t>1.围绕每年乡村医生培训工作，有针对性地安排农村志愿从事乡村医生工作的青年进行定向培训。</w:t>
      </w:r>
    </w:p>
    <w:p>
      <w:pPr>
        <w:spacing w:line="500" w:lineRule="exact"/>
        <w:ind w:firstLine="664" w:firstLineChars="200"/>
        <w:rPr>
          <w:rFonts w:ascii="仿宋" w:hAnsi="仿宋" w:eastAsia="仿宋" w:cs="仿宋"/>
          <w:bCs/>
          <w:spacing w:val="6"/>
          <w:sz w:val="32"/>
          <w:szCs w:val="32"/>
        </w:rPr>
      </w:pPr>
      <w:r>
        <w:rPr>
          <w:rFonts w:hint="eastAsia" w:ascii="仿宋" w:hAnsi="仿宋" w:eastAsia="仿宋" w:cs="仿宋"/>
          <w:bCs/>
          <w:spacing w:val="6"/>
          <w:sz w:val="32"/>
          <w:szCs w:val="32"/>
        </w:rPr>
        <w:t>2.鼓励乡医进行学历进修，争取考核通过者由当地财政给予一定补助。</w:t>
      </w:r>
    </w:p>
    <w:p>
      <w:pPr>
        <w:spacing w:line="500" w:lineRule="exact"/>
        <w:ind w:firstLine="664" w:firstLineChars="200"/>
        <w:rPr>
          <w:rFonts w:ascii="仿宋" w:hAnsi="仿宋" w:eastAsia="仿宋" w:cs="仿宋"/>
          <w:bCs/>
          <w:spacing w:val="6"/>
          <w:sz w:val="32"/>
          <w:szCs w:val="32"/>
        </w:rPr>
      </w:pPr>
      <w:r>
        <w:rPr>
          <w:rFonts w:hint="eastAsia" w:ascii="仿宋" w:hAnsi="仿宋" w:eastAsia="仿宋" w:cs="仿宋"/>
          <w:bCs/>
          <w:spacing w:val="6"/>
          <w:sz w:val="32"/>
          <w:szCs w:val="32"/>
        </w:rPr>
        <w:t>3</w:t>
      </w:r>
      <w:r>
        <w:rPr>
          <w:rFonts w:ascii="仿宋" w:hAnsi="仿宋" w:eastAsia="仿宋" w:cs="仿宋"/>
          <w:bCs/>
          <w:spacing w:val="6"/>
          <w:sz w:val="32"/>
          <w:szCs w:val="32"/>
        </w:rPr>
        <w:t>.</w:t>
      </w:r>
      <w:r>
        <w:rPr>
          <w:rFonts w:hint="eastAsia" w:ascii="仿宋" w:hAnsi="仿宋" w:eastAsia="仿宋" w:cs="仿宋"/>
          <w:bCs/>
          <w:spacing w:val="6"/>
          <w:sz w:val="32"/>
          <w:szCs w:val="32"/>
        </w:rPr>
        <w:t>在高考招生时招录愿意从事乡医工作的学生，免费培养，定向分配，加强村医队伍建设让基层变“强”。</w:t>
      </w:r>
    </w:p>
    <w:p>
      <w:pPr>
        <w:numPr>
          <w:ilvl w:val="0"/>
          <w:numId w:val="10"/>
        </w:numPr>
        <w:spacing w:beforeLines="50" w:afterLines="50" w:line="500" w:lineRule="exact"/>
        <w:ind w:firstLine="667" w:firstLineChars="200"/>
        <w:outlineLvl w:val="1"/>
        <w:rPr>
          <w:rFonts w:ascii="仿宋" w:hAnsi="仿宋" w:eastAsia="仿宋" w:cs="仿宋"/>
          <w:b/>
          <w:spacing w:val="6"/>
          <w:sz w:val="32"/>
          <w:szCs w:val="32"/>
        </w:rPr>
      </w:pPr>
      <w:bookmarkStart w:id="104" w:name="_Toc2452"/>
      <w:bookmarkStart w:id="105" w:name="_Toc57878443"/>
      <w:r>
        <w:rPr>
          <w:rFonts w:hint="eastAsia" w:ascii="仿宋" w:hAnsi="仿宋" w:eastAsia="仿宋" w:cs="仿宋"/>
          <w:b/>
          <w:spacing w:val="6"/>
          <w:sz w:val="32"/>
          <w:szCs w:val="32"/>
        </w:rPr>
        <w:t>加强综合监督和保障机制建立</w:t>
      </w:r>
      <w:bookmarkEnd w:id="104"/>
      <w:bookmarkEnd w:id="105"/>
    </w:p>
    <w:p>
      <w:pPr>
        <w:numPr>
          <w:ilvl w:val="0"/>
          <w:numId w:val="14"/>
        </w:numPr>
        <w:spacing w:beforeLines="50" w:afterLines="50" w:line="500" w:lineRule="exact"/>
        <w:ind w:firstLine="667" w:firstLineChars="200"/>
        <w:rPr>
          <w:rFonts w:ascii="仿宋" w:hAnsi="仿宋" w:eastAsia="仿宋" w:cs="仿宋"/>
          <w:b/>
          <w:bCs/>
          <w:spacing w:val="6"/>
          <w:sz w:val="32"/>
          <w:szCs w:val="32"/>
        </w:rPr>
      </w:pPr>
      <w:r>
        <w:rPr>
          <w:rFonts w:hint="eastAsia" w:ascii="仿宋" w:hAnsi="仿宋" w:eastAsia="仿宋" w:cs="仿宋"/>
          <w:b/>
          <w:bCs/>
          <w:spacing w:val="6"/>
          <w:sz w:val="32"/>
          <w:szCs w:val="32"/>
        </w:rPr>
        <w:t>加强卫生健康综合监督</w:t>
      </w:r>
    </w:p>
    <w:p>
      <w:pPr>
        <w:spacing w:line="500" w:lineRule="exact"/>
        <w:ind w:firstLine="664" w:firstLineChars="200"/>
        <w:rPr>
          <w:rFonts w:ascii="仿宋" w:hAnsi="仿宋" w:eastAsia="仿宋" w:cs="仿宋"/>
          <w:bCs/>
          <w:spacing w:val="6"/>
          <w:sz w:val="32"/>
          <w:szCs w:val="32"/>
        </w:rPr>
      </w:pPr>
      <w:r>
        <w:rPr>
          <w:rFonts w:hint="eastAsia" w:ascii="仿宋" w:hAnsi="仿宋" w:eastAsia="仿宋" w:cs="仿宋"/>
          <w:bCs/>
          <w:spacing w:val="6"/>
          <w:sz w:val="32"/>
          <w:szCs w:val="32"/>
        </w:rPr>
        <w:t>开展卫生</w:t>
      </w:r>
      <w:r>
        <w:rPr>
          <w:rFonts w:hint="eastAsia" w:ascii="仿宋" w:hAnsi="仿宋" w:eastAsia="仿宋" w:cs="仿宋"/>
          <w:bCs/>
          <w:spacing w:val="6"/>
          <w:sz w:val="32"/>
          <w:szCs w:val="32"/>
          <w:lang w:eastAsia="zh-CN"/>
        </w:rPr>
        <w:t>健康</w:t>
      </w:r>
      <w:r>
        <w:rPr>
          <w:rFonts w:hint="eastAsia" w:ascii="仿宋" w:hAnsi="仿宋" w:eastAsia="仿宋" w:cs="仿宋"/>
          <w:bCs/>
          <w:spacing w:val="6"/>
          <w:sz w:val="32"/>
          <w:szCs w:val="32"/>
        </w:rPr>
        <w:t>监督机构规范化建设，提升执法能力，健全以“双随机、一公开”监管为基本手段，以重点监管为补充，以信用监管为基础的新型监管机制。改革完善医疗卫生行业综合监管制度，从重点监管公立医疗卫生机构向全行业监管转变，从注重事前审批向注重事中事后全流程监管转变，从单项监管向综合协同监管转变。全面实施医疗机构多元化监管，完善医疗机构驻点监督制度，驻点监督覆盖率达到100%。加大公共场所卫生、饮用水卫生、学校卫生、涉水产品、消毒产品、职业健康、餐饮具集中消毒服务单位等监管力度，落实公共场所卫生安全主体责任，运用信息化手段，采取信用监管、智能监管，提升综合监管水平和效果。</w:t>
      </w:r>
    </w:p>
    <w:p>
      <w:pPr>
        <w:spacing w:line="500" w:lineRule="exact"/>
        <w:ind w:firstLine="664" w:firstLineChars="200"/>
        <w:rPr>
          <w:rFonts w:ascii="仿宋" w:hAnsi="仿宋" w:eastAsia="仿宋" w:cs="仿宋"/>
          <w:bCs/>
          <w:spacing w:val="6"/>
          <w:sz w:val="32"/>
          <w:szCs w:val="32"/>
        </w:rPr>
      </w:pPr>
      <w:r>
        <w:rPr>
          <w:rFonts w:hint="eastAsia" w:ascii="仿宋" w:hAnsi="仿宋" w:eastAsia="仿宋" w:cs="仿宋"/>
          <w:bCs/>
          <w:spacing w:val="6"/>
          <w:sz w:val="32"/>
          <w:szCs w:val="32"/>
        </w:rPr>
        <w:t>加强食品安全风险监测，完善食品安全地方标准体系，提高食源性疾病监测预警能力，</w:t>
      </w:r>
      <w:r>
        <w:rPr>
          <w:rFonts w:hint="eastAsia" w:ascii="仿宋" w:hAnsi="仿宋" w:eastAsia="仿宋" w:cs="仿宋"/>
          <w:bCs/>
          <w:spacing w:val="6"/>
          <w:sz w:val="32"/>
          <w:szCs w:val="32"/>
          <w:lang w:eastAsia="zh-CN"/>
        </w:rPr>
        <w:t>市总医院</w:t>
      </w:r>
      <w:r>
        <w:rPr>
          <w:rFonts w:hint="eastAsia" w:ascii="仿宋" w:hAnsi="仿宋" w:eastAsia="仿宋" w:cs="仿宋"/>
          <w:bCs/>
          <w:spacing w:val="6"/>
          <w:sz w:val="32"/>
          <w:szCs w:val="32"/>
        </w:rPr>
        <w:t>和乡镇卫生院、社区卫生服务中心实现网络直报，提升聚集性病例的识别、核实、报告、干预能力。健全食品安全风险监测网络，加快风险监测信息化建设，提升风险监测评估水平，实现数据采集自动化、数据共享便捷化、数据分析智能化。</w:t>
      </w:r>
    </w:p>
    <w:p>
      <w:pPr>
        <w:numPr>
          <w:ilvl w:val="0"/>
          <w:numId w:val="14"/>
        </w:numPr>
        <w:spacing w:beforeLines="50" w:afterLines="50" w:line="500" w:lineRule="exact"/>
        <w:ind w:firstLine="667" w:firstLineChars="200"/>
        <w:rPr>
          <w:rFonts w:ascii="仿宋" w:hAnsi="仿宋" w:eastAsia="仿宋" w:cs="仿宋"/>
          <w:b/>
          <w:bCs/>
          <w:spacing w:val="6"/>
          <w:sz w:val="32"/>
          <w:szCs w:val="32"/>
        </w:rPr>
      </w:pPr>
      <w:r>
        <w:rPr>
          <w:rFonts w:hint="eastAsia" w:ascii="仿宋" w:hAnsi="仿宋" w:eastAsia="仿宋" w:cs="仿宋"/>
          <w:b/>
          <w:bCs/>
          <w:spacing w:val="6"/>
          <w:sz w:val="32"/>
          <w:szCs w:val="32"/>
        </w:rPr>
        <w:t>建立公共卫生保障机制</w:t>
      </w:r>
    </w:p>
    <w:p>
      <w:pPr>
        <w:spacing w:line="500" w:lineRule="exact"/>
        <w:ind w:firstLine="664" w:firstLineChars="200"/>
        <w:rPr>
          <w:rFonts w:ascii="仿宋" w:hAnsi="仿宋" w:eastAsia="仿宋" w:cs="仿宋"/>
          <w:bCs/>
          <w:spacing w:val="6"/>
          <w:sz w:val="32"/>
          <w:szCs w:val="32"/>
        </w:rPr>
      </w:pPr>
      <w:r>
        <w:rPr>
          <w:rFonts w:hint="eastAsia" w:ascii="仿宋" w:hAnsi="仿宋" w:eastAsia="仿宋" w:cs="仿宋"/>
          <w:bCs/>
          <w:spacing w:val="6"/>
          <w:sz w:val="32"/>
          <w:szCs w:val="32"/>
        </w:rPr>
        <w:t>推动建立与经济社会发展，财政状况和健康指标相适应的卫生健康事业投入机制。落实财政事权和支出责任改革方案，建立健全权责清晰、财力协调、区域均衡的医疗卫生保障机制，加大公共卫生财政投入，保障基本医疗卫生服务的有效提供。落实政府办医责任，重点投入在改革完善疾病预防控制体系，专业公共卫生机构能力建设，强化其技术、能力、人才储备，补齐公共卫生服务短板，健全公共卫生应急管理体系，公立医院传染病救治能力建设，健全完善综合医院传染病防治设施建设，完善城乡医疗服务网络，中医药服务体系建设，卫生健康领域科技创新等方面，推动建立稳定可持续的卫生健康投入保障机制。逐步降低居民个人现金卫生支出占卫生总费用比重。坚持政府主导与发挥市场机制作用相结合，鼓励通过政府购买服务等方式提高医疗卫生领域投入效益。</w:t>
      </w:r>
    </w:p>
    <w:p>
      <w:pPr>
        <w:numPr>
          <w:ilvl w:val="0"/>
          <w:numId w:val="10"/>
        </w:numPr>
        <w:spacing w:beforeLines="50" w:afterLines="50" w:line="500" w:lineRule="exact"/>
        <w:ind w:firstLine="667" w:firstLineChars="200"/>
        <w:outlineLvl w:val="1"/>
        <w:rPr>
          <w:rFonts w:ascii="仿宋" w:hAnsi="仿宋" w:eastAsia="仿宋" w:cs="仿宋"/>
          <w:b/>
          <w:spacing w:val="6"/>
          <w:sz w:val="32"/>
          <w:szCs w:val="32"/>
        </w:rPr>
      </w:pPr>
      <w:bookmarkStart w:id="106" w:name="_Toc20883"/>
      <w:r>
        <w:rPr>
          <w:rFonts w:hint="eastAsia" w:ascii="仿宋" w:hAnsi="仿宋" w:eastAsia="仿宋" w:cs="仿宋"/>
          <w:b/>
          <w:spacing w:val="6"/>
          <w:sz w:val="32"/>
          <w:szCs w:val="32"/>
        </w:rPr>
        <w:t>深化医改新挑战，持续推进紧密型医共体建设</w:t>
      </w:r>
      <w:bookmarkEnd w:id="106"/>
    </w:p>
    <w:p>
      <w:pPr>
        <w:spacing w:line="500" w:lineRule="exact"/>
        <w:ind w:firstLine="664" w:firstLineChars="200"/>
        <w:rPr>
          <w:rFonts w:ascii="仿宋" w:hAnsi="仿宋" w:eastAsia="仿宋" w:cs="仿宋"/>
          <w:bCs/>
          <w:spacing w:val="6"/>
          <w:sz w:val="32"/>
          <w:szCs w:val="32"/>
        </w:rPr>
      </w:pPr>
      <w:r>
        <w:rPr>
          <w:rFonts w:hint="eastAsia" w:ascii="仿宋" w:hAnsi="仿宋" w:eastAsia="仿宋" w:cs="仿宋"/>
          <w:bCs/>
          <w:spacing w:val="6"/>
          <w:sz w:val="32"/>
          <w:szCs w:val="32"/>
        </w:rPr>
        <w:t>“十四五”是贯彻落实中央、省深化医疗体制工作的总体部署和主要深改方向时期，推进医改新进展，在已建立漳平市总医院为载体的紧密型医共体的基础上，进一步理顺体制机制，建立医疗与预防相结合的医防紧密型共同体，深化医疗、医保、医药“三医”联动向“全联深动”迈进，多措并举提升医疗卫生供给能力和水平，不仅要让群众看得上病，看得起病，更要看得好病，乃至少得病，更健康，更好满足人民群众多层次健康需求。</w:t>
      </w:r>
    </w:p>
    <w:p>
      <w:pPr>
        <w:spacing w:line="500" w:lineRule="exact"/>
        <w:ind w:firstLine="664" w:firstLineChars="200"/>
        <w:rPr>
          <w:rFonts w:ascii="仿宋" w:hAnsi="仿宋" w:eastAsia="仿宋" w:cs="仿宋"/>
          <w:bCs/>
          <w:spacing w:val="6"/>
          <w:sz w:val="32"/>
          <w:szCs w:val="32"/>
        </w:rPr>
      </w:pPr>
      <w:r>
        <w:rPr>
          <w:rFonts w:hint="eastAsia" w:ascii="仿宋" w:hAnsi="仿宋" w:eastAsia="仿宋" w:cs="仿宋"/>
          <w:bCs/>
          <w:spacing w:val="6"/>
          <w:sz w:val="32"/>
          <w:szCs w:val="32"/>
        </w:rPr>
        <w:t>1.借鉴“三明”医改的经验做法，创建医防融合体制机制。启动疾控机构综合改革，促进医疗机构与专业公共卫生之间的人员通、信息通、资源通。实施健康关口前移，强化医疗机构公共卫生职能，探索医疗保险向健康保险延伸，促进医保基金效益最大化。建立一套医生不看病、不开药，通过加强疾病预防也能获得绩效工资的内在激励机制，引导医疗服务从“治已病为中心”转向“以健康为中心”。</w:t>
      </w:r>
    </w:p>
    <w:p>
      <w:pPr>
        <w:spacing w:line="500" w:lineRule="exact"/>
        <w:ind w:firstLine="664" w:firstLineChars="200"/>
        <w:rPr>
          <w:rFonts w:ascii="仿宋" w:hAnsi="仿宋" w:eastAsia="仿宋" w:cs="仿宋"/>
          <w:bCs/>
          <w:spacing w:val="6"/>
          <w:sz w:val="32"/>
          <w:szCs w:val="32"/>
        </w:rPr>
      </w:pPr>
      <w:r>
        <w:rPr>
          <w:rFonts w:hint="eastAsia" w:ascii="仿宋" w:hAnsi="仿宋" w:eastAsia="仿宋" w:cs="仿宋"/>
          <w:bCs/>
          <w:spacing w:val="6"/>
          <w:sz w:val="32"/>
          <w:szCs w:val="32"/>
        </w:rPr>
        <w:t>2.突出“三医”全联深动，建立医共体内部经济利益纽带。抓好“药价保”改革。实施扩大按疾病诊断相关分组（DRG）收付费改革范围，完善医共体医保基金总额付费机制。建立总额包干、结余留用的机制，即按照1个总医院为一个组团形式，将医保基金总额包干给总医院，建立“一组团、一包干、两确定”机制，促进广大医生积极参与健康宣传、慢性病管理。加大药品耗材集中采购改革力度，及时动态调整医疗服务价格。加大薪酬制度改革创新力度，大力推进医保精细化管理，构建优质高效的整合型医疗卫生服务体系。</w:t>
      </w:r>
    </w:p>
    <w:p>
      <w:pPr>
        <w:spacing w:line="500" w:lineRule="exact"/>
        <w:ind w:firstLine="664" w:firstLineChars="200"/>
        <w:rPr>
          <w:rFonts w:hint="eastAsia" w:ascii="仿宋" w:hAnsi="仿宋" w:eastAsia="仿宋" w:cs="仿宋"/>
          <w:bCs/>
          <w:spacing w:val="6"/>
          <w:sz w:val="32"/>
          <w:szCs w:val="32"/>
        </w:rPr>
      </w:pPr>
      <w:r>
        <w:rPr>
          <w:rFonts w:hint="eastAsia" w:ascii="仿宋" w:hAnsi="仿宋" w:eastAsia="仿宋" w:cs="仿宋"/>
          <w:bCs/>
          <w:spacing w:val="6"/>
          <w:sz w:val="32"/>
          <w:szCs w:val="32"/>
        </w:rPr>
        <w:t>3.建立医共体绩效监督体系。突出规范运行与质量提升，切实提升服务获得感。主要体现包括总院与分院经济运行、诊疗服务质量、分级诊治、收费结算、医保基金支付方式、资源共享、群众满意度等定量指标和定性指标，并赋能分值，进行考核评分，获得总分值。通过季度、半年、全年考核反映紧密型医共体建设及运行的实效，更加有效提升卫生与健康事业发展。</w:t>
      </w:r>
    </w:p>
    <w:p>
      <w:pPr>
        <w:spacing w:line="500" w:lineRule="exact"/>
        <w:ind w:firstLine="664" w:firstLineChars="200"/>
        <w:rPr>
          <w:rFonts w:hint="eastAsia" w:ascii="仿宋" w:hAnsi="仿宋" w:eastAsia="仿宋" w:cs="仿宋"/>
          <w:bCs/>
          <w:spacing w:val="6"/>
          <w:sz w:val="32"/>
          <w:szCs w:val="32"/>
        </w:rPr>
      </w:pPr>
    </w:p>
    <w:p>
      <w:pPr>
        <w:spacing w:line="500" w:lineRule="exact"/>
        <w:ind w:firstLine="664" w:firstLineChars="200"/>
        <w:rPr>
          <w:rFonts w:hint="eastAsia" w:ascii="仿宋" w:hAnsi="仿宋" w:eastAsia="仿宋" w:cs="仿宋"/>
          <w:bCs/>
          <w:spacing w:val="6"/>
          <w:sz w:val="32"/>
          <w:szCs w:val="32"/>
        </w:rPr>
      </w:pPr>
    </w:p>
    <w:p>
      <w:pPr>
        <w:numPr>
          <w:ilvl w:val="0"/>
          <w:numId w:val="2"/>
        </w:numPr>
        <w:spacing w:beforeLines="50" w:afterLines="50" w:line="500" w:lineRule="exact"/>
        <w:jc w:val="center"/>
        <w:outlineLvl w:val="0"/>
        <w:rPr>
          <w:rFonts w:ascii="仿宋" w:hAnsi="仿宋" w:eastAsia="仿宋" w:cs="仿宋"/>
          <w:b/>
          <w:spacing w:val="6"/>
          <w:sz w:val="32"/>
          <w:szCs w:val="32"/>
        </w:rPr>
      </w:pPr>
      <w:bookmarkStart w:id="107" w:name="_Toc57878444"/>
      <w:bookmarkStart w:id="108" w:name="_Toc17268"/>
      <w:r>
        <w:rPr>
          <w:rFonts w:hint="eastAsia" w:ascii="仿宋" w:hAnsi="仿宋" w:eastAsia="仿宋" w:cs="仿宋"/>
          <w:b/>
          <w:spacing w:val="6"/>
          <w:sz w:val="32"/>
          <w:szCs w:val="32"/>
        </w:rPr>
        <w:t>规划保障</w:t>
      </w:r>
      <w:bookmarkEnd w:id="107"/>
      <w:bookmarkEnd w:id="108"/>
    </w:p>
    <w:p>
      <w:pPr>
        <w:numPr>
          <w:ilvl w:val="0"/>
          <w:numId w:val="15"/>
        </w:numPr>
        <w:spacing w:beforeLines="50" w:afterLines="50" w:line="500" w:lineRule="exact"/>
        <w:ind w:firstLine="667" w:firstLineChars="200"/>
        <w:outlineLvl w:val="1"/>
        <w:rPr>
          <w:rFonts w:ascii="仿宋" w:hAnsi="仿宋" w:eastAsia="仿宋" w:cs="仿宋"/>
          <w:b/>
          <w:spacing w:val="6"/>
          <w:kern w:val="0"/>
          <w:sz w:val="32"/>
          <w:szCs w:val="32"/>
        </w:rPr>
      </w:pPr>
      <w:bookmarkStart w:id="109" w:name="_Toc57878445"/>
      <w:bookmarkStart w:id="110" w:name="_Toc10792"/>
      <w:r>
        <w:rPr>
          <w:rFonts w:hint="eastAsia" w:ascii="仿宋" w:hAnsi="仿宋" w:eastAsia="仿宋" w:cs="仿宋"/>
          <w:b/>
          <w:spacing w:val="6"/>
          <w:kern w:val="0"/>
          <w:sz w:val="32"/>
          <w:szCs w:val="32"/>
        </w:rPr>
        <w:t>加强组织领导</w:t>
      </w:r>
      <w:bookmarkEnd w:id="109"/>
      <w:bookmarkEnd w:id="110"/>
    </w:p>
    <w:p>
      <w:pPr>
        <w:spacing w:line="500" w:lineRule="exact"/>
        <w:ind w:firstLine="664" w:firstLineChars="200"/>
        <w:outlineLvl w:val="1"/>
        <w:rPr>
          <w:rFonts w:ascii="仿宋" w:hAnsi="仿宋" w:eastAsia="仿宋" w:cs="仿宋"/>
          <w:spacing w:val="6"/>
          <w:kern w:val="0"/>
          <w:sz w:val="32"/>
          <w:szCs w:val="32"/>
        </w:rPr>
      </w:pPr>
      <w:bookmarkStart w:id="111" w:name="_Toc24974"/>
      <w:bookmarkStart w:id="112" w:name="_Toc22841"/>
      <w:bookmarkStart w:id="113" w:name="_Toc29040"/>
      <w:bookmarkStart w:id="114" w:name="_Toc57878446"/>
      <w:bookmarkStart w:id="115" w:name="_Toc5970"/>
      <w:bookmarkStart w:id="116" w:name="_Toc13110"/>
      <w:r>
        <w:rPr>
          <w:rFonts w:hint="eastAsia" w:ascii="仿宋" w:hAnsi="仿宋" w:eastAsia="仿宋" w:cs="仿宋"/>
          <w:spacing w:val="6"/>
          <w:kern w:val="0"/>
          <w:sz w:val="32"/>
          <w:szCs w:val="32"/>
        </w:rPr>
        <w:t>要强化在卫生与健康事业发展中的责任,加强和改善对卫生与健康工作的领导,将卫生与健康事业发展“十四五”规划纳入漳平市经济和社会发展总体规划,并作为“1号工程”来抓，采取有效措施保证规划的落实。</w:t>
      </w:r>
      <w:bookmarkEnd w:id="111"/>
      <w:bookmarkEnd w:id="112"/>
      <w:bookmarkEnd w:id="113"/>
      <w:bookmarkEnd w:id="114"/>
      <w:bookmarkEnd w:id="115"/>
      <w:bookmarkEnd w:id="116"/>
    </w:p>
    <w:p>
      <w:pPr>
        <w:numPr>
          <w:ilvl w:val="0"/>
          <w:numId w:val="15"/>
        </w:numPr>
        <w:spacing w:beforeLines="50" w:afterLines="50" w:line="500" w:lineRule="exact"/>
        <w:ind w:firstLine="667" w:firstLineChars="200"/>
        <w:outlineLvl w:val="1"/>
        <w:rPr>
          <w:rFonts w:ascii="仿宋" w:hAnsi="仿宋" w:eastAsia="仿宋" w:cs="仿宋"/>
          <w:b/>
          <w:spacing w:val="6"/>
          <w:kern w:val="0"/>
          <w:sz w:val="32"/>
          <w:szCs w:val="32"/>
        </w:rPr>
      </w:pPr>
      <w:bookmarkStart w:id="117" w:name="_Toc18939"/>
      <w:bookmarkStart w:id="118" w:name="_Toc57878447"/>
      <w:r>
        <w:rPr>
          <w:rFonts w:hint="eastAsia" w:ascii="仿宋" w:hAnsi="仿宋" w:eastAsia="仿宋" w:cs="仿宋"/>
          <w:b/>
          <w:spacing w:val="6"/>
          <w:kern w:val="0"/>
          <w:sz w:val="32"/>
          <w:szCs w:val="32"/>
        </w:rPr>
        <w:t>加强部门协调</w:t>
      </w:r>
      <w:bookmarkEnd w:id="117"/>
      <w:bookmarkEnd w:id="118"/>
    </w:p>
    <w:p>
      <w:pPr>
        <w:spacing w:line="500" w:lineRule="exact"/>
        <w:ind w:firstLine="664" w:firstLineChars="200"/>
        <w:rPr>
          <w:rFonts w:ascii="仿宋" w:hAnsi="仿宋" w:eastAsia="仿宋" w:cs="仿宋"/>
          <w:spacing w:val="6"/>
          <w:kern w:val="0"/>
          <w:sz w:val="32"/>
          <w:szCs w:val="32"/>
        </w:rPr>
      </w:pPr>
      <w:r>
        <w:rPr>
          <w:rFonts w:hint="eastAsia" w:ascii="仿宋" w:hAnsi="仿宋" w:eastAsia="仿宋" w:cs="仿宋"/>
          <w:spacing w:val="6"/>
          <w:kern w:val="0"/>
          <w:sz w:val="32"/>
          <w:szCs w:val="32"/>
        </w:rPr>
        <w:t>建立健全卫生与健康工作协调机制,统筹医疗卫生、医疗保障、服务价格、经费保障和药品购销、应急物资保障等有关工作,协调各部门形成合力,共同做好卫生与健康工作。充分发挥联席会议综合协调作用,加强对重难点工作的协调、指导和推进。</w:t>
      </w:r>
    </w:p>
    <w:p>
      <w:pPr>
        <w:numPr>
          <w:ilvl w:val="0"/>
          <w:numId w:val="15"/>
        </w:numPr>
        <w:spacing w:beforeLines="50" w:afterLines="50" w:line="500" w:lineRule="exact"/>
        <w:ind w:firstLine="667" w:firstLineChars="200"/>
        <w:outlineLvl w:val="1"/>
        <w:rPr>
          <w:rFonts w:ascii="仿宋" w:hAnsi="仿宋" w:eastAsia="仿宋" w:cs="仿宋"/>
          <w:b/>
          <w:spacing w:val="6"/>
          <w:kern w:val="0"/>
          <w:sz w:val="32"/>
          <w:szCs w:val="32"/>
        </w:rPr>
      </w:pPr>
      <w:bookmarkStart w:id="119" w:name="_Toc57878448"/>
      <w:bookmarkStart w:id="120" w:name="_Toc29588"/>
      <w:r>
        <w:rPr>
          <w:rFonts w:hint="eastAsia" w:ascii="仿宋" w:hAnsi="仿宋" w:eastAsia="仿宋" w:cs="仿宋"/>
          <w:b/>
          <w:spacing w:val="6"/>
          <w:kern w:val="0"/>
          <w:sz w:val="32"/>
          <w:szCs w:val="32"/>
        </w:rPr>
        <w:t>完善投入机制</w:t>
      </w:r>
      <w:bookmarkEnd w:id="119"/>
      <w:bookmarkEnd w:id="120"/>
    </w:p>
    <w:p>
      <w:pPr>
        <w:spacing w:line="500" w:lineRule="exact"/>
        <w:ind w:firstLine="664" w:firstLineChars="200"/>
        <w:rPr>
          <w:rFonts w:ascii="仿宋" w:hAnsi="仿宋" w:eastAsia="仿宋" w:cs="仿宋"/>
          <w:spacing w:val="6"/>
          <w:kern w:val="0"/>
          <w:sz w:val="32"/>
          <w:szCs w:val="32"/>
        </w:rPr>
      </w:pPr>
      <w:r>
        <w:rPr>
          <w:rFonts w:hint="eastAsia" w:ascii="仿宋" w:hAnsi="仿宋" w:eastAsia="仿宋" w:cs="仿宋"/>
          <w:spacing w:val="6"/>
          <w:kern w:val="0"/>
          <w:sz w:val="32"/>
          <w:szCs w:val="32"/>
        </w:rPr>
        <w:t>明确政府在提供公共卫生、基本医疗服务和生育与健康事业投入中的主导地位。要把深化医药卫生体制改革作为财政支持的重点领域,加大政府对卫生与健康事业的投入。研究对接中央、省、市有关促进卫生与健康事业发展的政策，极大争取中央、省、市预算内投资，在总量增加、结构优化、制度建设与创新上同步推进,保障公共卫生和基本医疗经费。鼓励民间资本投资卫生事业,形成政府投入为主导，其他渠道为补充的多元化投入机制。</w:t>
      </w:r>
    </w:p>
    <w:p>
      <w:pPr>
        <w:numPr>
          <w:ilvl w:val="0"/>
          <w:numId w:val="15"/>
        </w:numPr>
        <w:spacing w:beforeLines="50" w:afterLines="50" w:line="500" w:lineRule="exact"/>
        <w:ind w:firstLine="667" w:firstLineChars="200"/>
        <w:outlineLvl w:val="1"/>
        <w:rPr>
          <w:rFonts w:ascii="仿宋" w:hAnsi="仿宋" w:eastAsia="仿宋" w:cs="仿宋"/>
          <w:b/>
          <w:spacing w:val="6"/>
          <w:kern w:val="0"/>
          <w:sz w:val="32"/>
          <w:szCs w:val="32"/>
        </w:rPr>
      </w:pPr>
      <w:bookmarkStart w:id="121" w:name="_Toc57878449"/>
      <w:bookmarkStart w:id="122" w:name="_Toc25086"/>
      <w:r>
        <w:rPr>
          <w:rFonts w:hint="eastAsia" w:ascii="仿宋" w:hAnsi="仿宋" w:eastAsia="仿宋" w:cs="仿宋"/>
          <w:b/>
          <w:spacing w:val="6"/>
          <w:kern w:val="0"/>
          <w:sz w:val="32"/>
          <w:szCs w:val="32"/>
        </w:rPr>
        <w:t>加强监测评估</w:t>
      </w:r>
      <w:bookmarkEnd w:id="121"/>
      <w:bookmarkEnd w:id="122"/>
    </w:p>
    <w:p>
      <w:pPr>
        <w:spacing w:line="500" w:lineRule="exact"/>
        <w:ind w:firstLine="664" w:firstLineChars="200"/>
        <w:rPr>
          <w:rFonts w:ascii="仿宋" w:hAnsi="仿宋" w:eastAsia="仿宋" w:cs="仿宋"/>
          <w:spacing w:val="6"/>
          <w:kern w:val="0"/>
          <w:sz w:val="32"/>
          <w:szCs w:val="32"/>
        </w:rPr>
      </w:pPr>
      <w:r>
        <w:rPr>
          <w:rFonts w:hint="eastAsia" w:ascii="仿宋" w:hAnsi="仿宋" w:eastAsia="仿宋" w:cs="仿宋"/>
          <w:spacing w:val="6"/>
          <w:kern w:val="0"/>
          <w:sz w:val="32"/>
          <w:szCs w:val="32"/>
        </w:rPr>
        <w:t>加强对规划执行情况的监测、评估和督导,加强对重大政策、重大工程项目的动态跟踪和实施效果的评估。定期公布主要发展目标、主要任务、重大政策与重大工程的</w:t>
      </w:r>
      <w:r>
        <w:rPr>
          <w:rFonts w:hint="eastAsia" w:ascii="仿宋" w:hAnsi="仿宋" w:eastAsia="仿宋" w:cs="仿宋"/>
          <w:spacing w:val="6"/>
          <w:kern w:val="0"/>
          <w:sz w:val="32"/>
          <w:szCs w:val="32"/>
          <w:lang w:eastAsia="zh-CN"/>
        </w:rPr>
        <w:t>进</w:t>
      </w:r>
      <w:r>
        <w:rPr>
          <w:rFonts w:hint="eastAsia" w:ascii="仿宋" w:hAnsi="仿宋" w:eastAsia="仿宋" w:cs="仿宋"/>
          <w:spacing w:val="6"/>
          <w:kern w:val="0"/>
          <w:sz w:val="32"/>
          <w:szCs w:val="32"/>
        </w:rPr>
        <w:t>展和落实情况,以本规划为基本依据,制定和实施相关年度计划。根据实际情况和职责范围,制定本区域、本部门的具体实施方案。要重视规划项目的实施,通过规划引领项目,依靠项目落实规划定期对规划实施进展情况进行总结,并对规划实施过程中存在的</w:t>
      </w:r>
      <w:r>
        <w:rPr>
          <w:rFonts w:hint="eastAsia" w:ascii="仿宋" w:hAnsi="仿宋" w:eastAsia="仿宋" w:cs="仿宋"/>
          <w:spacing w:val="6"/>
          <w:kern w:val="0"/>
          <w:sz w:val="32"/>
          <w:szCs w:val="32"/>
          <w:lang w:eastAsia="zh-CN"/>
        </w:rPr>
        <w:t>问</w:t>
      </w:r>
      <w:r>
        <w:rPr>
          <w:rFonts w:hint="eastAsia" w:ascii="仿宋" w:hAnsi="仿宋" w:eastAsia="仿宋" w:cs="仿宋"/>
          <w:spacing w:val="6"/>
          <w:kern w:val="0"/>
          <w:sz w:val="32"/>
          <w:szCs w:val="32"/>
        </w:rPr>
        <w:t>题进行分析和研究,提出对策。规划在执行过程中确因重大事件和原因需要调整的,必须经过科学论证,并报批准后方可进行调整。</w:t>
      </w:r>
    </w:p>
    <w:p>
      <w:pPr>
        <w:numPr>
          <w:ilvl w:val="0"/>
          <w:numId w:val="15"/>
        </w:numPr>
        <w:spacing w:beforeLines="50" w:afterLines="50" w:line="500" w:lineRule="exact"/>
        <w:ind w:firstLine="667" w:firstLineChars="200"/>
        <w:outlineLvl w:val="1"/>
        <w:rPr>
          <w:rFonts w:ascii="仿宋" w:hAnsi="仿宋" w:eastAsia="仿宋" w:cs="仿宋"/>
          <w:b/>
          <w:spacing w:val="6"/>
          <w:kern w:val="0"/>
          <w:sz w:val="32"/>
          <w:szCs w:val="32"/>
        </w:rPr>
      </w:pPr>
      <w:bookmarkStart w:id="123" w:name="_Toc477502805"/>
      <w:bookmarkStart w:id="124" w:name="_Toc30284"/>
      <w:bookmarkStart w:id="125" w:name="_Toc57878450"/>
      <w:r>
        <w:rPr>
          <w:rFonts w:hint="eastAsia" w:ascii="仿宋" w:hAnsi="仿宋" w:eastAsia="仿宋" w:cs="仿宋"/>
          <w:b/>
          <w:spacing w:val="6"/>
          <w:kern w:val="0"/>
          <w:sz w:val="32"/>
          <w:szCs w:val="32"/>
        </w:rPr>
        <w:t>加强环境</w:t>
      </w:r>
      <w:bookmarkEnd w:id="123"/>
      <w:r>
        <w:rPr>
          <w:rFonts w:hint="eastAsia" w:ascii="仿宋" w:hAnsi="仿宋" w:eastAsia="仿宋" w:cs="仿宋"/>
          <w:b/>
          <w:spacing w:val="6"/>
          <w:kern w:val="0"/>
          <w:sz w:val="32"/>
          <w:szCs w:val="32"/>
        </w:rPr>
        <w:t>营造</w:t>
      </w:r>
      <w:bookmarkEnd w:id="124"/>
      <w:bookmarkEnd w:id="125"/>
    </w:p>
    <w:p>
      <w:pPr>
        <w:spacing w:line="500" w:lineRule="exact"/>
        <w:ind w:firstLine="664" w:firstLineChars="200"/>
        <w:sectPr>
          <w:headerReference r:id="rId7" w:type="default"/>
          <w:footerReference r:id="rId8" w:type="default"/>
          <w:pgSz w:w="11850" w:h="16783"/>
          <w:pgMar w:top="1440" w:right="1800" w:bottom="1440" w:left="1800" w:header="1077" w:footer="992" w:gutter="0"/>
          <w:pgNumType w:start="1"/>
          <w:cols w:space="425" w:num="1"/>
          <w:docGrid w:type="lines" w:linePitch="312" w:charSpace="0"/>
        </w:sectPr>
      </w:pPr>
      <w:r>
        <w:rPr>
          <w:rFonts w:hint="eastAsia" w:ascii="仿宋" w:hAnsi="仿宋" w:eastAsia="仿宋" w:cs="仿宋"/>
          <w:spacing w:val="6"/>
          <w:kern w:val="0"/>
          <w:sz w:val="32"/>
          <w:szCs w:val="32"/>
        </w:rPr>
        <w:t>按照统一开放和公平、公开、公正的要求，打破隶属关系的管理和垄断，取消或调整妨碍多种形式办医的不合理政策，充分发挥市场机制在卫生与健康资源配置和结构调整中的作用，鼓励和扶持发展有一定规模的民营医院和专科医院，全面引入竞争机制，努力营造卫生与健康服务的公平竞争环境。紧紧围绕中央、省、市重大决策部署和重点工作，深入推进典型宣传、对外宣传和文化建设，着力提升新闻发布和舆论引导能力，有效提高健康促进工作水平，完善大健康大联合大宣传工作格局，为推动卫生与健康事业科学发展提供强大的思想保证、精神力量、舆论支持和文化条件。</w:t>
      </w:r>
    </w:p>
    <w:p>
      <w:pPr>
        <w:pStyle w:val="3"/>
        <w:spacing w:beforeLines="0" w:afterLines="0"/>
        <w:jc w:val="center"/>
        <w:rPr>
          <w:rFonts w:ascii="仿宋" w:hAnsi="仿宋" w:eastAsia="仿宋" w:cs="仿宋"/>
          <w:b/>
          <w:bCs/>
          <w:sz w:val="28"/>
          <w:szCs w:val="28"/>
        </w:rPr>
      </w:pPr>
      <w:r>
        <w:rPr>
          <w:rFonts w:hint="eastAsia" w:ascii="仿宋" w:hAnsi="仿宋" w:eastAsia="仿宋" w:cs="仿宋"/>
          <w:b/>
          <w:bCs/>
          <w:sz w:val="28"/>
          <w:szCs w:val="28"/>
        </w:rPr>
        <w:t>漳平市“十四五”卫生与健康事业专项规划重点建设项目表</w:t>
      </w:r>
    </w:p>
    <w:tbl>
      <w:tblPr>
        <w:tblStyle w:val="12"/>
        <w:tblW w:w="14040" w:type="dxa"/>
        <w:tblInd w:w="0" w:type="dxa"/>
        <w:tblLayout w:type="autofit"/>
        <w:tblCellMar>
          <w:top w:w="0" w:type="dxa"/>
          <w:left w:w="0" w:type="dxa"/>
          <w:bottom w:w="0" w:type="dxa"/>
          <w:right w:w="0" w:type="dxa"/>
        </w:tblCellMar>
      </w:tblPr>
      <w:tblGrid>
        <w:gridCol w:w="734"/>
        <w:gridCol w:w="4590"/>
        <w:gridCol w:w="1260"/>
        <w:gridCol w:w="1259"/>
        <w:gridCol w:w="4847"/>
        <w:gridCol w:w="1350"/>
      </w:tblGrid>
      <w:tr>
        <w:tblPrEx>
          <w:tblCellMar>
            <w:top w:w="0" w:type="dxa"/>
            <w:left w:w="0" w:type="dxa"/>
            <w:bottom w:w="0" w:type="dxa"/>
            <w:right w:w="0" w:type="dxa"/>
          </w:tblCellMar>
        </w:tblPrEx>
        <w:trPr>
          <w:trHeight w:val="480" w:hRule="atLeast"/>
        </w:trPr>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sz w:val="24"/>
                <w:szCs w:val="24"/>
              </w:rPr>
            </w:pPr>
            <w:r>
              <w:rPr>
                <w:rFonts w:ascii="宋体" w:hAnsi="宋体" w:eastAsia="宋体" w:cs="宋体"/>
                <w:b/>
                <w:kern w:val="0"/>
                <w:sz w:val="24"/>
                <w:szCs w:val="24"/>
              </w:rPr>
              <w:t>序号</w:t>
            </w:r>
          </w:p>
        </w:tc>
        <w:tc>
          <w:tcPr>
            <w:tcW w:w="4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b/>
                <w:sz w:val="24"/>
                <w:szCs w:val="24"/>
              </w:rPr>
            </w:pPr>
            <w:r>
              <w:rPr>
                <w:rFonts w:ascii="宋体" w:hAnsi="宋体" w:eastAsia="宋体" w:cs="宋体"/>
                <w:b/>
                <w:kern w:val="0"/>
                <w:sz w:val="24"/>
                <w:szCs w:val="24"/>
              </w:rPr>
              <w:t>项目名称</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sz w:val="24"/>
                <w:szCs w:val="24"/>
              </w:rPr>
            </w:pPr>
            <w:r>
              <w:rPr>
                <w:rFonts w:ascii="宋体" w:hAnsi="宋体" w:eastAsia="宋体" w:cs="宋体"/>
                <w:b/>
                <w:kern w:val="0"/>
                <w:sz w:val="24"/>
                <w:szCs w:val="24"/>
              </w:rPr>
              <w:t>建设性质</w:t>
            </w:r>
          </w:p>
        </w:tc>
        <w:tc>
          <w:tcPr>
            <w:tcW w:w="12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sz w:val="24"/>
                <w:szCs w:val="24"/>
              </w:rPr>
            </w:pPr>
            <w:r>
              <w:rPr>
                <w:rFonts w:ascii="宋体" w:hAnsi="宋体" w:eastAsia="宋体" w:cs="宋体"/>
                <w:b/>
                <w:kern w:val="0"/>
                <w:sz w:val="24"/>
                <w:szCs w:val="24"/>
              </w:rPr>
              <w:t>建设规模</w:t>
            </w:r>
            <w:r>
              <w:rPr>
                <w:rFonts w:ascii="宋体" w:hAnsi="宋体" w:eastAsia="宋体" w:cs="宋体"/>
                <w:b/>
                <w:kern w:val="0"/>
                <w:sz w:val="24"/>
                <w:szCs w:val="24"/>
              </w:rPr>
              <w:br w:type="textWrapping"/>
            </w:r>
            <w:r>
              <w:rPr>
                <w:rFonts w:ascii="宋体" w:hAnsi="宋体" w:eastAsia="宋体" w:cs="宋体"/>
                <w:b/>
                <w:kern w:val="0"/>
                <w:sz w:val="24"/>
                <w:szCs w:val="24"/>
              </w:rPr>
              <w:t>（平方米）</w:t>
            </w:r>
          </w:p>
        </w:tc>
        <w:tc>
          <w:tcPr>
            <w:tcW w:w="48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sz w:val="24"/>
                <w:szCs w:val="24"/>
              </w:rPr>
            </w:pPr>
            <w:r>
              <w:rPr>
                <w:rFonts w:ascii="宋体" w:hAnsi="宋体" w:eastAsia="宋体" w:cs="宋体"/>
                <w:b/>
                <w:kern w:val="0"/>
                <w:sz w:val="24"/>
                <w:szCs w:val="24"/>
              </w:rPr>
              <w:t>建设内容</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sz w:val="24"/>
                <w:szCs w:val="24"/>
              </w:rPr>
            </w:pPr>
            <w:r>
              <w:rPr>
                <w:rFonts w:ascii="宋体" w:hAnsi="宋体" w:eastAsia="宋体" w:cs="宋体"/>
                <w:b/>
                <w:kern w:val="0"/>
                <w:sz w:val="24"/>
                <w:szCs w:val="24"/>
              </w:rPr>
              <w:t>总投资</w:t>
            </w:r>
            <w:r>
              <w:rPr>
                <w:rFonts w:ascii="宋体" w:hAnsi="宋体" w:eastAsia="宋体" w:cs="宋体"/>
                <w:b/>
                <w:kern w:val="0"/>
                <w:sz w:val="24"/>
                <w:szCs w:val="24"/>
              </w:rPr>
              <w:br w:type="textWrapping"/>
            </w:r>
            <w:r>
              <w:rPr>
                <w:rFonts w:ascii="宋体" w:hAnsi="宋体" w:eastAsia="宋体" w:cs="宋体"/>
                <w:b/>
                <w:kern w:val="0"/>
                <w:sz w:val="24"/>
                <w:szCs w:val="24"/>
              </w:rPr>
              <w:t>（万元）</w:t>
            </w:r>
          </w:p>
        </w:tc>
      </w:tr>
      <w:tr>
        <w:tblPrEx>
          <w:tblCellMar>
            <w:top w:w="0" w:type="dxa"/>
            <w:left w:w="0" w:type="dxa"/>
            <w:bottom w:w="0" w:type="dxa"/>
            <w:right w:w="0" w:type="dxa"/>
          </w:tblCellMar>
        </w:tblPrEx>
        <w:trPr>
          <w:trHeight w:val="270" w:hRule="atLeast"/>
        </w:trPr>
        <w:tc>
          <w:tcPr>
            <w:tcW w:w="14040"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b/>
                <w:sz w:val="24"/>
                <w:szCs w:val="24"/>
              </w:rPr>
            </w:pPr>
            <w:r>
              <w:rPr>
                <w:rFonts w:ascii="宋体" w:hAnsi="宋体" w:eastAsia="宋体" w:cs="宋体"/>
                <w:b/>
                <w:kern w:val="0"/>
                <w:sz w:val="24"/>
                <w:szCs w:val="24"/>
              </w:rPr>
              <w:t>（一）中医药传承创新工程</w:t>
            </w:r>
          </w:p>
        </w:tc>
      </w:tr>
      <w:tr>
        <w:tblPrEx>
          <w:tblCellMar>
            <w:top w:w="0" w:type="dxa"/>
            <w:left w:w="0" w:type="dxa"/>
            <w:bottom w:w="0" w:type="dxa"/>
            <w:right w:w="0" w:type="dxa"/>
          </w:tblCellMar>
        </w:tblPrEx>
        <w:trPr>
          <w:trHeight w:val="675" w:hRule="atLeast"/>
        </w:trPr>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sz w:val="24"/>
                <w:szCs w:val="24"/>
              </w:rPr>
            </w:pPr>
            <w:r>
              <w:rPr>
                <w:rFonts w:ascii="宋体" w:hAnsi="宋体" w:eastAsia="宋体" w:cs="宋体"/>
                <w:b/>
                <w:kern w:val="0"/>
                <w:sz w:val="24"/>
                <w:szCs w:val="24"/>
              </w:rPr>
              <w:t>1</w:t>
            </w:r>
          </w:p>
        </w:tc>
        <w:tc>
          <w:tcPr>
            <w:tcW w:w="4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rPr>
              <w:t>福建漳平香寮森林康养融合基地</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新建</w:t>
            </w:r>
          </w:p>
        </w:tc>
        <w:tc>
          <w:tcPr>
            <w:tcW w:w="12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2000</w:t>
            </w:r>
          </w:p>
        </w:tc>
        <w:tc>
          <w:tcPr>
            <w:tcW w:w="48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sz w:val="24"/>
                <w:szCs w:val="24"/>
              </w:rPr>
            </w:pPr>
            <w:r>
              <w:rPr>
                <w:rFonts w:ascii="宋体" w:hAnsi="宋体" w:eastAsia="宋体" w:cs="宋体"/>
                <w:kern w:val="0"/>
                <w:sz w:val="24"/>
                <w:szCs w:val="24"/>
              </w:rPr>
              <w:t>中医药农业研究与推广、特色中草药的种植、利用中草药治未病研究、中医养生、香寮长寿村的发掘、生态康养、地方农特产品和矿泉水品牌</w:t>
            </w:r>
            <w:r>
              <w:rPr>
                <w:rFonts w:hint="eastAsia" w:ascii="宋体" w:hAnsi="宋体" w:eastAsia="宋体" w:cs="宋体"/>
                <w:kern w:val="0"/>
                <w:sz w:val="24"/>
                <w:szCs w:val="24"/>
              </w:rPr>
              <w:t>。</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6,000</w:t>
            </w:r>
          </w:p>
        </w:tc>
      </w:tr>
      <w:tr>
        <w:tblPrEx>
          <w:tblCellMar>
            <w:top w:w="0" w:type="dxa"/>
            <w:left w:w="0" w:type="dxa"/>
            <w:bottom w:w="0" w:type="dxa"/>
            <w:right w:w="0" w:type="dxa"/>
          </w:tblCellMar>
        </w:tblPrEx>
        <w:trPr>
          <w:trHeight w:val="407" w:hRule="atLeast"/>
        </w:trPr>
        <w:tc>
          <w:tcPr>
            <w:tcW w:w="14040"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b/>
                <w:sz w:val="24"/>
                <w:szCs w:val="24"/>
              </w:rPr>
            </w:pPr>
            <w:r>
              <w:rPr>
                <w:rFonts w:ascii="宋体" w:hAnsi="宋体" w:eastAsia="宋体" w:cs="宋体"/>
                <w:b/>
                <w:kern w:val="0"/>
                <w:sz w:val="24"/>
                <w:szCs w:val="24"/>
              </w:rPr>
              <w:t>（二）公共卫生服务卫生体系</w:t>
            </w:r>
          </w:p>
        </w:tc>
      </w:tr>
      <w:tr>
        <w:tblPrEx>
          <w:tblCellMar>
            <w:top w:w="0" w:type="dxa"/>
            <w:left w:w="0" w:type="dxa"/>
            <w:bottom w:w="0" w:type="dxa"/>
            <w:right w:w="0" w:type="dxa"/>
          </w:tblCellMar>
        </w:tblPrEx>
        <w:trPr>
          <w:trHeight w:val="377" w:hRule="atLeast"/>
        </w:trPr>
        <w:tc>
          <w:tcPr>
            <w:tcW w:w="14040"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b/>
                <w:sz w:val="24"/>
                <w:szCs w:val="24"/>
              </w:rPr>
            </w:pPr>
            <w:r>
              <w:rPr>
                <w:rFonts w:ascii="宋体" w:hAnsi="宋体" w:eastAsia="宋体" w:cs="宋体"/>
                <w:b/>
                <w:kern w:val="0"/>
                <w:sz w:val="24"/>
                <w:szCs w:val="24"/>
              </w:rPr>
              <w:t>1.疾病预防控制体系现代化</w:t>
            </w:r>
          </w:p>
        </w:tc>
      </w:tr>
      <w:tr>
        <w:tblPrEx>
          <w:tblCellMar>
            <w:top w:w="0" w:type="dxa"/>
            <w:left w:w="0" w:type="dxa"/>
            <w:bottom w:w="0" w:type="dxa"/>
            <w:right w:w="0" w:type="dxa"/>
          </w:tblCellMar>
        </w:tblPrEx>
        <w:trPr>
          <w:trHeight w:val="9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ascii="宋体" w:hAnsi="宋体" w:eastAsia="宋体" w:cs="宋体"/>
                <w:kern w:val="0"/>
                <w:sz w:val="24"/>
                <w:szCs w:val="24"/>
              </w:rPr>
              <w:t>2</w:t>
            </w:r>
          </w:p>
        </w:tc>
        <w:tc>
          <w:tcPr>
            <w:tcW w:w="4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sz w:val="24"/>
                <w:szCs w:val="24"/>
              </w:rPr>
            </w:pPr>
            <w:r>
              <w:rPr>
                <w:rFonts w:hint="eastAsia" w:ascii="宋体" w:hAnsi="宋体" w:eastAsia="宋体" w:cs="宋体"/>
                <w:kern w:val="0"/>
                <w:sz w:val="24"/>
                <w:szCs w:val="24"/>
              </w:rPr>
              <w:t>漳平市疾病预防控制中心实验室能力提升项目</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改扩建</w:t>
            </w:r>
          </w:p>
        </w:tc>
        <w:tc>
          <w:tcPr>
            <w:tcW w:w="12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2000</w:t>
            </w:r>
          </w:p>
        </w:tc>
        <w:tc>
          <w:tcPr>
            <w:tcW w:w="48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sz w:val="24"/>
                <w:szCs w:val="24"/>
              </w:rPr>
            </w:pPr>
            <w:r>
              <w:rPr>
                <w:rFonts w:ascii="宋体" w:hAnsi="宋体" w:eastAsia="宋体" w:cs="宋体"/>
                <w:kern w:val="0"/>
                <w:sz w:val="24"/>
                <w:szCs w:val="24"/>
              </w:rPr>
              <w:t>1.疾控中心实验室改造提升，建设P2实验室，其中重点对病毒核酸实验室进行负压系统升级改造，改造面积2000平方米；</w:t>
            </w:r>
            <w:r>
              <w:rPr>
                <w:rFonts w:ascii="宋体" w:hAnsi="宋体" w:eastAsia="宋体" w:cs="宋体"/>
                <w:kern w:val="0"/>
                <w:sz w:val="24"/>
                <w:szCs w:val="24"/>
              </w:rPr>
              <w:br w:type="textWrapping"/>
            </w:r>
            <w:r>
              <w:rPr>
                <w:rFonts w:ascii="宋体" w:hAnsi="宋体" w:eastAsia="宋体" w:cs="宋体"/>
                <w:kern w:val="0"/>
                <w:sz w:val="24"/>
                <w:szCs w:val="24"/>
              </w:rPr>
              <w:t>2.相关检测仪器设备购置。</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1,000</w:t>
            </w:r>
          </w:p>
        </w:tc>
      </w:tr>
      <w:tr>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4"/>
                <w:szCs w:val="24"/>
              </w:rPr>
            </w:pPr>
            <w:r>
              <w:rPr>
                <w:rFonts w:ascii="宋体" w:hAnsi="宋体" w:eastAsia="宋体" w:cs="宋体"/>
                <w:kern w:val="0"/>
                <w:sz w:val="24"/>
                <w:szCs w:val="24"/>
              </w:rPr>
              <w:t>3</w:t>
            </w:r>
          </w:p>
        </w:tc>
        <w:tc>
          <w:tcPr>
            <w:tcW w:w="4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kern w:val="0"/>
                <w:sz w:val="24"/>
                <w:szCs w:val="24"/>
              </w:rPr>
            </w:pPr>
            <w:r>
              <w:rPr>
                <w:rFonts w:hint="eastAsia" w:ascii="宋体" w:hAnsi="宋体" w:eastAsia="宋体" w:cs="宋体"/>
                <w:kern w:val="0"/>
                <w:sz w:val="24"/>
                <w:szCs w:val="24"/>
              </w:rPr>
              <w:t>漳平市疾病预防控制中心食品检测实验室建设项目</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改扩建</w:t>
            </w:r>
          </w:p>
        </w:tc>
        <w:tc>
          <w:tcPr>
            <w:tcW w:w="12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48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kern w:val="0"/>
                <w:sz w:val="24"/>
                <w:szCs w:val="24"/>
              </w:rPr>
            </w:pPr>
            <w:r>
              <w:rPr>
                <w:rFonts w:ascii="宋体" w:hAnsi="宋体" w:eastAsia="宋体" w:cs="宋体"/>
                <w:kern w:val="0"/>
                <w:sz w:val="24"/>
                <w:szCs w:val="24"/>
              </w:rPr>
              <w:t>总建筑面积1000平方米，设置标准的食品检测实验室及配套设备</w:t>
            </w:r>
            <w:r>
              <w:rPr>
                <w:rFonts w:hint="eastAsia" w:ascii="宋体" w:hAnsi="宋体" w:eastAsia="宋体" w:cs="宋体"/>
                <w:kern w:val="0"/>
                <w:sz w:val="24"/>
                <w:szCs w:val="24"/>
              </w:rPr>
              <w:t>。</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1,000</w:t>
            </w:r>
          </w:p>
        </w:tc>
      </w:tr>
      <w:tr>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4"/>
                <w:szCs w:val="24"/>
              </w:rPr>
            </w:pPr>
            <w:r>
              <w:rPr>
                <w:rFonts w:ascii="宋体" w:hAnsi="宋体" w:eastAsia="宋体" w:cs="宋体"/>
                <w:kern w:val="0"/>
                <w:sz w:val="24"/>
                <w:szCs w:val="24"/>
              </w:rPr>
              <w:t>4</w:t>
            </w:r>
          </w:p>
        </w:tc>
        <w:tc>
          <w:tcPr>
            <w:tcW w:w="4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kern w:val="0"/>
                <w:sz w:val="24"/>
                <w:szCs w:val="24"/>
              </w:rPr>
            </w:pPr>
            <w:r>
              <w:rPr>
                <w:rFonts w:hint="eastAsia" w:ascii="宋体" w:hAnsi="宋体" w:eastAsia="宋体" w:cs="宋体"/>
                <w:kern w:val="0"/>
                <w:sz w:val="24"/>
                <w:szCs w:val="24"/>
              </w:rPr>
              <w:t>疾控中心环境改造项目</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改造</w:t>
            </w:r>
          </w:p>
        </w:tc>
        <w:tc>
          <w:tcPr>
            <w:tcW w:w="12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48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kern w:val="0"/>
                <w:sz w:val="24"/>
                <w:szCs w:val="24"/>
              </w:rPr>
            </w:pPr>
            <w:r>
              <w:rPr>
                <w:rFonts w:ascii="宋体" w:hAnsi="宋体" w:eastAsia="宋体" w:cs="宋体"/>
                <w:kern w:val="0"/>
                <w:sz w:val="24"/>
                <w:szCs w:val="24"/>
              </w:rPr>
              <w:t>实验室污水处理系统建设、中心环境绿化、交通路面的配套设施建设</w:t>
            </w:r>
            <w:r>
              <w:rPr>
                <w:rFonts w:hint="eastAsia" w:ascii="宋体" w:hAnsi="宋体" w:eastAsia="宋体" w:cs="宋体"/>
                <w:kern w:val="0"/>
                <w:sz w:val="24"/>
                <w:szCs w:val="24"/>
              </w:rPr>
              <w:t>。</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2,000</w:t>
            </w:r>
          </w:p>
        </w:tc>
      </w:tr>
      <w:tr>
        <w:tblPrEx>
          <w:tblCellMar>
            <w:top w:w="0" w:type="dxa"/>
            <w:left w:w="0" w:type="dxa"/>
            <w:bottom w:w="0" w:type="dxa"/>
            <w:right w:w="0" w:type="dxa"/>
          </w:tblCellMar>
        </w:tblPrEx>
        <w:trPr>
          <w:trHeight w:val="719" w:hRule="atLeast"/>
        </w:trPr>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4"/>
                <w:szCs w:val="24"/>
              </w:rPr>
            </w:pPr>
            <w:r>
              <w:rPr>
                <w:rFonts w:ascii="宋体" w:hAnsi="宋体" w:eastAsia="宋体" w:cs="宋体"/>
                <w:kern w:val="0"/>
                <w:sz w:val="24"/>
                <w:szCs w:val="24"/>
              </w:rPr>
              <w:t>5</w:t>
            </w:r>
          </w:p>
        </w:tc>
        <w:tc>
          <w:tcPr>
            <w:tcW w:w="4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kern w:val="0"/>
                <w:sz w:val="24"/>
                <w:szCs w:val="24"/>
              </w:rPr>
            </w:pPr>
            <w:r>
              <w:rPr>
                <w:rFonts w:hint="eastAsia" w:ascii="宋体" w:hAnsi="宋体" w:eastAsia="宋体" w:cs="宋体"/>
                <w:kern w:val="0"/>
                <w:sz w:val="24"/>
                <w:szCs w:val="24"/>
              </w:rPr>
              <w:t>疾控中心职业病危害因素检测中心项目</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新建</w:t>
            </w:r>
          </w:p>
        </w:tc>
        <w:tc>
          <w:tcPr>
            <w:tcW w:w="12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48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kern w:val="0"/>
                <w:sz w:val="24"/>
                <w:szCs w:val="24"/>
              </w:rPr>
            </w:pPr>
            <w:r>
              <w:rPr>
                <w:rFonts w:ascii="宋体" w:hAnsi="宋体" w:eastAsia="宋体" w:cs="宋体"/>
                <w:kern w:val="0"/>
                <w:sz w:val="24"/>
                <w:szCs w:val="24"/>
              </w:rPr>
              <w:t>建设面积1000平方米，设置标准职业病危害因素认定实验室、评定中心、药品存放室等</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2,500</w:t>
            </w:r>
          </w:p>
        </w:tc>
      </w:tr>
      <w:tr>
        <w:tblPrEx>
          <w:tblCellMar>
            <w:top w:w="0" w:type="dxa"/>
            <w:left w:w="0" w:type="dxa"/>
            <w:bottom w:w="0" w:type="dxa"/>
            <w:right w:w="0" w:type="dxa"/>
          </w:tblCellMar>
        </w:tblPrEx>
        <w:trPr>
          <w:trHeight w:val="719" w:hRule="atLeast"/>
        </w:trPr>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4"/>
                <w:szCs w:val="24"/>
              </w:rPr>
            </w:pPr>
            <w:r>
              <w:rPr>
                <w:rFonts w:ascii="宋体" w:hAnsi="宋体" w:eastAsia="宋体" w:cs="宋体"/>
                <w:kern w:val="0"/>
                <w:sz w:val="24"/>
                <w:szCs w:val="24"/>
              </w:rPr>
              <w:t>6</w:t>
            </w:r>
          </w:p>
        </w:tc>
        <w:tc>
          <w:tcPr>
            <w:tcW w:w="4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kern w:val="0"/>
                <w:sz w:val="24"/>
                <w:szCs w:val="24"/>
              </w:rPr>
            </w:pPr>
            <w:r>
              <w:rPr>
                <w:rFonts w:hint="eastAsia" w:ascii="宋体" w:hAnsi="宋体" w:eastAsia="宋体" w:cs="宋体"/>
                <w:kern w:val="0"/>
                <w:sz w:val="24"/>
                <w:szCs w:val="24"/>
              </w:rPr>
              <w:t>预防接种质量提升和标准化建设</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改建</w:t>
            </w:r>
          </w:p>
        </w:tc>
        <w:tc>
          <w:tcPr>
            <w:tcW w:w="12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48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kern w:val="0"/>
                <w:sz w:val="24"/>
                <w:szCs w:val="24"/>
              </w:rPr>
            </w:pPr>
            <w:r>
              <w:rPr>
                <w:rFonts w:ascii="宋体" w:hAnsi="宋体" w:eastAsia="宋体" w:cs="宋体"/>
                <w:kern w:val="0"/>
                <w:sz w:val="24"/>
                <w:szCs w:val="24"/>
              </w:rPr>
              <w:t>改造面积500平方米，药品冷链管理提升建设，预防接种场所改造提升</w:t>
            </w:r>
            <w:r>
              <w:rPr>
                <w:rFonts w:hint="eastAsia" w:ascii="宋体" w:hAnsi="宋体" w:eastAsia="宋体" w:cs="宋体"/>
                <w:kern w:val="0"/>
                <w:sz w:val="24"/>
                <w:szCs w:val="24"/>
              </w:rPr>
              <w:t>。</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1,000</w:t>
            </w:r>
          </w:p>
        </w:tc>
      </w:tr>
      <w:tr>
        <w:tblPrEx>
          <w:tblCellMar>
            <w:top w:w="0" w:type="dxa"/>
            <w:left w:w="0" w:type="dxa"/>
            <w:bottom w:w="0" w:type="dxa"/>
            <w:right w:w="0" w:type="dxa"/>
          </w:tblCellMar>
        </w:tblPrEx>
        <w:trPr>
          <w:trHeight w:val="849" w:hRule="atLeast"/>
        </w:trPr>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4"/>
                <w:szCs w:val="24"/>
              </w:rPr>
            </w:pPr>
            <w:r>
              <w:rPr>
                <w:rFonts w:ascii="宋体" w:hAnsi="宋体" w:eastAsia="宋体" w:cs="宋体"/>
                <w:kern w:val="0"/>
                <w:sz w:val="24"/>
                <w:szCs w:val="24"/>
              </w:rPr>
              <w:t>7</w:t>
            </w:r>
          </w:p>
        </w:tc>
        <w:tc>
          <w:tcPr>
            <w:tcW w:w="4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kern w:val="0"/>
                <w:sz w:val="24"/>
                <w:szCs w:val="24"/>
              </w:rPr>
            </w:pPr>
            <w:r>
              <w:rPr>
                <w:rFonts w:hint="eastAsia" w:ascii="宋体" w:hAnsi="宋体" w:eastAsia="宋体" w:cs="宋体"/>
                <w:kern w:val="0"/>
                <w:sz w:val="24"/>
                <w:szCs w:val="24"/>
              </w:rPr>
              <w:t>公共卫生医师规范化培训基地</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新建</w:t>
            </w:r>
          </w:p>
        </w:tc>
        <w:tc>
          <w:tcPr>
            <w:tcW w:w="12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48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kern w:val="0"/>
                <w:sz w:val="24"/>
                <w:szCs w:val="24"/>
              </w:rPr>
            </w:pPr>
            <w:r>
              <w:rPr>
                <w:rFonts w:ascii="宋体" w:hAnsi="宋体" w:eastAsia="宋体" w:cs="宋体"/>
                <w:kern w:val="0"/>
                <w:sz w:val="24"/>
                <w:szCs w:val="24"/>
              </w:rPr>
              <w:t>建设教学中心，实训基地，研究和应用中心，生活区，规划床位100张</w:t>
            </w:r>
            <w:r>
              <w:rPr>
                <w:rFonts w:hint="eastAsia" w:ascii="宋体" w:hAnsi="宋体" w:eastAsia="宋体" w:cs="宋体"/>
                <w:kern w:val="0"/>
                <w:sz w:val="24"/>
                <w:szCs w:val="24"/>
              </w:rPr>
              <w:t>。</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5,000</w:t>
            </w:r>
          </w:p>
        </w:tc>
      </w:tr>
      <w:tr>
        <w:tblPrEx>
          <w:tblCellMar>
            <w:top w:w="0" w:type="dxa"/>
            <w:left w:w="0" w:type="dxa"/>
            <w:bottom w:w="0" w:type="dxa"/>
            <w:right w:w="0" w:type="dxa"/>
          </w:tblCellMar>
        </w:tblPrEx>
        <w:trPr>
          <w:trHeight w:val="240" w:hRule="atLeast"/>
        </w:trPr>
        <w:tc>
          <w:tcPr>
            <w:tcW w:w="14040"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b/>
                <w:sz w:val="24"/>
                <w:szCs w:val="24"/>
              </w:rPr>
            </w:pPr>
            <w:r>
              <w:rPr>
                <w:rFonts w:ascii="宋体" w:hAnsi="宋体" w:eastAsia="宋体" w:cs="宋体"/>
                <w:b/>
                <w:kern w:val="0"/>
                <w:sz w:val="24"/>
                <w:szCs w:val="24"/>
              </w:rPr>
              <w:t>2.公共卫生中心建设</w:t>
            </w:r>
          </w:p>
        </w:tc>
      </w:tr>
      <w:tr>
        <w:tblPrEx>
          <w:tblCellMar>
            <w:top w:w="0" w:type="dxa"/>
            <w:left w:w="0" w:type="dxa"/>
            <w:bottom w:w="0" w:type="dxa"/>
            <w:right w:w="0" w:type="dxa"/>
          </w:tblCellMar>
        </w:tblPrEx>
        <w:trPr>
          <w:trHeight w:val="1125" w:hRule="atLeast"/>
        </w:trPr>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sz w:val="24"/>
                <w:szCs w:val="24"/>
              </w:rPr>
            </w:pPr>
            <w:r>
              <w:rPr>
                <w:rFonts w:ascii="宋体" w:hAnsi="宋体" w:eastAsia="宋体" w:cs="宋体"/>
                <w:b/>
                <w:kern w:val="0"/>
                <w:sz w:val="24"/>
                <w:szCs w:val="24"/>
              </w:rPr>
              <w:t>8</w:t>
            </w:r>
          </w:p>
        </w:tc>
        <w:tc>
          <w:tcPr>
            <w:tcW w:w="4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kern w:val="0"/>
                <w:sz w:val="24"/>
                <w:szCs w:val="24"/>
              </w:rPr>
            </w:pPr>
            <w:r>
              <w:rPr>
                <w:rFonts w:hint="eastAsia" w:ascii="宋体" w:hAnsi="宋体" w:eastAsia="宋体" w:cs="宋体"/>
                <w:kern w:val="0"/>
                <w:sz w:val="24"/>
                <w:szCs w:val="24"/>
              </w:rPr>
              <w:t>漳平市传染病密切接触者集中医疗观察点建设项目</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新建</w:t>
            </w:r>
          </w:p>
        </w:tc>
        <w:tc>
          <w:tcPr>
            <w:tcW w:w="12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5000</w:t>
            </w:r>
          </w:p>
        </w:tc>
        <w:tc>
          <w:tcPr>
            <w:tcW w:w="48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kern w:val="0"/>
                <w:sz w:val="24"/>
                <w:szCs w:val="24"/>
              </w:rPr>
            </w:pPr>
            <w:r>
              <w:rPr>
                <w:rFonts w:ascii="宋体" w:hAnsi="宋体" w:eastAsia="宋体" w:cs="宋体"/>
                <w:kern w:val="0"/>
                <w:sz w:val="24"/>
                <w:szCs w:val="24"/>
              </w:rPr>
              <w:t>1.总建设面积5000平方米，按照传染病密切接触者集中医学观察用房标准要求，建设集医学留观功能（含单人单间住宿、饮食配送服务、日常医学监测）于一体的功能；建设应急物质储备库500平方米等设施。</w:t>
            </w:r>
            <w:r>
              <w:rPr>
                <w:rFonts w:ascii="宋体" w:hAnsi="宋体" w:eastAsia="宋体" w:cs="宋体"/>
                <w:kern w:val="0"/>
                <w:sz w:val="24"/>
                <w:szCs w:val="24"/>
              </w:rPr>
              <w:br w:type="textWrapping"/>
            </w:r>
            <w:r>
              <w:rPr>
                <w:rFonts w:ascii="宋体" w:hAnsi="宋体" w:eastAsia="宋体" w:cs="宋体"/>
                <w:kern w:val="0"/>
                <w:sz w:val="24"/>
                <w:szCs w:val="24"/>
              </w:rPr>
              <w:t>2.附属设施如废物、废水集中无危害化处理等。</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5,000</w:t>
            </w:r>
          </w:p>
        </w:tc>
      </w:tr>
      <w:tr>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sz w:val="24"/>
                <w:szCs w:val="24"/>
              </w:rPr>
            </w:pPr>
            <w:r>
              <w:rPr>
                <w:rFonts w:ascii="宋体" w:hAnsi="宋体" w:eastAsia="宋体" w:cs="宋体"/>
                <w:b/>
                <w:kern w:val="0"/>
                <w:sz w:val="24"/>
                <w:szCs w:val="24"/>
              </w:rPr>
              <w:t>9</w:t>
            </w:r>
          </w:p>
        </w:tc>
        <w:tc>
          <w:tcPr>
            <w:tcW w:w="4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kern w:val="0"/>
                <w:sz w:val="24"/>
                <w:szCs w:val="24"/>
              </w:rPr>
            </w:pPr>
            <w:r>
              <w:rPr>
                <w:rFonts w:hint="eastAsia" w:ascii="宋体" w:hAnsi="宋体" w:eastAsia="宋体" w:cs="宋体"/>
                <w:kern w:val="0"/>
                <w:sz w:val="24"/>
                <w:szCs w:val="24"/>
              </w:rPr>
              <w:t>漳平市总医院传染病房改扩建工程项目</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改扩建</w:t>
            </w:r>
          </w:p>
        </w:tc>
        <w:tc>
          <w:tcPr>
            <w:tcW w:w="12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3000</w:t>
            </w:r>
          </w:p>
        </w:tc>
        <w:tc>
          <w:tcPr>
            <w:tcW w:w="48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kern w:val="0"/>
                <w:sz w:val="24"/>
                <w:szCs w:val="24"/>
              </w:rPr>
            </w:pPr>
            <w:r>
              <w:rPr>
                <w:rFonts w:ascii="宋体" w:hAnsi="宋体" w:eastAsia="宋体" w:cs="宋体"/>
                <w:kern w:val="0"/>
                <w:sz w:val="24"/>
                <w:szCs w:val="24"/>
              </w:rPr>
              <w:t>新建建筑面积3000平方米，增设负压病房20间及病房专用标准设备。建成后传染病床位　达100张。</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1,200</w:t>
            </w:r>
          </w:p>
        </w:tc>
      </w:tr>
      <w:tr>
        <w:tblPrEx>
          <w:tblCellMar>
            <w:top w:w="0" w:type="dxa"/>
            <w:left w:w="0" w:type="dxa"/>
            <w:bottom w:w="0" w:type="dxa"/>
            <w:right w:w="0" w:type="dxa"/>
          </w:tblCellMar>
        </w:tblPrEx>
        <w:trPr>
          <w:trHeight w:val="9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sz w:val="24"/>
                <w:szCs w:val="24"/>
              </w:rPr>
            </w:pPr>
            <w:r>
              <w:rPr>
                <w:rFonts w:ascii="宋体" w:hAnsi="宋体" w:eastAsia="宋体" w:cs="宋体"/>
                <w:b/>
                <w:kern w:val="0"/>
                <w:sz w:val="24"/>
                <w:szCs w:val="24"/>
              </w:rPr>
              <w:t>10</w:t>
            </w:r>
          </w:p>
        </w:tc>
        <w:tc>
          <w:tcPr>
            <w:tcW w:w="4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kern w:val="0"/>
                <w:sz w:val="24"/>
                <w:szCs w:val="24"/>
              </w:rPr>
            </w:pPr>
            <w:r>
              <w:rPr>
                <w:rFonts w:hint="eastAsia" w:ascii="宋体" w:hAnsi="宋体" w:eastAsia="宋体" w:cs="宋体"/>
                <w:kern w:val="0"/>
                <w:sz w:val="24"/>
                <w:szCs w:val="24"/>
              </w:rPr>
              <w:t>福建省卫生应急物资闽西南储备库建设项目</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新建</w:t>
            </w:r>
          </w:p>
        </w:tc>
        <w:tc>
          <w:tcPr>
            <w:tcW w:w="12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48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kern w:val="0"/>
                <w:sz w:val="24"/>
                <w:szCs w:val="24"/>
              </w:rPr>
            </w:pPr>
            <w:r>
              <w:rPr>
                <w:rFonts w:ascii="宋体" w:hAnsi="宋体" w:eastAsia="宋体" w:cs="宋体"/>
                <w:kern w:val="0"/>
                <w:sz w:val="24"/>
                <w:szCs w:val="24"/>
              </w:rPr>
              <w:t>规划建设用地30亩，建设面积10000平方米。设置医疗救援药品库、传染病控制物资库、中毒处置物资库、核与放射类处置物资库等业务用房，建设智能化物联网管理系统、人防工程、地下停车场，以及环境整治等附属设施。</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23,000</w:t>
            </w:r>
          </w:p>
        </w:tc>
      </w:tr>
      <w:tr>
        <w:tblPrEx>
          <w:tblCellMar>
            <w:top w:w="0" w:type="dxa"/>
            <w:left w:w="0" w:type="dxa"/>
            <w:bottom w:w="0" w:type="dxa"/>
            <w:right w:w="0" w:type="dxa"/>
          </w:tblCellMar>
        </w:tblPrEx>
        <w:trPr>
          <w:trHeight w:val="9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sz w:val="24"/>
                <w:szCs w:val="24"/>
              </w:rPr>
            </w:pPr>
            <w:r>
              <w:rPr>
                <w:rFonts w:ascii="宋体" w:hAnsi="宋体" w:eastAsia="宋体" w:cs="宋体"/>
                <w:b/>
                <w:kern w:val="0"/>
                <w:sz w:val="24"/>
                <w:szCs w:val="24"/>
              </w:rPr>
              <w:t>11</w:t>
            </w:r>
          </w:p>
        </w:tc>
        <w:tc>
          <w:tcPr>
            <w:tcW w:w="4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kern w:val="0"/>
                <w:sz w:val="24"/>
                <w:szCs w:val="24"/>
              </w:rPr>
            </w:pPr>
            <w:r>
              <w:rPr>
                <w:rFonts w:hint="eastAsia" w:ascii="宋体" w:hAnsi="宋体" w:eastAsia="宋体" w:cs="宋体"/>
                <w:kern w:val="0"/>
                <w:sz w:val="24"/>
                <w:szCs w:val="24"/>
              </w:rPr>
              <w:t>漳平市方舱医院</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改扩建</w:t>
            </w:r>
          </w:p>
        </w:tc>
        <w:tc>
          <w:tcPr>
            <w:tcW w:w="12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7400</w:t>
            </w:r>
          </w:p>
        </w:tc>
        <w:tc>
          <w:tcPr>
            <w:tcW w:w="48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kern w:val="0"/>
                <w:sz w:val="24"/>
                <w:szCs w:val="24"/>
              </w:rPr>
            </w:pPr>
            <w:r>
              <w:rPr>
                <w:rFonts w:ascii="宋体" w:hAnsi="宋体" w:eastAsia="宋体" w:cs="宋体"/>
                <w:kern w:val="0"/>
                <w:sz w:val="24"/>
                <w:szCs w:val="24"/>
              </w:rPr>
              <w:t>利用漳平体育馆约7400平方米的运动场所改造成420张床位的方舱医院(每个区42张床位)。完善场地设置、通风系统、后勤保障设施、预留管道、信息接口、空间改造、医疗废物废水处置设施、医用电梯、隔离设施等。</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5,000</w:t>
            </w:r>
          </w:p>
        </w:tc>
      </w:tr>
      <w:tr>
        <w:tblPrEx>
          <w:tblCellMar>
            <w:top w:w="0" w:type="dxa"/>
            <w:left w:w="0" w:type="dxa"/>
            <w:bottom w:w="0" w:type="dxa"/>
            <w:right w:w="0" w:type="dxa"/>
          </w:tblCellMar>
        </w:tblPrEx>
        <w:trPr>
          <w:trHeight w:val="270" w:hRule="atLeast"/>
        </w:trPr>
        <w:tc>
          <w:tcPr>
            <w:tcW w:w="14040"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b/>
                <w:sz w:val="24"/>
                <w:szCs w:val="24"/>
              </w:rPr>
            </w:pPr>
            <w:r>
              <w:rPr>
                <w:rFonts w:ascii="宋体" w:hAnsi="宋体" w:eastAsia="宋体" w:cs="宋体"/>
                <w:b/>
                <w:kern w:val="0"/>
                <w:sz w:val="24"/>
                <w:szCs w:val="24"/>
              </w:rPr>
              <w:t>3.紧急医学救治能力</w:t>
            </w:r>
          </w:p>
        </w:tc>
      </w:tr>
      <w:tr>
        <w:trPr>
          <w:trHeight w:val="675" w:hRule="atLeast"/>
        </w:trPr>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ascii="宋体" w:hAnsi="宋体" w:eastAsia="宋体" w:cs="宋体"/>
                <w:kern w:val="0"/>
                <w:sz w:val="24"/>
                <w:szCs w:val="24"/>
              </w:rPr>
              <w:t>12</w:t>
            </w:r>
          </w:p>
        </w:tc>
        <w:tc>
          <w:tcPr>
            <w:tcW w:w="4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rPr>
              <w:t>漳平市总医院西园分院创伤医学分中心</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新建</w:t>
            </w:r>
          </w:p>
        </w:tc>
        <w:tc>
          <w:tcPr>
            <w:tcW w:w="12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10000</w:t>
            </w:r>
          </w:p>
        </w:tc>
        <w:tc>
          <w:tcPr>
            <w:tcW w:w="48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sz w:val="24"/>
                <w:szCs w:val="24"/>
              </w:rPr>
            </w:pPr>
            <w:r>
              <w:rPr>
                <w:rFonts w:ascii="宋体" w:hAnsi="宋体" w:eastAsia="宋体" w:cs="宋体"/>
                <w:kern w:val="0"/>
                <w:sz w:val="24"/>
                <w:szCs w:val="24"/>
              </w:rPr>
              <w:t>总建筑面积10000㎡；建设门急诊楼、医技楼、病房楼、发热门诊及应急处理综合楼，设置烧伤科、创伤科、急诊CT、拍片室、超声室，以及附属配套设施。</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10,000</w:t>
            </w:r>
          </w:p>
        </w:tc>
      </w:tr>
      <w:tr>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4"/>
                <w:szCs w:val="24"/>
              </w:rPr>
            </w:pPr>
            <w:r>
              <w:rPr>
                <w:rFonts w:ascii="宋体" w:hAnsi="宋体" w:eastAsia="宋体" w:cs="宋体"/>
                <w:kern w:val="0"/>
                <w:sz w:val="24"/>
                <w:szCs w:val="24"/>
              </w:rPr>
              <w:t>13</w:t>
            </w:r>
          </w:p>
        </w:tc>
        <w:tc>
          <w:tcPr>
            <w:tcW w:w="4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kern w:val="0"/>
                <w:sz w:val="24"/>
                <w:szCs w:val="24"/>
              </w:rPr>
            </w:pPr>
            <w:r>
              <w:rPr>
                <w:rFonts w:hint="eastAsia" w:ascii="宋体" w:hAnsi="宋体" w:eastAsia="宋体" w:cs="宋体"/>
                <w:kern w:val="0"/>
                <w:sz w:val="24"/>
                <w:szCs w:val="24"/>
              </w:rPr>
              <w:t>漳平市医院胸痛、脑卒中、创伤医学中心建设项目</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改扩建</w:t>
            </w:r>
          </w:p>
        </w:tc>
        <w:tc>
          <w:tcPr>
            <w:tcW w:w="12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48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kern w:val="0"/>
                <w:sz w:val="24"/>
                <w:szCs w:val="24"/>
              </w:rPr>
            </w:pPr>
            <w:r>
              <w:rPr>
                <w:rFonts w:ascii="宋体" w:hAnsi="宋体" w:eastAsia="宋体" w:cs="宋体"/>
                <w:kern w:val="0"/>
                <w:sz w:val="24"/>
                <w:szCs w:val="24"/>
              </w:rPr>
              <w:t>总建筑面积4000㎡；建设县域急诊120调度平台、急诊杂交手术室，增置DSA一台、心脏彩超机一台，B类救护车一部</w:t>
            </w:r>
            <w:r>
              <w:rPr>
                <w:rFonts w:hint="eastAsia" w:ascii="宋体" w:hAnsi="宋体" w:eastAsia="宋体" w:cs="宋体"/>
                <w:kern w:val="0"/>
                <w:sz w:val="24"/>
                <w:szCs w:val="24"/>
              </w:rPr>
              <w:t>。</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4,000</w:t>
            </w:r>
          </w:p>
        </w:tc>
      </w:tr>
      <w:tr>
        <w:tblPrEx>
          <w:tblCellMar>
            <w:top w:w="0" w:type="dxa"/>
            <w:left w:w="0" w:type="dxa"/>
            <w:bottom w:w="0" w:type="dxa"/>
            <w:right w:w="0" w:type="dxa"/>
          </w:tblCellMar>
        </w:tblPrEx>
        <w:trPr>
          <w:trHeight w:val="9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4"/>
                <w:szCs w:val="24"/>
              </w:rPr>
            </w:pPr>
            <w:r>
              <w:rPr>
                <w:rFonts w:ascii="宋体" w:hAnsi="宋体" w:eastAsia="宋体" w:cs="宋体"/>
                <w:kern w:val="0"/>
                <w:sz w:val="24"/>
                <w:szCs w:val="24"/>
              </w:rPr>
              <w:t>14</w:t>
            </w:r>
          </w:p>
        </w:tc>
        <w:tc>
          <w:tcPr>
            <w:tcW w:w="4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kern w:val="0"/>
                <w:sz w:val="24"/>
                <w:szCs w:val="24"/>
              </w:rPr>
            </w:pPr>
            <w:r>
              <w:rPr>
                <w:rFonts w:hint="eastAsia" w:ascii="宋体" w:hAnsi="宋体" w:eastAsia="宋体" w:cs="宋体"/>
                <w:kern w:val="0"/>
                <w:sz w:val="24"/>
                <w:szCs w:val="24"/>
              </w:rPr>
              <w:t>漳平市总医院溪南分院医疗救治站建设项目</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新建</w:t>
            </w:r>
          </w:p>
        </w:tc>
        <w:tc>
          <w:tcPr>
            <w:tcW w:w="12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48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kern w:val="0"/>
                <w:sz w:val="24"/>
                <w:szCs w:val="24"/>
              </w:rPr>
            </w:pPr>
            <w:r>
              <w:rPr>
                <w:rFonts w:ascii="宋体" w:hAnsi="宋体" w:eastAsia="宋体" w:cs="宋体"/>
                <w:kern w:val="0"/>
                <w:sz w:val="24"/>
                <w:szCs w:val="24"/>
              </w:rPr>
              <w:t>拟建漳平市总医院溪南分院（漳平市溪南中心卫生院）医疗救治站，规模1000平方米，规划设置急诊科、预检分诊、发热门诊、救护车停放、应急物资储备用房和辅助用房等组成。</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5,000</w:t>
            </w:r>
          </w:p>
        </w:tc>
      </w:tr>
      <w:tr>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4"/>
                <w:szCs w:val="24"/>
              </w:rPr>
            </w:pPr>
            <w:r>
              <w:rPr>
                <w:rFonts w:ascii="宋体" w:hAnsi="宋体" w:eastAsia="宋体" w:cs="宋体"/>
                <w:kern w:val="0"/>
                <w:sz w:val="24"/>
                <w:szCs w:val="24"/>
              </w:rPr>
              <w:t>15</w:t>
            </w:r>
          </w:p>
        </w:tc>
        <w:tc>
          <w:tcPr>
            <w:tcW w:w="4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kern w:val="0"/>
                <w:sz w:val="24"/>
                <w:szCs w:val="24"/>
              </w:rPr>
            </w:pPr>
            <w:r>
              <w:rPr>
                <w:rFonts w:hint="eastAsia" w:ascii="宋体" w:hAnsi="宋体" w:eastAsia="宋体" w:cs="宋体"/>
                <w:kern w:val="0"/>
                <w:sz w:val="24"/>
                <w:szCs w:val="24"/>
              </w:rPr>
              <w:t>漳平市总医院重症医学科建设项目</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新建</w:t>
            </w:r>
          </w:p>
        </w:tc>
        <w:tc>
          <w:tcPr>
            <w:tcW w:w="12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48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kern w:val="0"/>
                <w:sz w:val="24"/>
                <w:szCs w:val="24"/>
              </w:rPr>
            </w:pPr>
            <w:r>
              <w:rPr>
                <w:rFonts w:ascii="宋体" w:hAnsi="宋体" w:eastAsia="宋体" w:cs="宋体"/>
                <w:kern w:val="0"/>
                <w:sz w:val="24"/>
                <w:szCs w:val="24"/>
              </w:rPr>
              <w:t>新建面积1000㎡；配置呼吸机,8台，无创呼吸机2台、心脏起搏仪1台、纤维支气管镜及相关配套设备等。</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2,000</w:t>
            </w:r>
          </w:p>
        </w:tc>
      </w:tr>
      <w:tr>
        <w:trPr>
          <w:trHeight w:val="13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4"/>
                <w:szCs w:val="24"/>
              </w:rPr>
            </w:pPr>
            <w:r>
              <w:rPr>
                <w:rFonts w:ascii="宋体" w:hAnsi="宋体" w:eastAsia="宋体" w:cs="宋体"/>
                <w:kern w:val="0"/>
                <w:sz w:val="24"/>
                <w:szCs w:val="24"/>
              </w:rPr>
              <w:t>16</w:t>
            </w:r>
          </w:p>
        </w:tc>
        <w:tc>
          <w:tcPr>
            <w:tcW w:w="4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kern w:val="0"/>
                <w:sz w:val="24"/>
                <w:szCs w:val="24"/>
              </w:rPr>
            </w:pPr>
            <w:r>
              <w:rPr>
                <w:rFonts w:hint="eastAsia" w:ascii="宋体" w:hAnsi="宋体" w:eastAsia="宋体" w:cs="宋体"/>
                <w:kern w:val="0"/>
                <w:sz w:val="24"/>
                <w:szCs w:val="24"/>
              </w:rPr>
              <w:t>漳平市公共卫生应急医疗救助能力提升工程项目</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新建</w:t>
            </w:r>
          </w:p>
        </w:tc>
        <w:tc>
          <w:tcPr>
            <w:tcW w:w="12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30000</w:t>
            </w:r>
          </w:p>
        </w:tc>
        <w:tc>
          <w:tcPr>
            <w:tcW w:w="48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kern w:val="0"/>
                <w:sz w:val="24"/>
                <w:szCs w:val="24"/>
              </w:rPr>
            </w:pPr>
            <w:r>
              <w:rPr>
                <w:rFonts w:ascii="宋体" w:hAnsi="宋体" w:eastAsia="宋体" w:cs="宋体"/>
                <w:kern w:val="0"/>
                <w:sz w:val="24"/>
                <w:szCs w:val="24"/>
              </w:rPr>
              <w:t>新建面积30000㎡；对全市2个院区及16个乡镇卫生院标准化建设，完善传染病区、发热与留观区、PCR实验室建设以及乡镇卫生院公共卫生应急医疗救治能力建设，设置应急床位（平战两用）200张，负压病房20间，采购与公共卫生应急医疗救治相配套的诊疗设备，其中万元以上诊疗仪器100台（件）</w:t>
            </w:r>
            <w:r>
              <w:rPr>
                <w:rFonts w:hint="eastAsia" w:ascii="宋体" w:hAnsi="宋体" w:eastAsia="宋体" w:cs="宋体"/>
                <w:kern w:val="0"/>
                <w:sz w:val="24"/>
                <w:szCs w:val="24"/>
              </w:rPr>
              <w:t>。</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34,200</w:t>
            </w:r>
          </w:p>
        </w:tc>
      </w:tr>
      <w:tr>
        <w:tblPrEx>
          <w:tblCellMar>
            <w:top w:w="0" w:type="dxa"/>
            <w:left w:w="0" w:type="dxa"/>
            <w:bottom w:w="0" w:type="dxa"/>
            <w:right w:w="0" w:type="dxa"/>
          </w:tblCellMar>
        </w:tblPrEx>
        <w:trPr>
          <w:trHeight w:val="270" w:hRule="atLeast"/>
        </w:trPr>
        <w:tc>
          <w:tcPr>
            <w:tcW w:w="14040"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b/>
                <w:sz w:val="24"/>
                <w:szCs w:val="24"/>
              </w:rPr>
            </w:pPr>
            <w:r>
              <w:rPr>
                <w:rFonts w:ascii="宋体" w:hAnsi="宋体" w:eastAsia="宋体" w:cs="宋体"/>
                <w:b/>
                <w:kern w:val="0"/>
                <w:sz w:val="24"/>
                <w:szCs w:val="24"/>
              </w:rPr>
              <w:t>（三）医疗卫生机构高质量发展</w:t>
            </w:r>
          </w:p>
        </w:tc>
      </w:tr>
      <w:tr>
        <w:tblPrEx>
          <w:tblCellMar>
            <w:top w:w="0" w:type="dxa"/>
            <w:left w:w="0" w:type="dxa"/>
            <w:bottom w:w="0" w:type="dxa"/>
            <w:right w:w="0" w:type="dxa"/>
          </w:tblCellMar>
        </w:tblPrEx>
        <w:trPr>
          <w:trHeight w:val="270" w:hRule="atLeast"/>
        </w:trPr>
        <w:tc>
          <w:tcPr>
            <w:tcW w:w="14040"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b/>
                <w:sz w:val="24"/>
                <w:szCs w:val="24"/>
              </w:rPr>
            </w:pPr>
            <w:r>
              <w:rPr>
                <w:rFonts w:ascii="宋体" w:hAnsi="宋体" w:eastAsia="宋体" w:cs="宋体"/>
                <w:b/>
                <w:kern w:val="0"/>
                <w:sz w:val="24"/>
                <w:szCs w:val="24"/>
              </w:rPr>
              <w:t>1.县域综合服务能力</w:t>
            </w:r>
          </w:p>
        </w:tc>
      </w:tr>
      <w:tr>
        <w:tblPrEx>
          <w:tblCellMar>
            <w:top w:w="0" w:type="dxa"/>
            <w:left w:w="0" w:type="dxa"/>
            <w:bottom w:w="0" w:type="dxa"/>
            <w:right w:w="0" w:type="dxa"/>
          </w:tblCellMar>
        </w:tblPrEx>
        <w:trPr>
          <w:trHeight w:val="755" w:hRule="atLeast"/>
        </w:trPr>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ascii="宋体" w:hAnsi="宋体" w:eastAsia="宋体" w:cs="宋体"/>
                <w:kern w:val="0"/>
                <w:sz w:val="24"/>
                <w:szCs w:val="24"/>
              </w:rPr>
              <w:t>17</w:t>
            </w:r>
          </w:p>
        </w:tc>
        <w:tc>
          <w:tcPr>
            <w:tcW w:w="4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rPr>
              <w:t>漳平市总医院新桥分院（新桥中心卫生院）建设项目</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新建</w:t>
            </w:r>
          </w:p>
        </w:tc>
        <w:tc>
          <w:tcPr>
            <w:tcW w:w="12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15000</w:t>
            </w:r>
          </w:p>
        </w:tc>
        <w:tc>
          <w:tcPr>
            <w:tcW w:w="48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sz w:val="24"/>
                <w:szCs w:val="24"/>
              </w:rPr>
            </w:pPr>
            <w:r>
              <w:rPr>
                <w:rFonts w:ascii="宋体" w:hAnsi="宋体" w:eastAsia="宋体" w:cs="宋体"/>
                <w:kern w:val="0"/>
                <w:sz w:val="24"/>
                <w:szCs w:val="24"/>
              </w:rPr>
              <w:t>总建筑面积15000㎡；建设门诊楼、医技楼、病房楼、发热门诊及应急处理综合楼，医疗设备购置以及附属配套设施。</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15,000</w:t>
            </w:r>
          </w:p>
        </w:tc>
      </w:tr>
      <w:tr>
        <w:tblPrEx>
          <w:tblCellMar>
            <w:top w:w="0" w:type="dxa"/>
            <w:left w:w="0" w:type="dxa"/>
            <w:bottom w:w="0" w:type="dxa"/>
            <w:right w:w="0" w:type="dxa"/>
          </w:tblCellMar>
        </w:tblPrEx>
        <w:trPr>
          <w:trHeight w:val="785" w:hRule="atLeast"/>
        </w:trPr>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ascii="宋体" w:hAnsi="宋体" w:eastAsia="宋体" w:cs="宋体"/>
                <w:kern w:val="0"/>
                <w:sz w:val="24"/>
                <w:szCs w:val="24"/>
              </w:rPr>
              <w:t>18</w:t>
            </w:r>
          </w:p>
        </w:tc>
        <w:tc>
          <w:tcPr>
            <w:tcW w:w="4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rPr>
              <w:t>漳平市总医院溪南分院（溪南中心卫生院）建设项目</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新建</w:t>
            </w:r>
          </w:p>
        </w:tc>
        <w:tc>
          <w:tcPr>
            <w:tcW w:w="12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10000</w:t>
            </w:r>
          </w:p>
        </w:tc>
        <w:tc>
          <w:tcPr>
            <w:tcW w:w="48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sz w:val="24"/>
                <w:szCs w:val="24"/>
              </w:rPr>
            </w:pPr>
            <w:r>
              <w:rPr>
                <w:rFonts w:ascii="宋体" w:hAnsi="宋体" w:eastAsia="宋体" w:cs="宋体"/>
                <w:kern w:val="0"/>
                <w:sz w:val="24"/>
                <w:szCs w:val="24"/>
              </w:rPr>
              <w:t>总建筑面积10000平方米，建设门诊、医技病房综合楼、发热门诊及应急处理综合楼，医疗设备购置以及附属配套设施。</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12,000</w:t>
            </w:r>
          </w:p>
        </w:tc>
      </w:tr>
      <w:tr>
        <w:tblPrEx>
          <w:tblCellMar>
            <w:top w:w="0" w:type="dxa"/>
            <w:left w:w="0" w:type="dxa"/>
            <w:bottom w:w="0" w:type="dxa"/>
            <w:right w:w="0" w:type="dxa"/>
          </w:tblCellMar>
        </w:tblPrEx>
        <w:trPr>
          <w:trHeight w:val="815" w:hRule="atLeast"/>
        </w:trPr>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ascii="宋体" w:hAnsi="宋体" w:eastAsia="宋体" w:cs="宋体"/>
                <w:kern w:val="0"/>
                <w:sz w:val="24"/>
                <w:szCs w:val="24"/>
              </w:rPr>
              <w:t>19</w:t>
            </w:r>
          </w:p>
        </w:tc>
        <w:tc>
          <w:tcPr>
            <w:tcW w:w="4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rPr>
              <w:t>漳平市总医院永福分院（永福中心卫生院）整体迁建项目</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新建</w:t>
            </w:r>
          </w:p>
        </w:tc>
        <w:tc>
          <w:tcPr>
            <w:tcW w:w="12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25000</w:t>
            </w:r>
          </w:p>
        </w:tc>
        <w:tc>
          <w:tcPr>
            <w:tcW w:w="48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sz w:val="24"/>
                <w:szCs w:val="24"/>
              </w:rPr>
            </w:pPr>
            <w:r>
              <w:rPr>
                <w:rFonts w:ascii="宋体" w:hAnsi="宋体" w:eastAsia="宋体" w:cs="宋体"/>
                <w:kern w:val="0"/>
                <w:sz w:val="24"/>
                <w:szCs w:val="24"/>
              </w:rPr>
              <w:t>总建筑面积25000㎡；建设门诊楼、医技楼、病房楼、发热门诊及应急处理综合楼、医疗设备购置以及附属配套设施。</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20,000</w:t>
            </w:r>
          </w:p>
        </w:tc>
      </w:tr>
      <w:tr>
        <w:tblPrEx>
          <w:tblCellMar>
            <w:top w:w="0" w:type="dxa"/>
            <w:left w:w="0" w:type="dxa"/>
            <w:bottom w:w="0" w:type="dxa"/>
            <w:right w:w="0" w:type="dxa"/>
          </w:tblCellMar>
        </w:tblPrEx>
        <w:trPr>
          <w:trHeight w:val="1016" w:hRule="atLeast"/>
        </w:trPr>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ascii="宋体" w:hAnsi="宋体" w:eastAsia="宋体" w:cs="宋体"/>
                <w:kern w:val="0"/>
                <w:sz w:val="24"/>
                <w:szCs w:val="24"/>
              </w:rPr>
              <w:t>20</w:t>
            </w:r>
          </w:p>
        </w:tc>
        <w:tc>
          <w:tcPr>
            <w:tcW w:w="4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rPr>
              <w:t>漳平市总医院赤水分院（赤水卫生院）扩建项目</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改扩建</w:t>
            </w:r>
          </w:p>
        </w:tc>
        <w:tc>
          <w:tcPr>
            <w:tcW w:w="12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6000</w:t>
            </w:r>
          </w:p>
        </w:tc>
        <w:tc>
          <w:tcPr>
            <w:tcW w:w="48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sz w:val="24"/>
                <w:szCs w:val="24"/>
              </w:rPr>
            </w:pPr>
            <w:r>
              <w:rPr>
                <w:rFonts w:ascii="宋体" w:hAnsi="宋体" w:eastAsia="宋体" w:cs="宋体"/>
                <w:kern w:val="0"/>
                <w:sz w:val="24"/>
                <w:szCs w:val="24"/>
              </w:rPr>
              <w:t>总建筑面积6000平方米，建设门诊、医技病房综合楼、发热门诊、应急处理综合楼、精神卫生和心理健康服务用房、养老公寓，医疗设备购置及附属工程。</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4,000</w:t>
            </w:r>
          </w:p>
        </w:tc>
      </w:tr>
      <w:tr>
        <w:tblPrEx>
          <w:tblCellMar>
            <w:top w:w="0" w:type="dxa"/>
            <w:left w:w="0" w:type="dxa"/>
            <w:bottom w:w="0" w:type="dxa"/>
            <w:right w:w="0" w:type="dxa"/>
          </w:tblCellMar>
        </w:tblPrEx>
        <w:trPr>
          <w:trHeight w:val="749" w:hRule="atLeast"/>
        </w:trPr>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ascii="宋体" w:hAnsi="宋体" w:eastAsia="宋体" w:cs="宋体"/>
                <w:kern w:val="0"/>
                <w:sz w:val="24"/>
                <w:szCs w:val="24"/>
              </w:rPr>
              <w:t>21</w:t>
            </w:r>
          </w:p>
        </w:tc>
        <w:tc>
          <w:tcPr>
            <w:tcW w:w="4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rPr>
              <w:t>漳平市总医院象湖分院（象湖卫生院）建设项目</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新建</w:t>
            </w:r>
          </w:p>
        </w:tc>
        <w:tc>
          <w:tcPr>
            <w:tcW w:w="12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10000</w:t>
            </w:r>
          </w:p>
        </w:tc>
        <w:tc>
          <w:tcPr>
            <w:tcW w:w="48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sz w:val="24"/>
                <w:szCs w:val="24"/>
              </w:rPr>
            </w:pPr>
            <w:r>
              <w:rPr>
                <w:rFonts w:ascii="宋体" w:hAnsi="宋体" w:eastAsia="宋体" w:cs="宋体"/>
                <w:kern w:val="0"/>
                <w:sz w:val="24"/>
                <w:szCs w:val="24"/>
              </w:rPr>
              <w:t>建设门急诊综合楼、住院楼、公共卫生服务大楼、康复楼等，以及医疗废物废水处置、环境整治绿化等设施。</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8,000</w:t>
            </w:r>
          </w:p>
        </w:tc>
      </w:tr>
      <w:tr>
        <w:trPr>
          <w:trHeight w:val="785" w:hRule="atLeast"/>
        </w:trPr>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ascii="宋体" w:hAnsi="宋体" w:eastAsia="宋体" w:cs="宋体"/>
                <w:kern w:val="0"/>
                <w:sz w:val="24"/>
                <w:szCs w:val="24"/>
              </w:rPr>
              <w:t>22</w:t>
            </w:r>
          </w:p>
        </w:tc>
        <w:tc>
          <w:tcPr>
            <w:tcW w:w="4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rPr>
              <w:t>漳平市总医院体外核酸扩增技术（PCR)工程</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改扩建</w:t>
            </w:r>
          </w:p>
        </w:tc>
        <w:tc>
          <w:tcPr>
            <w:tcW w:w="12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2000</w:t>
            </w:r>
          </w:p>
        </w:tc>
        <w:tc>
          <w:tcPr>
            <w:tcW w:w="48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sz w:val="24"/>
                <w:szCs w:val="24"/>
              </w:rPr>
            </w:pPr>
            <w:r>
              <w:rPr>
                <w:rFonts w:ascii="宋体" w:hAnsi="宋体" w:eastAsia="宋体" w:cs="宋体"/>
                <w:kern w:val="0"/>
                <w:sz w:val="24"/>
                <w:szCs w:val="24"/>
              </w:rPr>
              <w:t>总建筑面积2000平方米，设置标准的PCR实验室及配套设备。</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1,500</w:t>
            </w:r>
          </w:p>
        </w:tc>
      </w:tr>
      <w:tr>
        <w:tblPrEx>
          <w:tblCellMar>
            <w:top w:w="0" w:type="dxa"/>
            <w:left w:w="0" w:type="dxa"/>
            <w:bottom w:w="0" w:type="dxa"/>
            <w:right w:w="0" w:type="dxa"/>
          </w:tblCellMar>
        </w:tblPrEx>
        <w:trPr>
          <w:trHeight w:val="13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ascii="宋体" w:hAnsi="宋体" w:eastAsia="宋体" w:cs="宋体"/>
                <w:kern w:val="0"/>
                <w:sz w:val="24"/>
                <w:szCs w:val="24"/>
              </w:rPr>
              <w:t>23</w:t>
            </w:r>
          </w:p>
        </w:tc>
        <w:tc>
          <w:tcPr>
            <w:tcW w:w="4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rPr>
              <w:t>漳平市基层发热门诊与生物安全建设项目</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改扩建</w:t>
            </w:r>
          </w:p>
        </w:tc>
        <w:tc>
          <w:tcPr>
            <w:tcW w:w="12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8000</w:t>
            </w:r>
          </w:p>
        </w:tc>
        <w:tc>
          <w:tcPr>
            <w:tcW w:w="48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sz w:val="24"/>
                <w:szCs w:val="24"/>
              </w:rPr>
            </w:pPr>
            <w:r>
              <w:rPr>
                <w:rFonts w:ascii="宋体" w:hAnsi="宋体" w:eastAsia="宋体" w:cs="宋体"/>
                <w:kern w:val="0"/>
                <w:sz w:val="24"/>
                <w:szCs w:val="24"/>
              </w:rPr>
              <w:t>1.完善基层医疗卫生机构的发热门诊、留观室以及突发公共卫生事件应急网络信息化建设；</w:t>
            </w:r>
            <w:r>
              <w:rPr>
                <w:rFonts w:ascii="宋体" w:hAnsi="宋体" w:eastAsia="宋体" w:cs="宋体"/>
                <w:kern w:val="0"/>
                <w:sz w:val="24"/>
                <w:szCs w:val="24"/>
              </w:rPr>
              <w:br w:type="textWrapping"/>
            </w:r>
            <w:r>
              <w:rPr>
                <w:rFonts w:ascii="宋体" w:hAnsi="宋体" w:eastAsia="宋体" w:cs="宋体"/>
                <w:kern w:val="0"/>
                <w:sz w:val="24"/>
                <w:szCs w:val="24"/>
              </w:rPr>
              <w:t>2.完善基层医疗卫生机构环境改造、医疗废物废水处理；</w:t>
            </w:r>
            <w:r>
              <w:rPr>
                <w:rFonts w:ascii="宋体" w:hAnsi="宋体" w:eastAsia="宋体" w:cs="宋体"/>
                <w:kern w:val="0"/>
                <w:sz w:val="24"/>
                <w:szCs w:val="24"/>
              </w:rPr>
              <w:br w:type="textWrapping"/>
            </w:r>
            <w:r>
              <w:rPr>
                <w:rFonts w:ascii="宋体" w:hAnsi="宋体" w:eastAsia="宋体" w:cs="宋体"/>
                <w:kern w:val="0"/>
                <w:sz w:val="24"/>
                <w:szCs w:val="24"/>
              </w:rPr>
              <w:t>3.厕所无障碍设施（含电梯、扶手、无障碍标识等）等建设。</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3,500</w:t>
            </w:r>
          </w:p>
        </w:tc>
      </w:tr>
      <w:tr>
        <w:tblPrEx>
          <w:tblCellMar>
            <w:top w:w="0" w:type="dxa"/>
            <w:left w:w="0" w:type="dxa"/>
            <w:bottom w:w="0" w:type="dxa"/>
            <w:right w:w="0" w:type="dxa"/>
          </w:tblCellMar>
        </w:tblPrEx>
        <w:trPr>
          <w:trHeight w:val="675" w:hRule="atLeast"/>
        </w:trPr>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ascii="宋体" w:hAnsi="宋体" w:eastAsia="宋体" w:cs="宋体"/>
                <w:kern w:val="0"/>
                <w:sz w:val="24"/>
                <w:szCs w:val="24"/>
              </w:rPr>
              <w:t>24</w:t>
            </w:r>
          </w:p>
        </w:tc>
        <w:tc>
          <w:tcPr>
            <w:tcW w:w="4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rPr>
              <w:t>漳平市医院智慧医院及后勤保障设施建设项目</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新建</w:t>
            </w:r>
          </w:p>
        </w:tc>
        <w:tc>
          <w:tcPr>
            <w:tcW w:w="12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3000</w:t>
            </w:r>
          </w:p>
        </w:tc>
        <w:tc>
          <w:tcPr>
            <w:tcW w:w="48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sz w:val="24"/>
                <w:szCs w:val="24"/>
              </w:rPr>
            </w:pPr>
            <w:r>
              <w:rPr>
                <w:rFonts w:ascii="宋体" w:hAnsi="宋体" w:eastAsia="宋体" w:cs="宋体"/>
                <w:kern w:val="0"/>
                <w:sz w:val="24"/>
                <w:szCs w:val="24"/>
              </w:rPr>
              <w:t>新建智能停车场、医疗废物管理房及管理系统、污水污物处理系统、物联网信息化系统设备建设。</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2,000</w:t>
            </w:r>
          </w:p>
        </w:tc>
      </w:tr>
      <w:tr>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ascii="宋体" w:hAnsi="宋体" w:eastAsia="宋体" w:cs="宋体"/>
                <w:kern w:val="0"/>
                <w:sz w:val="24"/>
                <w:szCs w:val="24"/>
              </w:rPr>
              <w:t>25</w:t>
            </w:r>
          </w:p>
        </w:tc>
        <w:tc>
          <w:tcPr>
            <w:tcW w:w="4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rPr>
              <w:t>漳平市总医院双洋分院项目建设</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新建</w:t>
            </w:r>
          </w:p>
        </w:tc>
        <w:tc>
          <w:tcPr>
            <w:tcW w:w="12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4000</w:t>
            </w:r>
          </w:p>
        </w:tc>
        <w:tc>
          <w:tcPr>
            <w:tcW w:w="48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sz w:val="24"/>
                <w:szCs w:val="24"/>
              </w:rPr>
            </w:pPr>
            <w:r>
              <w:rPr>
                <w:rFonts w:ascii="宋体" w:hAnsi="宋体" w:eastAsia="宋体" w:cs="宋体"/>
                <w:kern w:val="0"/>
                <w:sz w:val="24"/>
                <w:szCs w:val="24"/>
              </w:rPr>
              <w:t>新建业务用房及辅助设施，完善医疗废物废水处置和环境整治绿化等。</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3,000</w:t>
            </w:r>
          </w:p>
        </w:tc>
      </w:tr>
      <w:tr>
        <w:tblPrEx>
          <w:tblCellMar>
            <w:top w:w="0" w:type="dxa"/>
            <w:left w:w="0" w:type="dxa"/>
            <w:bottom w:w="0" w:type="dxa"/>
            <w:right w:w="0" w:type="dxa"/>
          </w:tblCellMar>
        </w:tblPrEx>
        <w:trPr>
          <w:trHeight w:val="270" w:hRule="atLeast"/>
        </w:trPr>
        <w:tc>
          <w:tcPr>
            <w:tcW w:w="14040"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b/>
                <w:sz w:val="24"/>
                <w:szCs w:val="24"/>
              </w:rPr>
            </w:pPr>
            <w:r>
              <w:rPr>
                <w:rFonts w:ascii="宋体" w:hAnsi="宋体" w:eastAsia="宋体" w:cs="宋体"/>
                <w:b/>
                <w:kern w:val="0"/>
                <w:sz w:val="24"/>
                <w:szCs w:val="24"/>
              </w:rPr>
              <w:t>（四）全生命周期健康保障</w:t>
            </w:r>
          </w:p>
        </w:tc>
      </w:tr>
      <w:tr>
        <w:tblPrEx>
          <w:tblCellMar>
            <w:top w:w="0" w:type="dxa"/>
            <w:left w:w="0" w:type="dxa"/>
            <w:bottom w:w="0" w:type="dxa"/>
            <w:right w:w="0" w:type="dxa"/>
          </w:tblCellMar>
        </w:tblPrEx>
        <w:trPr>
          <w:trHeight w:val="270" w:hRule="atLeast"/>
        </w:trPr>
        <w:tc>
          <w:tcPr>
            <w:tcW w:w="14040"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b/>
                <w:sz w:val="24"/>
                <w:szCs w:val="24"/>
              </w:rPr>
            </w:pPr>
            <w:r>
              <w:rPr>
                <w:rFonts w:ascii="宋体" w:hAnsi="宋体" w:eastAsia="宋体" w:cs="宋体"/>
                <w:b/>
                <w:kern w:val="0"/>
                <w:sz w:val="24"/>
                <w:szCs w:val="24"/>
              </w:rPr>
              <w:t>1.妇女儿童健康服务能力</w:t>
            </w:r>
          </w:p>
        </w:tc>
      </w:tr>
      <w:tr>
        <w:tblPrEx>
          <w:tblCellMar>
            <w:top w:w="0" w:type="dxa"/>
            <w:left w:w="0" w:type="dxa"/>
            <w:bottom w:w="0" w:type="dxa"/>
            <w:right w:w="0" w:type="dxa"/>
          </w:tblCellMar>
        </w:tblPrEx>
        <w:trPr>
          <w:trHeight w:val="960" w:hRule="atLeast"/>
        </w:trPr>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sz w:val="24"/>
                <w:szCs w:val="24"/>
              </w:rPr>
            </w:pPr>
            <w:r>
              <w:rPr>
                <w:rFonts w:ascii="宋体" w:hAnsi="宋体" w:eastAsia="宋体" w:cs="宋体"/>
                <w:b/>
                <w:kern w:val="0"/>
                <w:sz w:val="24"/>
                <w:szCs w:val="24"/>
              </w:rPr>
              <w:t>26</w:t>
            </w:r>
          </w:p>
        </w:tc>
        <w:tc>
          <w:tcPr>
            <w:tcW w:w="4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sz w:val="24"/>
                <w:szCs w:val="24"/>
              </w:rPr>
            </w:pPr>
            <w:r>
              <w:rPr>
                <w:rFonts w:ascii="宋体" w:hAnsi="宋体" w:eastAsia="宋体" w:cs="宋体"/>
                <w:kern w:val="0"/>
                <w:sz w:val="24"/>
                <w:szCs w:val="24"/>
              </w:rPr>
              <w:t>漳平市妇儿保服务能力提升工程</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ascii="宋体" w:hAnsi="宋体" w:eastAsia="宋体" w:cs="宋体"/>
                <w:kern w:val="0"/>
                <w:sz w:val="24"/>
                <w:szCs w:val="24"/>
              </w:rPr>
              <w:t>改扩建</w:t>
            </w:r>
          </w:p>
        </w:tc>
        <w:tc>
          <w:tcPr>
            <w:tcW w:w="12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ascii="宋体" w:hAnsi="宋体" w:eastAsia="宋体" w:cs="宋体"/>
                <w:kern w:val="0"/>
                <w:sz w:val="24"/>
                <w:szCs w:val="24"/>
              </w:rPr>
              <w:t>4200</w:t>
            </w:r>
          </w:p>
        </w:tc>
        <w:tc>
          <w:tcPr>
            <w:tcW w:w="48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sz w:val="24"/>
                <w:szCs w:val="24"/>
              </w:rPr>
            </w:pPr>
            <w:r>
              <w:rPr>
                <w:rFonts w:ascii="宋体" w:hAnsi="宋体" w:eastAsia="宋体" w:cs="宋体"/>
                <w:kern w:val="0"/>
                <w:sz w:val="24"/>
                <w:szCs w:val="24"/>
              </w:rPr>
              <w:t>1、妇幼保健院提升高危重孕产妇和新生儿救治、产前筛查、健康教育等服务和设备配置。</w:t>
            </w:r>
            <w:r>
              <w:rPr>
                <w:rFonts w:ascii="宋体" w:hAnsi="宋体" w:eastAsia="宋体" w:cs="宋体"/>
                <w:kern w:val="0"/>
                <w:sz w:val="24"/>
                <w:szCs w:val="24"/>
              </w:rPr>
              <w:br w:type="textWrapping"/>
            </w:r>
            <w:r>
              <w:rPr>
                <w:rFonts w:ascii="宋体" w:hAnsi="宋体" w:eastAsia="宋体" w:cs="宋体"/>
                <w:kern w:val="0"/>
                <w:sz w:val="24"/>
                <w:szCs w:val="24"/>
              </w:rPr>
              <w:t>2、建设基层医疗卫生机构妇保、儿保标准化规范化用房建设、母婴室及规范化预防接种门诊等。</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ascii="宋体" w:hAnsi="宋体" w:eastAsia="宋体" w:cs="宋体"/>
                <w:kern w:val="0"/>
                <w:sz w:val="24"/>
                <w:szCs w:val="24"/>
              </w:rPr>
              <w:t>6000</w:t>
            </w:r>
          </w:p>
        </w:tc>
      </w:tr>
      <w:tr>
        <w:tblPrEx>
          <w:tblCellMar>
            <w:top w:w="0" w:type="dxa"/>
            <w:left w:w="0" w:type="dxa"/>
            <w:bottom w:w="0" w:type="dxa"/>
            <w:right w:w="0" w:type="dxa"/>
          </w:tblCellMar>
        </w:tblPrEx>
        <w:trPr>
          <w:trHeight w:val="270" w:hRule="atLeast"/>
        </w:trPr>
        <w:tc>
          <w:tcPr>
            <w:tcW w:w="14040"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b/>
                <w:sz w:val="24"/>
                <w:szCs w:val="24"/>
              </w:rPr>
            </w:pPr>
            <w:r>
              <w:rPr>
                <w:rFonts w:ascii="宋体" w:hAnsi="宋体" w:eastAsia="宋体" w:cs="宋体"/>
                <w:b/>
                <w:kern w:val="0"/>
                <w:sz w:val="24"/>
                <w:szCs w:val="24"/>
              </w:rPr>
              <w:t>2.精神卫生和心理健康能力</w:t>
            </w:r>
          </w:p>
        </w:tc>
      </w:tr>
      <w:tr>
        <w:tblPrEx>
          <w:tblCellMar>
            <w:top w:w="0" w:type="dxa"/>
            <w:left w:w="0" w:type="dxa"/>
            <w:bottom w:w="0" w:type="dxa"/>
            <w:right w:w="0" w:type="dxa"/>
          </w:tblCellMar>
        </w:tblPrEx>
        <w:trPr>
          <w:trHeight w:val="1125" w:hRule="atLeast"/>
        </w:trPr>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sz w:val="24"/>
                <w:szCs w:val="24"/>
              </w:rPr>
            </w:pPr>
            <w:r>
              <w:rPr>
                <w:rFonts w:ascii="宋体" w:hAnsi="宋体" w:eastAsia="宋体" w:cs="宋体"/>
                <w:b/>
                <w:kern w:val="0"/>
                <w:sz w:val="24"/>
                <w:szCs w:val="24"/>
              </w:rPr>
              <w:t>27</w:t>
            </w:r>
          </w:p>
        </w:tc>
        <w:tc>
          <w:tcPr>
            <w:tcW w:w="4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rPr>
              <w:t>漳平市精神卫生和心理健康服务能力提升建设项目</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改扩建</w:t>
            </w:r>
          </w:p>
        </w:tc>
        <w:tc>
          <w:tcPr>
            <w:tcW w:w="12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6235</w:t>
            </w:r>
          </w:p>
        </w:tc>
        <w:tc>
          <w:tcPr>
            <w:tcW w:w="48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sz w:val="24"/>
                <w:szCs w:val="24"/>
              </w:rPr>
            </w:pPr>
            <w:r>
              <w:rPr>
                <w:rFonts w:ascii="宋体" w:hAnsi="宋体" w:eastAsia="宋体" w:cs="宋体"/>
                <w:kern w:val="0"/>
                <w:sz w:val="24"/>
                <w:szCs w:val="24"/>
              </w:rPr>
              <w:t>1.漳平市精神卫生和心理健康服务中心改扩建，改造面积6235平方米，完善中央空调；一楼功能区域改造（含配置防护、抢救设备）；完善心理康复区设备配置、添置心理CT 5台。2、改造乡镇卫生院心理咨询室及功能室，配置相关心理健康服务设备。</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3,000</w:t>
            </w:r>
          </w:p>
        </w:tc>
      </w:tr>
      <w:tr>
        <w:tblPrEx>
          <w:tblCellMar>
            <w:top w:w="0" w:type="dxa"/>
            <w:left w:w="0" w:type="dxa"/>
            <w:bottom w:w="0" w:type="dxa"/>
            <w:right w:w="0" w:type="dxa"/>
          </w:tblCellMar>
        </w:tblPrEx>
        <w:trPr>
          <w:trHeight w:val="270" w:hRule="atLeast"/>
        </w:trPr>
        <w:tc>
          <w:tcPr>
            <w:tcW w:w="14040"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b/>
                <w:sz w:val="24"/>
                <w:szCs w:val="24"/>
              </w:rPr>
            </w:pPr>
            <w:r>
              <w:rPr>
                <w:rFonts w:ascii="宋体" w:hAnsi="宋体" w:eastAsia="宋体" w:cs="宋体"/>
                <w:b/>
                <w:kern w:val="0"/>
                <w:sz w:val="24"/>
                <w:szCs w:val="24"/>
              </w:rPr>
              <w:t>3.康复服务能力</w:t>
            </w:r>
          </w:p>
        </w:tc>
      </w:tr>
      <w:tr>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ascii="宋体" w:hAnsi="宋体" w:eastAsia="宋体" w:cs="宋体"/>
                <w:kern w:val="0"/>
                <w:sz w:val="24"/>
                <w:szCs w:val="24"/>
              </w:rPr>
              <w:t>28</w:t>
            </w:r>
          </w:p>
        </w:tc>
        <w:tc>
          <w:tcPr>
            <w:tcW w:w="4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rPr>
              <w:t>漳平市桂林社区卫生服务中心医养结合项目</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新建</w:t>
            </w:r>
          </w:p>
        </w:tc>
        <w:tc>
          <w:tcPr>
            <w:tcW w:w="12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6000</w:t>
            </w:r>
          </w:p>
        </w:tc>
        <w:tc>
          <w:tcPr>
            <w:tcW w:w="48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sz w:val="24"/>
                <w:szCs w:val="24"/>
              </w:rPr>
            </w:pPr>
            <w:r>
              <w:rPr>
                <w:rFonts w:ascii="宋体" w:hAnsi="宋体" w:eastAsia="宋体" w:cs="宋体"/>
                <w:kern w:val="0"/>
                <w:sz w:val="24"/>
                <w:szCs w:val="24"/>
              </w:rPr>
              <w:t>总建筑面积6000平方米，建设门诊、医技病房综合楼、发热门诊及应急处理综合楼，以及附属配套设施。</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5,000</w:t>
            </w:r>
          </w:p>
        </w:tc>
      </w:tr>
      <w:tr>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ascii="宋体" w:hAnsi="宋体" w:eastAsia="宋体" w:cs="宋体"/>
                <w:kern w:val="0"/>
                <w:sz w:val="24"/>
                <w:szCs w:val="24"/>
              </w:rPr>
              <w:t>29</w:t>
            </w:r>
          </w:p>
        </w:tc>
        <w:tc>
          <w:tcPr>
            <w:tcW w:w="4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rPr>
              <w:t>漳平市双洋医养康复中心</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新建</w:t>
            </w:r>
          </w:p>
        </w:tc>
        <w:tc>
          <w:tcPr>
            <w:tcW w:w="12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8000</w:t>
            </w:r>
          </w:p>
        </w:tc>
        <w:tc>
          <w:tcPr>
            <w:tcW w:w="48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sz w:val="24"/>
                <w:szCs w:val="24"/>
              </w:rPr>
            </w:pPr>
            <w:r>
              <w:rPr>
                <w:rFonts w:ascii="宋体" w:hAnsi="宋体" w:eastAsia="宋体" w:cs="宋体"/>
                <w:kern w:val="0"/>
                <w:sz w:val="24"/>
                <w:szCs w:val="24"/>
              </w:rPr>
              <w:t>项目占地约8000平方米，设置医养结合区、健康养老区、社区综合服务中心、医养床位100床</w:t>
            </w:r>
            <w:r>
              <w:rPr>
                <w:rFonts w:hint="eastAsia" w:ascii="宋体" w:hAnsi="宋体" w:eastAsia="宋体" w:cs="宋体"/>
                <w:kern w:val="0"/>
                <w:sz w:val="24"/>
                <w:szCs w:val="24"/>
              </w:rPr>
              <w:t>。</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6,000</w:t>
            </w:r>
          </w:p>
        </w:tc>
      </w:tr>
      <w:tr>
        <w:tblPrEx>
          <w:tblCellMar>
            <w:top w:w="0" w:type="dxa"/>
            <w:left w:w="0" w:type="dxa"/>
            <w:bottom w:w="0" w:type="dxa"/>
            <w:right w:w="0" w:type="dxa"/>
          </w:tblCellMar>
        </w:tblPrEx>
        <w:trPr>
          <w:trHeight w:val="9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ascii="宋体" w:hAnsi="宋体" w:eastAsia="宋体" w:cs="宋体"/>
                <w:kern w:val="0"/>
                <w:sz w:val="24"/>
                <w:szCs w:val="24"/>
              </w:rPr>
              <w:t>30</w:t>
            </w:r>
          </w:p>
        </w:tc>
        <w:tc>
          <w:tcPr>
            <w:tcW w:w="4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rPr>
              <w:t>漳平市医院医养康复中心项目（漳平市菁和源医养康复中心一期）</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新建</w:t>
            </w:r>
          </w:p>
        </w:tc>
        <w:tc>
          <w:tcPr>
            <w:tcW w:w="12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78721</w:t>
            </w:r>
          </w:p>
        </w:tc>
        <w:tc>
          <w:tcPr>
            <w:tcW w:w="48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sz w:val="24"/>
                <w:szCs w:val="24"/>
              </w:rPr>
            </w:pPr>
            <w:r>
              <w:rPr>
                <w:rFonts w:ascii="宋体" w:hAnsi="宋体" w:eastAsia="宋体" w:cs="宋体"/>
                <w:kern w:val="0"/>
                <w:sz w:val="24"/>
                <w:szCs w:val="24"/>
              </w:rPr>
              <w:t>项目占地面积44320平方米，总建筑面积78721平方米。设置医养结合区、健康养老区以及医疗培训中心、社区服务中心。设立医养床位1000张，其中自理型床位700张，护理型床位300张。</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31,000</w:t>
            </w:r>
          </w:p>
        </w:tc>
      </w:tr>
      <w:tr>
        <w:tblPrEx>
          <w:tblCellMar>
            <w:top w:w="0" w:type="dxa"/>
            <w:left w:w="0" w:type="dxa"/>
            <w:bottom w:w="0" w:type="dxa"/>
            <w:right w:w="0" w:type="dxa"/>
          </w:tblCellMar>
        </w:tblPrEx>
        <w:trPr>
          <w:trHeight w:val="9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ascii="宋体" w:hAnsi="宋体" w:eastAsia="宋体" w:cs="宋体"/>
                <w:kern w:val="0"/>
                <w:sz w:val="24"/>
                <w:szCs w:val="24"/>
              </w:rPr>
              <w:t>31</w:t>
            </w:r>
          </w:p>
        </w:tc>
        <w:tc>
          <w:tcPr>
            <w:tcW w:w="4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rPr>
              <w:t>漳平市菁和源医养康复中心二期项目</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新建</w:t>
            </w:r>
          </w:p>
        </w:tc>
        <w:tc>
          <w:tcPr>
            <w:tcW w:w="12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160000</w:t>
            </w:r>
          </w:p>
        </w:tc>
        <w:tc>
          <w:tcPr>
            <w:tcW w:w="48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sz w:val="24"/>
                <w:szCs w:val="24"/>
              </w:rPr>
            </w:pPr>
            <w:r>
              <w:rPr>
                <w:rFonts w:ascii="宋体" w:hAnsi="宋体" w:eastAsia="宋体" w:cs="宋体"/>
                <w:kern w:val="0"/>
                <w:sz w:val="24"/>
                <w:szCs w:val="24"/>
              </w:rPr>
              <w:t>项目占地面积150亩，建筑面积16万平方米。设置医养结合区、健康养老公寓区、社区综合服务中心，以及与智慧康养配套的智能养老平台、物联网、智能穿戴呼叫系统、智能健康管理服务系统等设施。</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80,000</w:t>
            </w:r>
          </w:p>
        </w:tc>
      </w:tr>
      <w:tr>
        <w:tblPrEx>
          <w:tblCellMar>
            <w:top w:w="0" w:type="dxa"/>
            <w:left w:w="0" w:type="dxa"/>
            <w:bottom w:w="0" w:type="dxa"/>
            <w:right w:w="0" w:type="dxa"/>
          </w:tblCellMar>
        </w:tblPrEx>
        <w:trPr>
          <w:trHeight w:val="270" w:hRule="atLeast"/>
        </w:trPr>
        <w:tc>
          <w:tcPr>
            <w:tcW w:w="14040"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b/>
                <w:sz w:val="24"/>
                <w:szCs w:val="24"/>
              </w:rPr>
            </w:pPr>
            <w:r>
              <w:rPr>
                <w:rFonts w:ascii="宋体" w:hAnsi="宋体" w:eastAsia="宋体" w:cs="宋体"/>
                <w:b/>
                <w:kern w:val="0"/>
                <w:sz w:val="24"/>
                <w:szCs w:val="24"/>
              </w:rPr>
              <w:t>（五）中医药能力提升</w:t>
            </w:r>
          </w:p>
        </w:tc>
      </w:tr>
      <w:tr>
        <w:tblPrEx>
          <w:tblCellMar>
            <w:top w:w="0" w:type="dxa"/>
            <w:left w:w="0" w:type="dxa"/>
            <w:bottom w:w="0" w:type="dxa"/>
            <w:right w:w="0" w:type="dxa"/>
          </w:tblCellMar>
        </w:tblPrEx>
        <w:trPr>
          <w:trHeight w:val="270" w:hRule="atLeast"/>
        </w:trPr>
        <w:tc>
          <w:tcPr>
            <w:tcW w:w="14040"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b/>
                <w:sz w:val="24"/>
                <w:szCs w:val="24"/>
              </w:rPr>
            </w:pPr>
            <w:r>
              <w:rPr>
                <w:rFonts w:ascii="宋体" w:hAnsi="宋体" w:eastAsia="宋体" w:cs="宋体"/>
                <w:b/>
                <w:kern w:val="0"/>
                <w:sz w:val="24"/>
                <w:szCs w:val="24"/>
              </w:rPr>
              <w:t>1.中医优势专科</w:t>
            </w:r>
          </w:p>
        </w:tc>
      </w:tr>
      <w:tr>
        <w:tblPrEx>
          <w:tblCellMar>
            <w:top w:w="0" w:type="dxa"/>
            <w:left w:w="0" w:type="dxa"/>
            <w:bottom w:w="0" w:type="dxa"/>
            <w:right w:w="0" w:type="dxa"/>
          </w:tblCellMar>
        </w:tblPrEx>
        <w:trPr>
          <w:trHeight w:val="675" w:hRule="atLeast"/>
        </w:trPr>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ascii="宋体" w:hAnsi="宋体" w:eastAsia="宋体" w:cs="宋体"/>
                <w:kern w:val="0"/>
                <w:sz w:val="24"/>
                <w:szCs w:val="24"/>
              </w:rPr>
              <w:t>32</w:t>
            </w:r>
          </w:p>
        </w:tc>
        <w:tc>
          <w:tcPr>
            <w:tcW w:w="4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rPr>
              <w:t>漳平市中医院整体迁建项目（含医养康复中心）</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新建</w:t>
            </w:r>
          </w:p>
        </w:tc>
        <w:tc>
          <w:tcPr>
            <w:tcW w:w="12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25000</w:t>
            </w:r>
          </w:p>
        </w:tc>
        <w:tc>
          <w:tcPr>
            <w:tcW w:w="48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sz w:val="24"/>
                <w:szCs w:val="24"/>
              </w:rPr>
            </w:pPr>
            <w:r>
              <w:rPr>
                <w:rFonts w:ascii="宋体" w:hAnsi="宋体" w:eastAsia="宋体" w:cs="宋体"/>
                <w:kern w:val="0"/>
                <w:sz w:val="24"/>
                <w:szCs w:val="24"/>
              </w:rPr>
              <w:t>项目占地面积97808平方米，总建筑面积25000㎡；设置床位200张，建设门诊楼、医技楼、病房楼等；医疗设备购置、附属设施及停车位300台。</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20,000</w:t>
            </w:r>
          </w:p>
        </w:tc>
      </w:tr>
      <w:tr>
        <w:tblPrEx>
          <w:tblCellMar>
            <w:top w:w="0" w:type="dxa"/>
            <w:left w:w="0" w:type="dxa"/>
            <w:bottom w:w="0" w:type="dxa"/>
            <w:right w:w="0" w:type="dxa"/>
          </w:tblCellMar>
        </w:tblPrEx>
        <w:trPr>
          <w:trHeight w:val="900" w:hRule="atLeast"/>
        </w:trPr>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ascii="宋体" w:hAnsi="宋体" w:eastAsia="宋体" w:cs="宋体"/>
                <w:kern w:val="0"/>
                <w:sz w:val="24"/>
                <w:szCs w:val="24"/>
              </w:rPr>
              <w:t>33</w:t>
            </w:r>
          </w:p>
        </w:tc>
        <w:tc>
          <w:tcPr>
            <w:tcW w:w="4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rPr>
              <w:t>漳平市医院中医康复特色专科建设</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改扩建</w:t>
            </w:r>
          </w:p>
        </w:tc>
        <w:tc>
          <w:tcPr>
            <w:tcW w:w="12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1700</w:t>
            </w:r>
          </w:p>
        </w:tc>
        <w:tc>
          <w:tcPr>
            <w:tcW w:w="48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sz w:val="24"/>
                <w:szCs w:val="24"/>
              </w:rPr>
            </w:pPr>
            <w:r>
              <w:rPr>
                <w:rFonts w:ascii="宋体" w:hAnsi="宋体" w:eastAsia="宋体" w:cs="宋体"/>
                <w:kern w:val="0"/>
                <w:sz w:val="24"/>
                <w:szCs w:val="24"/>
              </w:rPr>
              <w:t>1.病房功能改造面积1700㎡。2.购买：重复经颅磁刺激、吞咽电刺激、经颅直流电、肌骨超声、活动插板、神经传导+肌电图等康复设备15台。3.开展球囊扩张术、吞咽造影、肌骨超声联合肌电图定位下肉毒素注射术。</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1,000</w:t>
            </w:r>
          </w:p>
        </w:tc>
      </w:tr>
      <w:tr>
        <w:tblPrEx>
          <w:tblCellMar>
            <w:top w:w="0" w:type="dxa"/>
            <w:left w:w="0" w:type="dxa"/>
            <w:bottom w:w="0" w:type="dxa"/>
            <w:right w:w="0" w:type="dxa"/>
          </w:tblCellMar>
        </w:tblPrEx>
        <w:trPr>
          <w:trHeight w:val="675" w:hRule="atLeast"/>
        </w:trPr>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ascii="宋体" w:hAnsi="宋体" w:eastAsia="宋体" w:cs="宋体"/>
                <w:kern w:val="0"/>
                <w:sz w:val="24"/>
                <w:szCs w:val="24"/>
              </w:rPr>
              <w:t>34</w:t>
            </w:r>
          </w:p>
        </w:tc>
        <w:tc>
          <w:tcPr>
            <w:tcW w:w="4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rPr>
              <w:t>漳平市溪南镇康复理疗中心建设项目</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新建</w:t>
            </w:r>
          </w:p>
        </w:tc>
        <w:tc>
          <w:tcPr>
            <w:tcW w:w="12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1000</w:t>
            </w:r>
          </w:p>
        </w:tc>
        <w:tc>
          <w:tcPr>
            <w:tcW w:w="48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sz w:val="24"/>
                <w:szCs w:val="24"/>
              </w:rPr>
            </w:pPr>
            <w:r>
              <w:rPr>
                <w:rFonts w:ascii="宋体" w:hAnsi="宋体" w:eastAsia="宋体" w:cs="宋体"/>
                <w:kern w:val="0"/>
                <w:sz w:val="24"/>
                <w:szCs w:val="24"/>
              </w:rPr>
              <w:t>拟建漳平市总医院溪南分院康复理疗中心，规模1000平方米，规划设置中医传统疗法、物理疗法、作业疗法、心理康复和辅助配套用房等组成。</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1,000</w:t>
            </w:r>
          </w:p>
        </w:tc>
      </w:tr>
      <w:tr>
        <w:tblPrEx>
          <w:tblCellMar>
            <w:top w:w="0" w:type="dxa"/>
            <w:left w:w="0" w:type="dxa"/>
            <w:bottom w:w="0" w:type="dxa"/>
            <w:right w:w="0" w:type="dxa"/>
          </w:tblCellMar>
        </w:tblPrEx>
        <w:trPr>
          <w:trHeight w:val="270" w:hRule="atLeast"/>
        </w:trPr>
        <w:tc>
          <w:tcPr>
            <w:tcW w:w="14040"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b/>
                <w:sz w:val="24"/>
                <w:szCs w:val="24"/>
              </w:rPr>
            </w:pPr>
            <w:r>
              <w:rPr>
                <w:rFonts w:ascii="宋体" w:hAnsi="宋体" w:eastAsia="宋体" w:cs="宋体"/>
                <w:b/>
                <w:kern w:val="0"/>
                <w:sz w:val="24"/>
                <w:szCs w:val="24"/>
              </w:rPr>
              <w:t>（六）托育服务体系建设</w:t>
            </w:r>
          </w:p>
        </w:tc>
      </w:tr>
      <w:tr>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ascii="宋体" w:hAnsi="宋体" w:eastAsia="宋体" w:cs="宋体"/>
                <w:kern w:val="0"/>
                <w:sz w:val="24"/>
                <w:szCs w:val="24"/>
              </w:rPr>
              <w:t>35</w:t>
            </w:r>
          </w:p>
        </w:tc>
        <w:tc>
          <w:tcPr>
            <w:tcW w:w="4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rPr>
              <w:t>漳平市菁城托育中心</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新建</w:t>
            </w:r>
          </w:p>
        </w:tc>
        <w:tc>
          <w:tcPr>
            <w:tcW w:w="12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sz w:val="24"/>
                <w:szCs w:val="24"/>
              </w:rPr>
            </w:pPr>
          </w:p>
        </w:tc>
        <w:tc>
          <w:tcPr>
            <w:tcW w:w="48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sz w:val="24"/>
                <w:szCs w:val="24"/>
              </w:rPr>
            </w:pPr>
            <w:r>
              <w:rPr>
                <w:rFonts w:ascii="宋体" w:hAnsi="宋体" w:eastAsia="宋体" w:cs="宋体"/>
                <w:kern w:val="0"/>
                <w:sz w:val="24"/>
                <w:szCs w:val="24"/>
              </w:rPr>
              <w:t>按照《2019年版托儿所、幼儿园建筑设计规范》建设具有120个以上托位的托育中心</w:t>
            </w:r>
            <w:r>
              <w:rPr>
                <w:rFonts w:hint="eastAsia" w:ascii="宋体" w:hAnsi="宋体" w:eastAsia="宋体" w:cs="宋体"/>
                <w:kern w:val="0"/>
                <w:sz w:val="24"/>
                <w:szCs w:val="24"/>
              </w:rPr>
              <w:t>。</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2,000</w:t>
            </w:r>
          </w:p>
        </w:tc>
      </w:tr>
      <w:tr>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ascii="宋体" w:hAnsi="宋体" w:eastAsia="宋体" w:cs="宋体"/>
                <w:kern w:val="0"/>
                <w:sz w:val="24"/>
                <w:szCs w:val="24"/>
              </w:rPr>
              <w:t>36</w:t>
            </w:r>
          </w:p>
        </w:tc>
        <w:tc>
          <w:tcPr>
            <w:tcW w:w="4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rPr>
              <w:t>漳平市桂林托育中心</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新建</w:t>
            </w:r>
          </w:p>
        </w:tc>
        <w:tc>
          <w:tcPr>
            <w:tcW w:w="12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宋体" w:hAnsi="宋体" w:eastAsia="宋体" w:cs="宋体"/>
                <w:sz w:val="24"/>
                <w:szCs w:val="24"/>
              </w:rPr>
            </w:pPr>
          </w:p>
        </w:tc>
        <w:tc>
          <w:tcPr>
            <w:tcW w:w="48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hAnsi="宋体" w:eastAsia="宋体" w:cs="宋体"/>
                <w:sz w:val="24"/>
                <w:szCs w:val="24"/>
              </w:rPr>
            </w:pPr>
            <w:r>
              <w:rPr>
                <w:rFonts w:ascii="宋体" w:hAnsi="宋体" w:eastAsia="宋体" w:cs="宋体"/>
                <w:kern w:val="0"/>
                <w:sz w:val="24"/>
                <w:szCs w:val="24"/>
              </w:rPr>
              <w:t>按照《2019年版托儿所、幼儿园建筑设计规范》建设具有100个以上托位的托育中心</w:t>
            </w:r>
            <w:r>
              <w:rPr>
                <w:rFonts w:hint="eastAsia" w:ascii="宋体" w:hAnsi="宋体" w:eastAsia="宋体" w:cs="宋体"/>
                <w:kern w:val="0"/>
                <w:sz w:val="24"/>
                <w:szCs w:val="24"/>
              </w:rPr>
              <w:t>。</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1,500</w:t>
            </w:r>
          </w:p>
        </w:tc>
      </w:tr>
      <w:tr>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4"/>
                <w:szCs w:val="24"/>
              </w:rPr>
            </w:pPr>
            <w:r>
              <w:rPr>
                <w:rFonts w:ascii="宋体" w:hAnsi="宋体" w:eastAsia="宋体" w:cs="宋体"/>
                <w:kern w:val="0"/>
                <w:sz w:val="24"/>
                <w:szCs w:val="24"/>
              </w:rPr>
              <w:t>37</w:t>
            </w:r>
          </w:p>
        </w:tc>
        <w:tc>
          <w:tcPr>
            <w:tcW w:w="4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kern w:val="0"/>
                <w:sz w:val="24"/>
                <w:szCs w:val="24"/>
              </w:rPr>
            </w:pPr>
            <w:r>
              <w:rPr>
                <w:rFonts w:hint="eastAsia" w:ascii="宋体" w:hAnsi="宋体" w:eastAsia="宋体" w:cs="宋体"/>
                <w:kern w:val="0"/>
                <w:sz w:val="24"/>
                <w:szCs w:val="24"/>
              </w:rPr>
              <w:t>漳平市永福托育中心</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新建</w:t>
            </w:r>
          </w:p>
        </w:tc>
        <w:tc>
          <w:tcPr>
            <w:tcW w:w="12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4"/>
                <w:szCs w:val="24"/>
              </w:rPr>
            </w:pPr>
          </w:p>
        </w:tc>
        <w:tc>
          <w:tcPr>
            <w:tcW w:w="48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kern w:val="0"/>
                <w:sz w:val="24"/>
                <w:szCs w:val="24"/>
              </w:rPr>
            </w:pPr>
            <w:r>
              <w:rPr>
                <w:rFonts w:ascii="宋体" w:hAnsi="宋体" w:eastAsia="宋体" w:cs="宋体"/>
                <w:kern w:val="0"/>
                <w:sz w:val="24"/>
                <w:szCs w:val="24"/>
              </w:rPr>
              <w:t>按照《2019年版托儿所、幼儿园建筑设计规范》建设具有80个以上托位的托育中心</w:t>
            </w:r>
            <w:r>
              <w:rPr>
                <w:rFonts w:hint="eastAsia" w:ascii="宋体" w:hAnsi="宋体" w:eastAsia="宋体" w:cs="宋体"/>
                <w:kern w:val="0"/>
                <w:sz w:val="24"/>
                <w:szCs w:val="24"/>
              </w:rPr>
              <w:t>。</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1,200</w:t>
            </w:r>
          </w:p>
        </w:tc>
      </w:tr>
      <w:tr>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4"/>
                <w:szCs w:val="24"/>
              </w:rPr>
            </w:pPr>
            <w:r>
              <w:rPr>
                <w:rFonts w:ascii="宋体" w:hAnsi="宋体" w:eastAsia="宋体" w:cs="宋体"/>
                <w:kern w:val="0"/>
                <w:sz w:val="24"/>
                <w:szCs w:val="24"/>
              </w:rPr>
              <w:t>38</w:t>
            </w:r>
          </w:p>
        </w:tc>
        <w:tc>
          <w:tcPr>
            <w:tcW w:w="4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kern w:val="0"/>
                <w:sz w:val="24"/>
                <w:szCs w:val="24"/>
              </w:rPr>
            </w:pPr>
            <w:r>
              <w:rPr>
                <w:rFonts w:hint="eastAsia" w:ascii="宋体" w:hAnsi="宋体" w:eastAsia="宋体" w:cs="宋体"/>
                <w:kern w:val="0"/>
                <w:sz w:val="24"/>
                <w:szCs w:val="24"/>
              </w:rPr>
              <w:t>漳平市新桥托育中心</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新建</w:t>
            </w:r>
          </w:p>
        </w:tc>
        <w:tc>
          <w:tcPr>
            <w:tcW w:w="12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4"/>
                <w:szCs w:val="24"/>
              </w:rPr>
            </w:pPr>
          </w:p>
        </w:tc>
        <w:tc>
          <w:tcPr>
            <w:tcW w:w="48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ascii="宋体" w:hAnsi="宋体" w:eastAsia="宋体" w:cs="宋体"/>
                <w:kern w:val="0"/>
                <w:sz w:val="24"/>
                <w:szCs w:val="24"/>
              </w:rPr>
            </w:pPr>
            <w:r>
              <w:rPr>
                <w:rFonts w:ascii="宋体" w:hAnsi="宋体" w:eastAsia="宋体" w:cs="宋体"/>
                <w:kern w:val="0"/>
                <w:sz w:val="24"/>
                <w:szCs w:val="24"/>
              </w:rPr>
              <w:t>按照《2019年版托儿所、幼儿园建筑设计规范》建设具有80个以上托位的托育中心</w:t>
            </w:r>
            <w:r>
              <w:rPr>
                <w:rFonts w:hint="eastAsia" w:ascii="宋体" w:hAnsi="宋体" w:eastAsia="宋体" w:cs="宋体"/>
                <w:kern w:val="0"/>
                <w:sz w:val="24"/>
                <w:szCs w:val="24"/>
              </w:rPr>
              <w:t>。</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1,200</w:t>
            </w:r>
          </w:p>
        </w:tc>
      </w:tr>
    </w:tbl>
    <w:p/>
    <w:sectPr>
      <w:headerReference r:id="rId9" w:type="default"/>
      <w:footerReference r:id="rId10"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after="120"/>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785" cy="139700"/>
                      </a:xfrm>
                      <a:prstGeom prst="rect">
                        <a:avLst/>
                      </a:prstGeom>
                      <a:noFill/>
                      <a:ln w="6350">
                        <a:noFill/>
                      </a:ln>
                      <a:effectLst/>
                    </wps:spPr>
                    <wps:txbx>
                      <w:txbxContent>
                        <w:p>
                          <w:pPr>
                            <w:pStyle w:val="7"/>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55pt;mso-position-horizontal:center;mso-position-horizontal-relative:margin;mso-wrap-style:none;z-index:251660288;mso-width-relative:page;mso-height-relative:page;" filled="f" stroked="f" coordsize="21600,21600" o:gfxdata="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QfDY0QAAAAIBAAAPAAAAAAAAAAEAIAAAACIAAABkcnMvZG93bnJldi54bWxQ&#10;SwECFAAUAAAACACHTuJA/iRnnDcCAABgBAAADgAAAAAAAAABACAAAAAgAQAAZHJzL2Uyb0RvYy54&#10;bWxQSwUGAAAAAAYABgBZAQAAy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9210"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9210" cy="139700"/>
                      </a:xfrm>
                      <a:prstGeom prst="rect">
                        <a:avLst/>
                      </a:prstGeom>
                      <a:noFill/>
                      <a:ln w="6350">
                        <a:noFill/>
                      </a:ln>
                      <a:effectLst/>
                    </wps:spPr>
                    <wps:txbx>
                      <w:txbxContent>
                        <w:p>
                          <w:pPr>
                            <w:pStyle w:val="7"/>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2.3pt;mso-position-horizontal:center;mso-position-horizontal-relative:margin;mso-wrap-style:none;z-index:251661312;mso-width-relative:page;mso-height-relative:page;" filled="f" stroked="f" coordsize="21600,21600" o:gfxdata="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vm6ADRAAAAAgEAAA8AAAAAAAAAAQAgAAAAIgAAAGRycy9kb3ducmV2LnhtbFBL&#10;AQIUABQAAAAIAIdO4kAw2vtjNgIAAGAEAAAOAAAAAAAAAAEAIAAAACABAABkcnMvZTJvRG9jLnht&#10;bFBLBQYAAAAABgAGAFkBAADI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8420" cy="1397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pPr>
                            <w:pStyle w:val="7"/>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2336;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9sZGvRAAAAAgEAAA8AAAAAAAAAAQAgAAAAIgAAAGRycy9kb3ducmV2LnhtbFBL&#10;AQIUABQAAAAIAIdO4kAQpUFPNgIAAGAEAAAOAAAAAAAAAAEAIAAAACABAABkcnMvZTJvRG9jLnht&#10;bFBLBQYAAAAABgAGAFkBAADI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pPr>
                            <w:pStyle w:val="7"/>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4BeJKNIAAAADAQAADwAAAAAAAAABACAAAAAiAAAAZHJzL2Rvd25yZXYueG1s&#10;UEsBAhQAFAAAAAgAh07iQEqVnsU3AgAAYQQAAA4AAAAAAAAAAQAgAAAAIQEAAGRycy9lMm9Eb2Mu&#10;eG1sUEsFBgAAAAAGAAYAWQEAAMo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spacing w:after="120"/>
      <w:jc w:val="both"/>
      <w:rPr>
        <w:rFonts w:ascii="仿宋" w:hAnsi="仿宋" w:eastAsia="仿宋" w:cs="仿宋"/>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adjustRightInd w:val="0"/>
      <w:snapToGrid/>
      <w:spacing w:after="120" w:line="120" w:lineRule="atLeast"/>
      <w:jc w:val="both"/>
      <w:textAlignment w:val="baseline"/>
      <w:rPr>
        <w:rFonts w:ascii="仿宋" w:hAnsi="仿宋" w:eastAsia="仿宋" w:cs="仿宋"/>
        <w:kern w:val="0"/>
        <w:sz w:val="21"/>
        <w:szCs w:val="21"/>
      </w:rPr>
    </w:pPr>
    <w:r>
      <w:rPr>
        <w:rFonts w:hint="eastAsia" w:eastAsia="宋体"/>
      </w:rPr>
      <w:drawing>
        <wp:inline distT="0" distB="0" distL="114300" distR="114300">
          <wp:extent cx="874395" cy="200025"/>
          <wp:effectExtent l="0" t="0" r="1905" b="9525"/>
          <wp:docPr id="2742" name="图片 274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2" name="图片 2742" descr="logo"/>
                  <pic:cNvPicPr>
                    <a:picLocks noChangeAspect="1"/>
                  </pic:cNvPicPr>
                </pic:nvPicPr>
                <pic:blipFill>
                  <a:blip r:embed="rId1"/>
                  <a:stretch>
                    <a:fillRect/>
                  </a:stretch>
                </pic:blipFill>
                <pic:spPr>
                  <a:xfrm>
                    <a:off x="0" y="0"/>
                    <a:ext cx="874395" cy="200025"/>
                  </a:xfrm>
                  <a:prstGeom prst="rect">
                    <a:avLst/>
                  </a:prstGeom>
                  <a:noFill/>
                  <a:ln>
                    <a:noFill/>
                  </a:ln>
                </pic:spPr>
              </pic:pic>
            </a:graphicData>
          </a:graphic>
        </wp:inline>
      </w:drawing>
    </w:r>
    <w:r>
      <w:rPr>
        <w:rFonts w:hint="eastAsia"/>
      </w:rPr>
      <w:t xml:space="preserve">                                                                                            </w:t>
    </w:r>
    <w:r>
      <w:rPr>
        <w:rFonts w:hint="eastAsia" w:ascii="仿宋" w:hAnsi="仿宋" w:eastAsia="仿宋" w:cs="仿宋"/>
        <w:kern w:val="0"/>
        <w:sz w:val="21"/>
        <w:szCs w:val="21"/>
      </w:rPr>
      <w:t>漳平市“十四五”卫生健康事业发展专项规划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CFB67"/>
    <w:multiLevelType w:val="singleLevel"/>
    <w:tmpl w:val="806CFB67"/>
    <w:lvl w:ilvl="0" w:tentative="0">
      <w:start w:val="1"/>
      <w:numFmt w:val="chineseCounting"/>
      <w:suff w:val="nothing"/>
      <w:lvlText w:val="（%1）"/>
      <w:lvlJc w:val="left"/>
      <w:rPr>
        <w:rFonts w:hint="eastAsia"/>
      </w:rPr>
    </w:lvl>
  </w:abstractNum>
  <w:abstractNum w:abstractNumId="1">
    <w:nsid w:val="90862983"/>
    <w:multiLevelType w:val="singleLevel"/>
    <w:tmpl w:val="90862983"/>
    <w:lvl w:ilvl="0" w:tentative="0">
      <w:start w:val="1"/>
      <w:numFmt w:val="chineseCounting"/>
      <w:suff w:val="nothing"/>
      <w:lvlText w:val="（%1）"/>
      <w:lvlJc w:val="left"/>
      <w:rPr>
        <w:rFonts w:hint="eastAsia"/>
      </w:rPr>
    </w:lvl>
  </w:abstractNum>
  <w:abstractNum w:abstractNumId="2">
    <w:nsid w:val="A222D0D9"/>
    <w:multiLevelType w:val="singleLevel"/>
    <w:tmpl w:val="A222D0D9"/>
    <w:lvl w:ilvl="0" w:tentative="0">
      <w:start w:val="1"/>
      <w:numFmt w:val="chineseCounting"/>
      <w:suff w:val="nothing"/>
      <w:lvlText w:val="（%1）"/>
      <w:lvlJc w:val="left"/>
      <w:rPr>
        <w:rFonts w:hint="eastAsia"/>
      </w:rPr>
    </w:lvl>
  </w:abstractNum>
  <w:abstractNum w:abstractNumId="3">
    <w:nsid w:val="AB23C9ED"/>
    <w:multiLevelType w:val="singleLevel"/>
    <w:tmpl w:val="AB23C9ED"/>
    <w:lvl w:ilvl="0" w:tentative="0">
      <w:start w:val="1"/>
      <w:numFmt w:val="chineseCounting"/>
      <w:suff w:val="nothing"/>
      <w:lvlText w:val="（%1）"/>
      <w:lvlJc w:val="left"/>
      <w:rPr>
        <w:rFonts w:hint="eastAsia"/>
      </w:rPr>
    </w:lvl>
  </w:abstractNum>
  <w:abstractNum w:abstractNumId="4">
    <w:nsid w:val="BD6F3F76"/>
    <w:multiLevelType w:val="singleLevel"/>
    <w:tmpl w:val="BD6F3F76"/>
    <w:lvl w:ilvl="0" w:tentative="0">
      <w:start w:val="1"/>
      <w:numFmt w:val="chineseCounting"/>
      <w:suff w:val="nothing"/>
      <w:lvlText w:val="（%1）"/>
      <w:lvlJc w:val="left"/>
      <w:rPr>
        <w:rFonts w:hint="eastAsia"/>
      </w:rPr>
    </w:lvl>
  </w:abstractNum>
  <w:abstractNum w:abstractNumId="5">
    <w:nsid w:val="C972A57A"/>
    <w:multiLevelType w:val="singleLevel"/>
    <w:tmpl w:val="C972A57A"/>
    <w:lvl w:ilvl="0" w:tentative="0">
      <w:start w:val="1"/>
      <w:numFmt w:val="chineseCounting"/>
      <w:suff w:val="nothing"/>
      <w:lvlText w:val="%1、"/>
      <w:lvlJc w:val="left"/>
      <w:rPr>
        <w:rFonts w:hint="eastAsia"/>
      </w:rPr>
    </w:lvl>
  </w:abstractNum>
  <w:abstractNum w:abstractNumId="6">
    <w:nsid w:val="F1527D18"/>
    <w:multiLevelType w:val="singleLevel"/>
    <w:tmpl w:val="F1527D18"/>
    <w:lvl w:ilvl="0" w:tentative="0">
      <w:start w:val="1"/>
      <w:numFmt w:val="chineseCounting"/>
      <w:suff w:val="nothing"/>
      <w:lvlText w:val="%1、"/>
      <w:lvlJc w:val="left"/>
      <w:rPr>
        <w:rFonts w:hint="eastAsia"/>
      </w:rPr>
    </w:lvl>
  </w:abstractNum>
  <w:abstractNum w:abstractNumId="7">
    <w:nsid w:val="F3CD24CE"/>
    <w:multiLevelType w:val="singleLevel"/>
    <w:tmpl w:val="F3CD24CE"/>
    <w:lvl w:ilvl="0" w:tentative="0">
      <w:start w:val="1"/>
      <w:numFmt w:val="chineseCounting"/>
      <w:suff w:val="space"/>
      <w:lvlText w:val="第%1章"/>
      <w:lvlJc w:val="left"/>
      <w:rPr>
        <w:rFonts w:hint="eastAsia"/>
      </w:rPr>
    </w:lvl>
  </w:abstractNum>
  <w:abstractNum w:abstractNumId="8">
    <w:nsid w:val="01A8DE68"/>
    <w:multiLevelType w:val="singleLevel"/>
    <w:tmpl w:val="01A8DE68"/>
    <w:lvl w:ilvl="0" w:tentative="0">
      <w:start w:val="1"/>
      <w:numFmt w:val="chineseCounting"/>
      <w:suff w:val="nothing"/>
      <w:lvlText w:val="%1、"/>
      <w:lvlJc w:val="left"/>
      <w:rPr>
        <w:rFonts w:hint="eastAsia"/>
      </w:rPr>
    </w:lvl>
  </w:abstractNum>
  <w:abstractNum w:abstractNumId="9">
    <w:nsid w:val="08768463"/>
    <w:multiLevelType w:val="singleLevel"/>
    <w:tmpl w:val="08768463"/>
    <w:lvl w:ilvl="0" w:tentative="0">
      <w:start w:val="1"/>
      <w:numFmt w:val="bullet"/>
      <w:suff w:val="nothing"/>
      <w:lvlText w:val=""/>
      <w:lvlJc w:val="left"/>
      <w:pPr>
        <w:ind w:left="420" w:hanging="420"/>
      </w:pPr>
      <w:rPr>
        <w:rFonts w:hint="default" w:ascii="Wingdings" w:hAnsi="Wingdings"/>
      </w:rPr>
    </w:lvl>
  </w:abstractNum>
  <w:abstractNum w:abstractNumId="10">
    <w:nsid w:val="20FAC446"/>
    <w:multiLevelType w:val="singleLevel"/>
    <w:tmpl w:val="20FAC446"/>
    <w:lvl w:ilvl="0" w:tentative="0">
      <w:start w:val="1"/>
      <w:numFmt w:val="chineseCounting"/>
      <w:suff w:val="nothing"/>
      <w:lvlText w:val="（%1）"/>
      <w:lvlJc w:val="left"/>
      <w:rPr>
        <w:rFonts w:hint="eastAsia"/>
      </w:rPr>
    </w:lvl>
  </w:abstractNum>
  <w:abstractNum w:abstractNumId="11">
    <w:nsid w:val="2B2CC549"/>
    <w:multiLevelType w:val="singleLevel"/>
    <w:tmpl w:val="2B2CC549"/>
    <w:lvl w:ilvl="0" w:tentative="0">
      <w:start w:val="1"/>
      <w:numFmt w:val="chineseCounting"/>
      <w:suff w:val="nothing"/>
      <w:lvlText w:val="%1、"/>
      <w:lvlJc w:val="left"/>
      <w:rPr>
        <w:rFonts w:hint="eastAsia"/>
      </w:rPr>
    </w:lvl>
  </w:abstractNum>
  <w:abstractNum w:abstractNumId="12">
    <w:nsid w:val="3D64F2F0"/>
    <w:multiLevelType w:val="singleLevel"/>
    <w:tmpl w:val="3D64F2F0"/>
    <w:lvl w:ilvl="0" w:tentative="0">
      <w:start w:val="1"/>
      <w:numFmt w:val="chineseCounting"/>
      <w:suff w:val="nothing"/>
      <w:lvlText w:val="%1、"/>
      <w:lvlJc w:val="left"/>
      <w:rPr>
        <w:rFonts w:hint="eastAsia"/>
      </w:rPr>
    </w:lvl>
  </w:abstractNum>
  <w:abstractNum w:abstractNumId="13">
    <w:nsid w:val="622EFBF1"/>
    <w:multiLevelType w:val="singleLevel"/>
    <w:tmpl w:val="622EFBF1"/>
    <w:lvl w:ilvl="0" w:tentative="0">
      <w:start w:val="1"/>
      <w:numFmt w:val="chineseCounting"/>
      <w:suff w:val="nothing"/>
      <w:lvlText w:val="（%1）"/>
      <w:lvlJc w:val="left"/>
      <w:rPr>
        <w:rFonts w:hint="eastAsia"/>
      </w:rPr>
    </w:lvl>
  </w:abstractNum>
  <w:abstractNum w:abstractNumId="14">
    <w:nsid w:val="6809C52F"/>
    <w:multiLevelType w:val="singleLevel"/>
    <w:tmpl w:val="6809C52F"/>
    <w:lvl w:ilvl="0" w:tentative="0">
      <w:start w:val="1"/>
      <w:numFmt w:val="chineseCounting"/>
      <w:suff w:val="nothing"/>
      <w:lvlText w:val="（%1）"/>
      <w:lvlJc w:val="left"/>
      <w:rPr>
        <w:rFonts w:hint="eastAsia"/>
      </w:rPr>
    </w:lvl>
  </w:abstractNum>
  <w:num w:numId="1">
    <w:abstractNumId w:val="2"/>
  </w:num>
  <w:num w:numId="2">
    <w:abstractNumId w:val="7"/>
  </w:num>
  <w:num w:numId="3">
    <w:abstractNumId w:val="11"/>
  </w:num>
  <w:num w:numId="4">
    <w:abstractNumId w:val="10"/>
  </w:num>
  <w:num w:numId="5">
    <w:abstractNumId w:val="1"/>
  </w:num>
  <w:num w:numId="6">
    <w:abstractNumId w:val="12"/>
  </w:num>
  <w:num w:numId="7">
    <w:abstractNumId w:val="9"/>
  </w:num>
  <w:num w:numId="8">
    <w:abstractNumId w:val="0"/>
  </w:num>
  <w:num w:numId="9">
    <w:abstractNumId w:val="5"/>
  </w:num>
  <w:num w:numId="10">
    <w:abstractNumId w:val="8"/>
  </w:num>
  <w:num w:numId="11">
    <w:abstractNumId w:val="14"/>
  </w:num>
  <w:num w:numId="12">
    <w:abstractNumId w:val="3"/>
  </w:num>
  <w:num w:numId="13">
    <w:abstractNumId w:val="4"/>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0YjMzZTFhYTFhNDRhZmQ1ZThlZWNlYTQ1YjgwMGIifQ=="/>
  </w:docVars>
  <w:rsids>
    <w:rsidRoot w:val="00172A27"/>
    <w:rsid w:val="000062F2"/>
    <w:rsid w:val="00082886"/>
    <w:rsid w:val="000C013C"/>
    <w:rsid w:val="000D3567"/>
    <w:rsid w:val="000F38D3"/>
    <w:rsid w:val="000F4100"/>
    <w:rsid w:val="00106264"/>
    <w:rsid w:val="0011194C"/>
    <w:rsid w:val="00121E3B"/>
    <w:rsid w:val="00137362"/>
    <w:rsid w:val="00143ED4"/>
    <w:rsid w:val="00152D87"/>
    <w:rsid w:val="00172A27"/>
    <w:rsid w:val="00182A1F"/>
    <w:rsid w:val="0019273D"/>
    <w:rsid w:val="001971EE"/>
    <w:rsid w:val="001B3864"/>
    <w:rsid w:val="001D5D27"/>
    <w:rsid w:val="001E7BB6"/>
    <w:rsid w:val="002074A6"/>
    <w:rsid w:val="00253551"/>
    <w:rsid w:val="00260B2A"/>
    <w:rsid w:val="00273449"/>
    <w:rsid w:val="0028297F"/>
    <w:rsid w:val="002B0960"/>
    <w:rsid w:val="002B62C1"/>
    <w:rsid w:val="002E334E"/>
    <w:rsid w:val="002F31B9"/>
    <w:rsid w:val="002F649D"/>
    <w:rsid w:val="00312608"/>
    <w:rsid w:val="00315AA0"/>
    <w:rsid w:val="00327CBC"/>
    <w:rsid w:val="00340856"/>
    <w:rsid w:val="00357F71"/>
    <w:rsid w:val="00365D3B"/>
    <w:rsid w:val="00400428"/>
    <w:rsid w:val="00404FB0"/>
    <w:rsid w:val="0041363C"/>
    <w:rsid w:val="00444366"/>
    <w:rsid w:val="00466611"/>
    <w:rsid w:val="004723F6"/>
    <w:rsid w:val="00475805"/>
    <w:rsid w:val="004D13BE"/>
    <w:rsid w:val="004E7BB8"/>
    <w:rsid w:val="004F206A"/>
    <w:rsid w:val="004F7859"/>
    <w:rsid w:val="00503D2E"/>
    <w:rsid w:val="00531872"/>
    <w:rsid w:val="00547BB8"/>
    <w:rsid w:val="005711B1"/>
    <w:rsid w:val="00575742"/>
    <w:rsid w:val="005941BB"/>
    <w:rsid w:val="00594D33"/>
    <w:rsid w:val="005A18DF"/>
    <w:rsid w:val="005A7B6F"/>
    <w:rsid w:val="005D5828"/>
    <w:rsid w:val="005D6A46"/>
    <w:rsid w:val="00610119"/>
    <w:rsid w:val="00640533"/>
    <w:rsid w:val="0065008B"/>
    <w:rsid w:val="00652A8F"/>
    <w:rsid w:val="0065492B"/>
    <w:rsid w:val="00655758"/>
    <w:rsid w:val="00687F8D"/>
    <w:rsid w:val="00696FC7"/>
    <w:rsid w:val="006A0EBA"/>
    <w:rsid w:val="006D34BF"/>
    <w:rsid w:val="006D5587"/>
    <w:rsid w:val="006E363F"/>
    <w:rsid w:val="006E7BD9"/>
    <w:rsid w:val="006F0D8E"/>
    <w:rsid w:val="006F3016"/>
    <w:rsid w:val="006F7AA2"/>
    <w:rsid w:val="0071798A"/>
    <w:rsid w:val="00742386"/>
    <w:rsid w:val="00766366"/>
    <w:rsid w:val="007725D9"/>
    <w:rsid w:val="00783147"/>
    <w:rsid w:val="007957A4"/>
    <w:rsid w:val="007D280E"/>
    <w:rsid w:val="007D4474"/>
    <w:rsid w:val="00801C04"/>
    <w:rsid w:val="008071B2"/>
    <w:rsid w:val="0083218D"/>
    <w:rsid w:val="00840049"/>
    <w:rsid w:val="00844748"/>
    <w:rsid w:val="00873BFF"/>
    <w:rsid w:val="00881C95"/>
    <w:rsid w:val="00892BCB"/>
    <w:rsid w:val="00892EFA"/>
    <w:rsid w:val="008949F3"/>
    <w:rsid w:val="008A2B42"/>
    <w:rsid w:val="008B6924"/>
    <w:rsid w:val="008C5A60"/>
    <w:rsid w:val="008E6D61"/>
    <w:rsid w:val="00901127"/>
    <w:rsid w:val="00902A01"/>
    <w:rsid w:val="00903047"/>
    <w:rsid w:val="00933F47"/>
    <w:rsid w:val="009446FE"/>
    <w:rsid w:val="00951720"/>
    <w:rsid w:val="009F54B7"/>
    <w:rsid w:val="009F7CC8"/>
    <w:rsid w:val="00A1023C"/>
    <w:rsid w:val="00A21CB2"/>
    <w:rsid w:val="00A500C8"/>
    <w:rsid w:val="00A56F75"/>
    <w:rsid w:val="00AC48F6"/>
    <w:rsid w:val="00AC58DC"/>
    <w:rsid w:val="00AD654B"/>
    <w:rsid w:val="00B00761"/>
    <w:rsid w:val="00B05CF5"/>
    <w:rsid w:val="00B17878"/>
    <w:rsid w:val="00B37776"/>
    <w:rsid w:val="00B51908"/>
    <w:rsid w:val="00B74B5B"/>
    <w:rsid w:val="00B82C91"/>
    <w:rsid w:val="00B92B52"/>
    <w:rsid w:val="00BB0EA9"/>
    <w:rsid w:val="00BB1295"/>
    <w:rsid w:val="00BB3CBC"/>
    <w:rsid w:val="00BB7CA1"/>
    <w:rsid w:val="00BF1772"/>
    <w:rsid w:val="00BF5312"/>
    <w:rsid w:val="00C11F95"/>
    <w:rsid w:val="00C4091B"/>
    <w:rsid w:val="00C47BDB"/>
    <w:rsid w:val="00C63324"/>
    <w:rsid w:val="00C924EE"/>
    <w:rsid w:val="00CC5C79"/>
    <w:rsid w:val="00CE1FE6"/>
    <w:rsid w:val="00D001D5"/>
    <w:rsid w:val="00D253A3"/>
    <w:rsid w:val="00D365DA"/>
    <w:rsid w:val="00D679A0"/>
    <w:rsid w:val="00D73317"/>
    <w:rsid w:val="00DA2164"/>
    <w:rsid w:val="00E14728"/>
    <w:rsid w:val="00E20DC6"/>
    <w:rsid w:val="00E55716"/>
    <w:rsid w:val="00E64523"/>
    <w:rsid w:val="00E800EC"/>
    <w:rsid w:val="00E90DE5"/>
    <w:rsid w:val="00E94C64"/>
    <w:rsid w:val="00EC4DA5"/>
    <w:rsid w:val="00EC75E1"/>
    <w:rsid w:val="00EE7FFB"/>
    <w:rsid w:val="00EF11E6"/>
    <w:rsid w:val="00EF7453"/>
    <w:rsid w:val="00F33C32"/>
    <w:rsid w:val="00F41D3E"/>
    <w:rsid w:val="00F841A4"/>
    <w:rsid w:val="00FA153B"/>
    <w:rsid w:val="00FA4AF6"/>
    <w:rsid w:val="00FD4421"/>
    <w:rsid w:val="00FF33E8"/>
    <w:rsid w:val="01047473"/>
    <w:rsid w:val="01346BEC"/>
    <w:rsid w:val="01666D3E"/>
    <w:rsid w:val="01A80EF3"/>
    <w:rsid w:val="01A96FFB"/>
    <w:rsid w:val="01C462D0"/>
    <w:rsid w:val="01FF2772"/>
    <w:rsid w:val="020E013A"/>
    <w:rsid w:val="02432AB9"/>
    <w:rsid w:val="024B03D5"/>
    <w:rsid w:val="024B6788"/>
    <w:rsid w:val="027D28C3"/>
    <w:rsid w:val="02AD19A1"/>
    <w:rsid w:val="02BB520B"/>
    <w:rsid w:val="02DC0EB8"/>
    <w:rsid w:val="02DC54C3"/>
    <w:rsid w:val="02F05636"/>
    <w:rsid w:val="031D1148"/>
    <w:rsid w:val="032476A7"/>
    <w:rsid w:val="0338338B"/>
    <w:rsid w:val="036E3EF9"/>
    <w:rsid w:val="03B57293"/>
    <w:rsid w:val="03D07120"/>
    <w:rsid w:val="04945E54"/>
    <w:rsid w:val="04A13D66"/>
    <w:rsid w:val="04CD5F8A"/>
    <w:rsid w:val="04EE6688"/>
    <w:rsid w:val="051E7A55"/>
    <w:rsid w:val="052A5786"/>
    <w:rsid w:val="052B51C3"/>
    <w:rsid w:val="05504F7F"/>
    <w:rsid w:val="055760AD"/>
    <w:rsid w:val="056E1193"/>
    <w:rsid w:val="05821DCA"/>
    <w:rsid w:val="05834C76"/>
    <w:rsid w:val="058742F2"/>
    <w:rsid w:val="05A76FCE"/>
    <w:rsid w:val="05C11B89"/>
    <w:rsid w:val="05D74BF2"/>
    <w:rsid w:val="05EF55C6"/>
    <w:rsid w:val="06132231"/>
    <w:rsid w:val="06525F9A"/>
    <w:rsid w:val="068C68A4"/>
    <w:rsid w:val="06910F75"/>
    <w:rsid w:val="06AD0DBE"/>
    <w:rsid w:val="06B665B7"/>
    <w:rsid w:val="06D07284"/>
    <w:rsid w:val="06D33EEB"/>
    <w:rsid w:val="06DC392B"/>
    <w:rsid w:val="073665C9"/>
    <w:rsid w:val="0770578B"/>
    <w:rsid w:val="078547E5"/>
    <w:rsid w:val="07D977D2"/>
    <w:rsid w:val="07FA249A"/>
    <w:rsid w:val="08084CB5"/>
    <w:rsid w:val="084A0411"/>
    <w:rsid w:val="08A274C0"/>
    <w:rsid w:val="08C12D0F"/>
    <w:rsid w:val="08E96BC3"/>
    <w:rsid w:val="090738E2"/>
    <w:rsid w:val="092E1BB4"/>
    <w:rsid w:val="09835FAD"/>
    <w:rsid w:val="09853CC4"/>
    <w:rsid w:val="09A01DE3"/>
    <w:rsid w:val="09A2180F"/>
    <w:rsid w:val="09A61E7E"/>
    <w:rsid w:val="09AA47BC"/>
    <w:rsid w:val="09C404D6"/>
    <w:rsid w:val="0A14787D"/>
    <w:rsid w:val="0A4344E1"/>
    <w:rsid w:val="0A506116"/>
    <w:rsid w:val="0A985D56"/>
    <w:rsid w:val="0AE75FCF"/>
    <w:rsid w:val="0B4375EA"/>
    <w:rsid w:val="0B507B9F"/>
    <w:rsid w:val="0B7723BF"/>
    <w:rsid w:val="0B841FF9"/>
    <w:rsid w:val="0BA1497A"/>
    <w:rsid w:val="0BA454F3"/>
    <w:rsid w:val="0BB9274B"/>
    <w:rsid w:val="0BC161C0"/>
    <w:rsid w:val="0BDA08DE"/>
    <w:rsid w:val="0BDA1C3D"/>
    <w:rsid w:val="0BDE48E1"/>
    <w:rsid w:val="0BE022F5"/>
    <w:rsid w:val="0BF87899"/>
    <w:rsid w:val="0C140E00"/>
    <w:rsid w:val="0C3644E6"/>
    <w:rsid w:val="0C402449"/>
    <w:rsid w:val="0C7C5A1D"/>
    <w:rsid w:val="0CB17FEB"/>
    <w:rsid w:val="0D01447D"/>
    <w:rsid w:val="0D334F7D"/>
    <w:rsid w:val="0D4F0C1F"/>
    <w:rsid w:val="0D6F2E7A"/>
    <w:rsid w:val="0D7D7A25"/>
    <w:rsid w:val="0DFD6EA6"/>
    <w:rsid w:val="0E0F528D"/>
    <w:rsid w:val="0E1A7522"/>
    <w:rsid w:val="0E246A0B"/>
    <w:rsid w:val="0E720C79"/>
    <w:rsid w:val="0E7D474B"/>
    <w:rsid w:val="0E857751"/>
    <w:rsid w:val="0EA33F7C"/>
    <w:rsid w:val="0EB63295"/>
    <w:rsid w:val="0EE97C3C"/>
    <w:rsid w:val="0EF54D69"/>
    <w:rsid w:val="0F180FDA"/>
    <w:rsid w:val="0F6967D1"/>
    <w:rsid w:val="0FA51946"/>
    <w:rsid w:val="0FE2071B"/>
    <w:rsid w:val="10042F14"/>
    <w:rsid w:val="10223A71"/>
    <w:rsid w:val="10410751"/>
    <w:rsid w:val="108957CC"/>
    <w:rsid w:val="10E71DD1"/>
    <w:rsid w:val="11044545"/>
    <w:rsid w:val="111E4511"/>
    <w:rsid w:val="11252880"/>
    <w:rsid w:val="11441982"/>
    <w:rsid w:val="11E96106"/>
    <w:rsid w:val="121239C8"/>
    <w:rsid w:val="122B6869"/>
    <w:rsid w:val="12342D0C"/>
    <w:rsid w:val="124F2502"/>
    <w:rsid w:val="12593E15"/>
    <w:rsid w:val="1263748E"/>
    <w:rsid w:val="126831D8"/>
    <w:rsid w:val="12736138"/>
    <w:rsid w:val="129D091C"/>
    <w:rsid w:val="12A81410"/>
    <w:rsid w:val="12C432E4"/>
    <w:rsid w:val="12DC6568"/>
    <w:rsid w:val="130D1402"/>
    <w:rsid w:val="13113A2F"/>
    <w:rsid w:val="137C6C2C"/>
    <w:rsid w:val="139B6187"/>
    <w:rsid w:val="13B81CA0"/>
    <w:rsid w:val="1400281D"/>
    <w:rsid w:val="142A3322"/>
    <w:rsid w:val="14544DE2"/>
    <w:rsid w:val="14791716"/>
    <w:rsid w:val="14AD7D51"/>
    <w:rsid w:val="14EC709A"/>
    <w:rsid w:val="14EE0B35"/>
    <w:rsid w:val="15107577"/>
    <w:rsid w:val="15E60D82"/>
    <w:rsid w:val="16735121"/>
    <w:rsid w:val="167A3206"/>
    <w:rsid w:val="16A52B34"/>
    <w:rsid w:val="16D0354C"/>
    <w:rsid w:val="16D62B2E"/>
    <w:rsid w:val="16FE0FC6"/>
    <w:rsid w:val="17096864"/>
    <w:rsid w:val="171B6230"/>
    <w:rsid w:val="174029BE"/>
    <w:rsid w:val="174E6F84"/>
    <w:rsid w:val="176D270A"/>
    <w:rsid w:val="17A019EF"/>
    <w:rsid w:val="17EE60DC"/>
    <w:rsid w:val="18104EAD"/>
    <w:rsid w:val="18154A0C"/>
    <w:rsid w:val="18166563"/>
    <w:rsid w:val="181974A2"/>
    <w:rsid w:val="1843615C"/>
    <w:rsid w:val="18803B1D"/>
    <w:rsid w:val="18DE6B8C"/>
    <w:rsid w:val="18ED28DF"/>
    <w:rsid w:val="190D03C6"/>
    <w:rsid w:val="19940F2F"/>
    <w:rsid w:val="19EE710A"/>
    <w:rsid w:val="19F52847"/>
    <w:rsid w:val="1A7E3783"/>
    <w:rsid w:val="1AAB76D3"/>
    <w:rsid w:val="1AAD6013"/>
    <w:rsid w:val="1AD44A07"/>
    <w:rsid w:val="1AE86456"/>
    <w:rsid w:val="1AF1182D"/>
    <w:rsid w:val="1B0D7C79"/>
    <w:rsid w:val="1B180534"/>
    <w:rsid w:val="1B4A1222"/>
    <w:rsid w:val="1B541E23"/>
    <w:rsid w:val="1B655606"/>
    <w:rsid w:val="1B734900"/>
    <w:rsid w:val="1B814EB4"/>
    <w:rsid w:val="1B946D27"/>
    <w:rsid w:val="1BCB58F2"/>
    <w:rsid w:val="1BD92754"/>
    <w:rsid w:val="1BDF0229"/>
    <w:rsid w:val="1BF644F4"/>
    <w:rsid w:val="1BF72426"/>
    <w:rsid w:val="1BFA285A"/>
    <w:rsid w:val="1BFF2DF8"/>
    <w:rsid w:val="1C036A00"/>
    <w:rsid w:val="1C2D2C14"/>
    <w:rsid w:val="1C33174B"/>
    <w:rsid w:val="1C3376C4"/>
    <w:rsid w:val="1C5359C7"/>
    <w:rsid w:val="1CBD088F"/>
    <w:rsid w:val="1CC5766A"/>
    <w:rsid w:val="1CCE731D"/>
    <w:rsid w:val="1CDE74BE"/>
    <w:rsid w:val="1CE25115"/>
    <w:rsid w:val="1CF31B96"/>
    <w:rsid w:val="1CF63CDD"/>
    <w:rsid w:val="1D192AA2"/>
    <w:rsid w:val="1D4C6CB3"/>
    <w:rsid w:val="1D980D7A"/>
    <w:rsid w:val="1D9959F6"/>
    <w:rsid w:val="1D9C2BAB"/>
    <w:rsid w:val="1DB3076D"/>
    <w:rsid w:val="1DB62082"/>
    <w:rsid w:val="1DD41AD7"/>
    <w:rsid w:val="1DDA4634"/>
    <w:rsid w:val="1DF109C0"/>
    <w:rsid w:val="1E11404D"/>
    <w:rsid w:val="1E4428C8"/>
    <w:rsid w:val="1E5E6063"/>
    <w:rsid w:val="1E756B56"/>
    <w:rsid w:val="1E924311"/>
    <w:rsid w:val="1EA027C3"/>
    <w:rsid w:val="1EA84747"/>
    <w:rsid w:val="1ED97968"/>
    <w:rsid w:val="1EF15D62"/>
    <w:rsid w:val="1F030851"/>
    <w:rsid w:val="1F3B2A69"/>
    <w:rsid w:val="1F486B41"/>
    <w:rsid w:val="1F555EA3"/>
    <w:rsid w:val="1FD21B18"/>
    <w:rsid w:val="200C53EC"/>
    <w:rsid w:val="201F30A0"/>
    <w:rsid w:val="20653CC4"/>
    <w:rsid w:val="20757B7D"/>
    <w:rsid w:val="209A31B9"/>
    <w:rsid w:val="20C176F3"/>
    <w:rsid w:val="20D93DCF"/>
    <w:rsid w:val="20EC3F45"/>
    <w:rsid w:val="20ED28F1"/>
    <w:rsid w:val="211D5641"/>
    <w:rsid w:val="21264A7D"/>
    <w:rsid w:val="213D4424"/>
    <w:rsid w:val="214D436A"/>
    <w:rsid w:val="21503E80"/>
    <w:rsid w:val="21637ABD"/>
    <w:rsid w:val="21806105"/>
    <w:rsid w:val="21947CD1"/>
    <w:rsid w:val="219B0FD7"/>
    <w:rsid w:val="21B143DD"/>
    <w:rsid w:val="21D20A41"/>
    <w:rsid w:val="21D56613"/>
    <w:rsid w:val="21D844F0"/>
    <w:rsid w:val="21E95068"/>
    <w:rsid w:val="220D1E8E"/>
    <w:rsid w:val="222F55CA"/>
    <w:rsid w:val="223959EF"/>
    <w:rsid w:val="225E2584"/>
    <w:rsid w:val="22660D75"/>
    <w:rsid w:val="22691266"/>
    <w:rsid w:val="22795271"/>
    <w:rsid w:val="22820871"/>
    <w:rsid w:val="22DA3A1C"/>
    <w:rsid w:val="22EC63B0"/>
    <w:rsid w:val="233D2177"/>
    <w:rsid w:val="23752169"/>
    <w:rsid w:val="2392592A"/>
    <w:rsid w:val="23A900DB"/>
    <w:rsid w:val="23E225ED"/>
    <w:rsid w:val="23F72715"/>
    <w:rsid w:val="23FA0A41"/>
    <w:rsid w:val="24064886"/>
    <w:rsid w:val="24286199"/>
    <w:rsid w:val="244548F7"/>
    <w:rsid w:val="246A2B4C"/>
    <w:rsid w:val="24974810"/>
    <w:rsid w:val="249A313A"/>
    <w:rsid w:val="24B24DF1"/>
    <w:rsid w:val="24DA204D"/>
    <w:rsid w:val="25132031"/>
    <w:rsid w:val="25325FC8"/>
    <w:rsid w:val="2534492A"/>
    <w:rsid w:val="25B347A3"/>
    <w:rsid w:val="25D80E3E"/>
    <w:rsid w:val="260D693A"/>
    <w:rsid w:val="260F6372"/>
    <w:rsid w:val="26183255"/>
    <w:rsid w:val="261D1C8A"/>
    <w:rsid w:val="263154E9"/>
    <w:rsid w:val="26344067"/>
    <w:rsid w:val="263C36BA"/>
    <w:rsid w:val="265D30D0"/>
    <w:rsid w:val="26617F2B"/>
    <w:rsid w:val="266B30E2"/>
    <w:rsid w:val="26CB4330"/>
    <w:rsid w:val="271E09C9"/>
    <w:rsid w:val="2775681A"/>
    <w:rsid w:val="27762D7C"/>
    <w:rsid w:val="27EC7011"/>
    <w:rsid w:val="27F8456B"/>
    <w:rsid w:val="28031464"/>
    <w:rsid w:val="281E70BD"/>
    <w:rsid w:val="2822489F"/>
    <w:rsid w:val="28340A15"/>
    <w:rsid w:val="2863418B"/>
    <w:rsid w:val="28A0682E"/>
    <w:rsid w:val="28B137FC"/>
    <w:rsid w:val="28C0604A"/>
    <w:rsid w:val="28EA0E43"/>
    <w:rsid w:val="291676B4"/>
    <w:rsid w:val="29584C2F"/>
    <w:rsid w:val="296235AC"/>
    <w:rsid w:val="298E0983"/>
    <w:rsid w:val="29B821F0"/>
    <w:rsid w:val="29DF2355"/>
    <w:rsid w:val="29FE377C"/>
    <w:rsid w:val="2A25484A"/>
    <w:rsid w:val="2A3A2C33"/>
    <w:rsid w:val="2A6110B0"/>
    <w:rsid w:val="2A8E5A41"/>
    <w:rsid w:val="2AB04AF6"/>
    <w:rsid w:val="2AC10A6B"/>
    <w:rsid w:val="2AC27939"/>
    <w:rsid w:val="2AFA6832"/>
    <w:rsid w:val="2B0561C8"/>
    <w:rsid w:val="2B0C446B"/>
    <w:rsid w:val="2B1632E1"/>
    <w:rsid w:val="2B2260FC"/>
    <w:rsid w:val="2B3312A3"/>
    <w:rsid w:val="2B47095B"/>
    <w:rsid w:val="2B4D1046"/>
    <w:rsid w:val="2B5B3C33"/>
    <w:rsid w:val="2B6A16AD"/>
    <w:rsid w:val="2B935846"/>
    <w:rsid w:val="2BBC4B6F"/>
    <w:rsid w:val="2BC028C7"/>
    <w:rsid w:val="2BC04D0F"/>
    <w:rsid w:val="2BF96B14"/>
    <w:rsid w:val="2C330DBE"/>
    <w:rsid w:val="2C3C3A03"/>
    <w:rsid w:val="2C635AC0"/>
    <w:rsid w:val="2C6D65DB"/>
    <w:rsid w:val="2C782AE5"/>
    <w:rsid w:val="2CA23368"/>
    <w:rsid w:val="2CA42930"/>
    <w:rsid w:val="2CB05D21"/>
    <w:rsid w:val="2D1332BC"/>
    <w:rsid w:val="2D38742E"/>
    <w:rsid w:val="2D3C657F"/>
    <w:rsid w:val="2D4735E9"/>
    <w:rsid w:val="2D5008D8"/>
    <w:rsid w:val="2D5F2EDE"/>
    <w:rsid w:val="2D61706E"/>
    <w:rsid w:val="2D66162D"/>
    <w:rsid w:val="2D67598C"/>
    <w:rsid w:val="2D9A46C2"/>
    <w:rsid w:val="2DF60829"/>
    <w:rsid w:val="2E0200A0"/>
    <w:rsid w:val="2E167193"/>
    <w:rsid w:val="2E1811CC"/>
    <w:rsid w:val="2E625F1E"/>
    <w:rsid w:val="2E790D38"/>
    <w:rsid w:val="2E956B2F"/>
    <w:rsid w:val="2EDE7588"/>
    <w:rsid w:val="2F323C84"/>
    <w:rsid w:val="2FA0198F"/>
    <w:rsid w:val="2FA57AE4"/>
    <w:rsid w:val="2FC3679F"/>
    <w:rsid w:val="304F66A9"/>
    <w:rsid w:val="30A92DC8"/>
    <w:rsid w:val="30CB6D55"/>
    <w:rsid w:val="30DA7AC2"/>
    <w:rsid w:val="30F74E08"/>
    <w:rsid w:val="31303EB6"/>
    <w:rsid w:val="313A2B33"/>
    <w:rsid w:val="31596B17"/>
    <w:rsid w:val="31C029FB"/>
    <w:rsid w:val="31ED398A"/>
    <w:rsid w:val="31ED3BC6"/>
    <w:rsid w:val="31F66843"/>
    <w:rsid w:val="32077151"/>
    <w:rsid w:val="32126D29"/>
    <w:rsid w:val="321504B6"/>
    <w:rsid w:val="32563FB9"/>
    <w:rsid w:val="326A3999"/>
    <w:rsid w:val="326C6F32"/>
    <w:rsid w:val="32893EC1"/>
    <w:rsid w:val="32924292"/>
    <w:rsid w:val="32EB37A5"/>
    <w:rsid w:val="33085167"/>
    <w:rsid w:val="3335731E"/>
    <w:rsid w:val="33424783"/>
    <w:rsid w:val="334561EA"/>
    <w:rsid w:val="336514E5"/>
    <w:rsid w:val="336A246F"/>
    <w:rsid w:val="33865D34"/>
    <w:rsid w:val="338C1F91"/>
    <w:rsid w:val="33A85637"/>
    <w:rsid w:val="340D6E54"/>
    <w:rsid w:val="3413655E"/>
    <w:rsid w:val="34336FB5"/>
    <w:rsid w:val="343E0C80"/>
    <w:rsid w:val="34CB7343"/>
    <w:rsid w:val="34D70C84"/>
    <w:rsid w:val="34DA27CC"/>
    <w:rsid w:val="34FF5245"/>
    <w:rsid w:val="351B7A08"/>
    <w:rsid w:val="35274D8D"/>
    <w:rsid w:val="35460697"/>
    <w:rsid w:val="35527E7F"/>
    <w:rsid w:val="355C3C5C"/>
    <w:rsid w:val="356B1DCF"/>
    <w:rsid w:val="356D503A"/>
    <w:rsid w:val="358C5682"/>
    <w:rsid w:val="35C34DF8"/>
    <w:rsid w:val="35CF61CA"/>
    <w:rsid w:val="35E337FF"/>
    <w:rsid w:val="36A71661"/>
    <w:rsid w:val="36DA6CF4"/>
    <w:rsid w:val="37017D0C"/>
    <w:rsid w:val="374C22B5"/>
    <w:rsid w:val="37830DD2"/>
    <w:rsid w:val="37CD0133"/>
    <w:rsid w:val="37D210B3"/>
    <w:rsid w:val="37EC2E1E"/>
    <w:rsid w:val="37F62C11"/>
    <w:rsid w:val="37FD357E"/>
    <w:rsid w:val="380B5E41"/>
    <w:rsid w:val="38667090"/>
    <w:rsid w:val="387A4F8C"/>
    <w:rsid w:val="38912462"/>
    <w:rsid w:val="389629CD"/>
    <w:rsid w:val="38AF61B1"/>
    <w:rsid w:val="38E175DA"/>
    <w:rsid w:val="38FB1C09"/>
    <w:rsid w:val="39035A89"/>
    <w:rsid w:val="390A25A9"/>
    <w:rsid w:val="391D68E7"/>
    <w:rsid w:val="392963AF"/>
    <w:rsid w:val="394B5135"/>
    <w:rsid w:val="39840508"/>
    <w:rsid w:val="39BC510C"/>
    <w:rsid w:val="39E07F29"/>
    <w:rsid w:val="3A067E55"/>
    <w:rsid w:val="3A154DCD"/>
    <w:rsid w:val="3A155DD2"/>
    <w:rsid w:val="3A1C50DF"/>
    <w:rsid w:val="3A231C94"/>
    <w:rsid w:val="3A430342"/>
    <w:rsid w:val="3A4E3E0F"/>
    <w:rsid w:val="3A5B40AD"/>
    <w:rsid w:val="3A6E0190"/>
    <w:rsid w:val="3ADA3406"/>
    <w:rsid w:val="3AE52EFD"/>
    <w:rsid w:val="3B0D47D4"/>
    <w:rsid w:val="3B71192B"/>
    <w:rsid w:val="3B984133"/>
    <w:rsid w:val="3BA21077"/>
    <w:rsid w:val="3BB62457"/>
    <w:rsid w:val="3BB84498"/>
    <w:rsid w:val="3BBF7D0A"/>
    <w:rsid w:val="3C022DB5"/>
    <w:rsid w:val="3C0B597D"/>
    <w:rsid w:val="3C1032A4"/>
    <w:rsid w:val="3C37394D"/>
    <w:rsid w:val="3C3C5494"/>
    <w:rsid w:val="3C810DA0"/>
    <w:rsid w:val="3C8C3546"/>
    <w:rsid w:val="3C944F21"/>
    <w:rsid w:val="3CAE7F0F"/>
    <w:rsid w:val="3CE97038"/>
    <w:rsid w:val="3D225CEF"/>
    <w:rsid w:val="3D282D15"/>
    <w:rsid w:val="3D4015D1"/>
    <w:rsid w:val="3D6B39E5"/>
    <w:rsid w:val="3DA24F4B"/>
    <w:rsid w:val="3DCA487A"/>
    <w:rsid w:val="3DE57783"/>
    <w:rsid w:val="3DEB7AF5"/>
    <w:rsid w:val="3DEE68B3"/>
    <w:rsid w:val="3DFE37B9"/>
    <w:rsid w:val="3E396154"/>
    <w:rsid w:val="3E3E6661"/>
    <w:rsid w:val="3E681C48"/>
    <w:rsid w:val="3E8E50B5"/>
    <w:rsid w:val="3EE03C2E"/>
    <w:rsid w:val="3F5D2CB2"/>
    <w:rsid w:val="3F5F4E34"/>
    <w:rsid w:val="3F826588"/>
    <w:rsid w:val="3F9838B1"/>
    <w:rsid w:val="3FE448B1"/>
    <w:rsid w:val="3FEF06F0"/>
    <w:rsid w:val="4021199A"/>
    <w:rsid w:val="40494C9F"/>
    <w:rsid w:val="409B0513"/>
    <w:rsid w:val="40CB1AF1"/>
    <w:rsid w:val="40D9122D"/>
    <w:rsid w:val="40DF1CB1"/>
    <w:rsid w:val="40F50748"/>
    <w:rsid w:val="41312560"/>
    <w:rsid w:val="41407FEE"/>
    <w:rsid w:val="415F753C"/>
    <w:rsid w:val="418047E9"/>
    <w:rsid w:val="41895A3D"/>
    <w:rsid w:val="41A11B1F"/>
    <w:rsid w:val="41B22E40"/>
    <w:rsid w:val="41C21502"/>
    <w:rsid w:val="41F648C8"/>
    <w:rsid w:val="42026441"/>
    <w:rsid w:val="4212162C"/>
    <w:rsid w:val="42141CC4"/>
    <w:rsid w:val="4239742A"/>
    <w:rsid w:val="42AF4E9F"/>
    <w:rsid w:val="42D92862"/>
    <w:rsid w:val="42EE29D2"/>
    <w:rsid w:val="42F9643C"/>
    <w:rsid w:val="4333596C"/>
    <w:rsid w:val="435A2447"/>
    <w:rsid w:val="436A1A55"/>
    <w:rsid w:val="438C15FA"/>
    <w:rsid w:val="43A60B98"/>
    <w:rsid w:val="43AE771E"/>
    <w:rsid w:val="43DC4513"/>
    <w:rsid w:val="43E157E5"/>
    <w:rsid w:val="440100B9"/>
    <w:rsid w:val="440E0017"/>
    <w:rsid w:val="44245CD8"/>
    <w:rsid w:val="442B4793"/>
    <w:rsid w:val="442C7C8F"/>
    <w:rsid w:val="443371F6"/>
    <w:rsid w:val="444B5304"/>
    <w:rsid w:val="44E95A54"/>
    <w:rsid w:val="44EA6698"/>
    <w:rsid w:val="45046EAA"/>
    <w:rsid w:val="450D4965"/>
    <w:rsid w:val="459D03D9"/>
    <w:rsid w:val="45BB7231"/>
    <w:rsid w:val="45DE441A"/>
    <w:rsid w:val="462C2617"/>
    <w:rsid w:val="46747A59"/>
    <w:rsid w:val="46CB239E"/>
    <w:rsid w:val="46F913AA"/>
    <w:rsid w:val="47090509"/>
    <w:rsid w:val="47460E2C"/>
    <w:rsid w:val="475E74AA"/>
    <w:rsid w:val="478F33B4"/>
    <w:rsid w:val="47B22660"/>
    <w:rsid w:val="47BD5086"/>
    <w:rsid w:val="47DD5DC2"/>
    <w:rsid w:val="48024914"/>
    <w:rsid w:val="480B7AA3"/>
    <w:rsid w:val="489B346A"/>
    <w:rsid w:val="48E62CFD"/>
    <w:rsid w:val="490F39FE"/>
    <w:rsid w:val="495046A4"/>
    <w:rsid w:val="497C277A"/>
    <w:rsid w:val="49812065"/>
    <w:rsid w:val="498E4DDC"/>
    <w:rsid w:val="49A33752"/>
    <w:rsid w:val="49CB6631"/>
    <w:rsid w:val="49D47C45"/>
    <w:rsid w:val="49DB51F8"/>
    <w:rsid w:val="4A1E133A"/>
    <w:rsid w:val="4A2909BD"/>
    <w:rsid w:val="4A53792E"/>
    <w:rsid w:val="4A604BF9"/>
    <w:rsid w:val="4A7F4659"/>
    <w:rsid w:val="4AAA5FDD"/>
    <w:rsid w:val="4AAC51FD"/>
    <w:rsid w:val="4AC0270B"/>
    <w:rsid w:val="4AD12DBA"/>
    <w:rsid w:val="4AD373C9"/>
    <w:rsid w:val="4AD74D13"/>
    <w:rsid w:val="4ADD4494"/>
    <w:rsid w:val="4ADE6B30"/>
    <w:rsid w:val="4AEE19F7"/>
    <w:rsid w:val="4AF0018A"/>
    <w:rsid w:val="4B014161"/>
    <w:rsid w:val="4B1C0A89"/>
    <w:rsid w:val="4B2E109D"/>
    <w:rsid w:val="4B302515"/>
    <w:rsid w:val="4B7F4A83"/>
    <w:rsid w:val="4B9B4C18"/>
    <w:rsid w:val="4BB5418E"/>
    <w:rsid w:val="4C0A2600"/>
    <w:rsid w:val="4C147063"/>
    <w:rsid w:val="4C522D3C"/>
    <w:rsid w:val="4C861648"/>
    <w:rsid w:val="4CCE04A1"/>
    <w:rsid w:val="4D106008"/>
    <w:rsid w:val="4D1F370A"/>
    <w:rsid w:val="4D3B1CA3"/>
    <w:rsid w:val="4D3F58B4"/>
    <w:rsid w:val="4D54636C"/>
    <w:rsid w:val="4D7D2BE9"/>
    <w:rsid w:val="4DA20C45"/>
    <w:rsid w:val="4DC1499A"/>
    <w:rsid w:val="4DCD1DA8"/>
    <w:rsid w:val="4DE91AC9"/>
    <w:rsid w:val="4DF94F0E"/>
    <w:rsid w:val="4E0A5E8C"/>
    <w:rsid w:val="4E2B704A"/>
    <w:rsid w:val="4E4D60A1"/>
    <w:rsid w:val="4E511CF5"/>
    <w:rsid w:val="4E915B8F"/>
    <w:rsid w:val="4EB11CE0"/>
    <w:rsid w:val="4ED37430"/>
    <w:rsid w:val="4EFB18B5"/>
    <w:rsid w:val="4F1C30BC"/>
    <w:rsid w:val="4F4F2E3B"/>
    <w:rsid w:val="4F586DB0"/>
    <w:rsid w:val="4F892CCB"/>
    <w:rsid w:val="4F9F57CC"/>
    <w:rsid w:val="4FCD7201"/>
    <w:rsid w:val="50232EFD"/>
    <w:rsid w:val="503D0D61"/>
    <w:rsid w:val="505D4C3A"/>
    <w:rsid w:val="509F034C"/>
    <w:rsid w:val="50A80194"/>
    <w:rsid w:val="50BD1584"/>
    <w:rsid w:val="50F9794F"/>
    <w:rsid w:val="50FC6038"/>
    <w:rsid w:val="51385C6E"/>
    <w:rsid w:val="51A268B0"/>
    <w:rsid w:val="526E09E9"/>
    <w:rsid w:val="527830F0"/>
    <w:rsid w:val="529B1AA1"/>
    <w:rsid w:val="52EC2020"/>
    <w:rsid w:val="52EF226E"/>
    <w:rsid w:val="52FB7411"/>
    <w:rsid w:val="53223FF5"/>
    <w:rsid w:val="53450DB7"/>
    <w:rsid w:val="535D363C"/>
    <w:rsid w:val="536D408B"/>
    <w:rsid w:val="536F03D9"/>
    <w:rsid w:val="53875AA3"/>
    <w:rsid w:val="53CE4692"/>
    <w:rsid w:val="54192049"/>
    <w:rsid w:val="54244C92"/>
    <w:rsid w:val="543075D3"/>
    <w:rsid w:val="54335333"/>
    <w:rsid w:val="543E5EBA"/>
    <w:rsid w:val="544D1808"/>
    <w:rsid w:val="54751510"/>
    <w:rsid w:val="547669AF"/>
    <w:rsid w:val="549452DE"/>
    <w:rsid w:val="549A4B29"/>
    <w:rsid w:val="54BD03C1"/>
    <w:rsid w:val="54C07319"/>
    <w:rsid w:val="54CF741F"/>
    <w:rsid w:val="5503596B"/>
    <w:rsid w:val="551D150F"/>
    <w:rsid w:val="55631987"/>
    <w:rsid w:val="55DA06BA"/>
    <w:rsid w:val="55E75328"/>
    <w:rsid w:val="55EE7D11"/>
    <w:rsid w:val="56305772"/>
    <w:rsid w:val="56427F14"/>
    <w:rsid w:val="56486435"/>
    <w:rsid w:val="56526DA3"/>
    <w:rsid w:val="568004DF"/>
    <w:rsid w:val="56842D81"/>
    <w:rsid w:val="568B0563"/>
    <w:rsid w:val="56AE6B8F"/>
    <w:rsid w:val="56E35F19"/>
    <w:rsid w:val="57030812"/>
    <w:rsid w:val="57157E36"/>
    <w:rsid w:val="57214BD2"/>
    <w:rsid w:val="57875BB1"/>
    <w:rsid w:val="57EE1223"/>
    <w:rsid w:val="584E446F"/>
    <w:rsid w:val="58A509DC"/>
    <w:rsid w:val="58A773F1"/>
    <w:rsid w:val="58B14BCB"/>
    <w:rsid w:val="58D01536"/>
    <w:rsid w:val="58D07F93"/>
    <w:rsid w:val="58DF6B51"/>
    <w:rsid w:val="58F12789"/>
    <w:rsid w:val="595A3F3F"/>
    <w:rsid w:val="59704541"/>
    <w:rsid w:val="599036F3"/>
    <w:rsid w:val="5A413EC6"/>
    <w:rsid w:val="5A676B79"/>
    <w:rsid w:val="5A70061F"/>
    <w:rsid w:val="5A8C3D07"/>
    <w:rsid w:val="5A8D5072"/>
    <w:rsid w:val="5AF842E5"/>
    <w:rsid w:val="5B042E27"/>
    <w:rsid w:val="5B084EE1"/>
    <w:rsid w:val="5B3556C8"/>
    <w:rsid w:val="5B382B16"/>
    <w:rsid w:val="5B530CFF"/>
    <w:rsid w:val="5B617B14"/>
    <w:rsid w:val="5B8228A6"/>
    <w:rsid w:val="5BD13F45"/>
    <w:rsid w:val="5BDE13C4"/>
    <w:rsid w:val="5C10647C"/>
    <w:rsid w:val="5C1E3305"/>
    <w:rsid w:val="5C293BF7"/>
    <w:rsid w:val="5C2D3DD2"/>
    <w:rsid w:val="5C654697"/>
    <w:rsid w:val="5C7A1ACA"/>
    <w:rsid w:val="5C81078D"/>
    <w:rsid w:val="5CA21F5A"/>
    <w:rsid w:val="5CBC4EEE"/>
    <w:rsid w:val="5CD315C2"/>
    <w:rsid w:val="5CED11EC"/>
    <w:rsid w:val="5D013BF6"/>
    <w:rsid w:val="5D0D5AB2"/>
    <w:rsid w:val="5D156BA1"/>
    <w:rsid w:val="5D600754"/>
    <w:rsid w:val="5D926130"/>
    <w:rsid w:val="5D92680F"/>
    <w:rsid w:val="5D9A399A"/>
    <w:rsid w:val="5D9C0584"/>
    <w:rsid w:val="5E0464D2"/>
    <w:rsid w:val="5E056102"/>
    <w:rsid w:val="5E0B747F"/>
    <w:rsid w:val="5E12484B"/>
    <w:rsid w:val="5E136BBC"/>
    <w:rsid w:val="5E1A2DB2"/>
    <w:rsid w:val="5E2147A3"/>
    <w:rsid w:val="5E2C09E8"/>
    <w:rsid w:val="5E51036E"/>
    <w:rsid w:val="5E8050BC"/>
    <w:rsid w:val="5EA56F6E"/>
    <w:rsid w:val="5EB46E02"/>
    <w:rsid w:val="5ED201B5"/>
    <w:rsid w:val="5EE5200C"/>
    <w:rsid w:val="5EF66CB6"/>
    <w:rsid w:val="5F145553"/>
    <w:rsid w:val="5F302D42"/>
    <w:rsid w:val="5F3D730B"/>
    <w:rsid w:val="5F3E1823"/>
    <w:rsid w:val="5F4A6BF9"/>
    <w:rsid w:val="5F4D3A31"/>
    <w:rsid w:val="5F892AA6"/>
    <w:rsid w:val="5F920E6B"/>
    <w:rsid w:val="5FB75988"/>
    <w:rsid w:val="5FD53321"/>
    <w:rsid w:val="5FDF15C8"/>
    <w:rsid w:val="6047052A"/>
    <w:rsid w:val="60557EA7"/>
    <w:rsid w:val="6061402C"/>
    <w:rsid w:val="607A1BB4"/>
    <w:rsid w:val="607F60FF"/>
    <w:rsid w:val="60826CC9"/>
    <w:rsid w:val="60A26A21"/>
    <w:rsid w:val="60B9251E"/>
    <w:rsid w:val="60B95A32"/>
    <w:rsid w:val="60C546A9"/>
    <w:rsid w:val="60CF6BB8"/>
    <w:rsid w:val="60D27982"/>
    <w:rsid w:val="60DC6888"/>
    <w:rsid w:val="60F51266"/>
    <w:rsid w:val="61094A69"/>
    <w:rsid w:val="611647A9"/>
    <w:rsid w:val="612955ED"/>
    <w:rsid w:val="61764411"/>
    <w:rsid w:val="617A4678"/>
    <w:rsid w:val="61E910A4"/>
    <w:rsid w:val="620C05EB"/>
    <w:rsid w:val="620E54D4"/>
    <w:rsid w:val="622258DF"/>
    <w:rsid w:val="62CA063C"/>
    <w:rsid w:val="62FE2E90"/>
    <w:rsid w:val="63060FF8"/>
    <w:rsid w:val="6308501A"/>
    <w:rsid w:val="63C00561"/>
    <w:rsid w:val="63C32408"/>
    <w:rsid w:val="63CE115E"/>
    <w:rsid w:val="63DA2429"/>
    <w:rsid w:val="63FB30B3"/>
    <w:rsid w:val="64141F99"/>
    <w:rsid w:val="64197F76"/>
    <w:rsid w:val="64303A6F"/>
    <w:rsid w:val="643B7F5F"/>
    <w:rsid w:val="645D1896"/>
    <w:rsid w:val="648D2B35"/>
    <w:rsid w:val="64B94103"/>
    <w:rsid w:val="64BA0B65"/>
    <w:rsid w:val="64BB194A"/>
    <w:rsid w:val="64CE4755"/>
    <w:rsid w:val="650506F5"/>
    <w:rsid w:val="65070576"/>
    <w:rsid w:val="650D1CB7"/>
    <w:rsid w:val="651B3011"/>
    <w:rsid w:val="651E17D4"/>
    <w:rsid w:val="652D2924"/>
    <w:rsid w:val="654A5C49"/>
    <w:rsid w:val="65661CAD"/>
    <w:rsid w:val="65EE66C8"/>
    <w:rsid w:val="66076F03"/>
    <w:rsid w:val="664F3439"/>
    <w:rsid w:val="66526D6C"/>
    <w:rsid w:val="66A03ED5"/>
    <w:rsid w:val="66D565E2"/>
    <w:rsid w:val="66FC6FF8"/>
    <w:rsid w:val="675E7885"/>
    <w:rsid w:val="67624D51"/>
    <w:rsid w:val="676A0C23"/>
    <w:rsid w:val="67837E1A"/>
    <w:rsid w:val="67AF1871"/>
    <w:rsid w:val="67BF504C"/>
    <w:rsid w:val="67C76DF0"/>
    <w:rsid w:val="68281FB0"/>
    <w:rsid w:val="68347C16"/>
    <w:rsid w:val="68CE4C8E"/>
    <w:rsid w:val="68E21308"/>
    <w:rsid w:val="68F708F5"/>
    <w:rsid w:val="68F81B9A"/>
    <w:rsid w:val="68FB03D2"/>
    <w:rsid w:val="690414E6"/>
    <w:rsid w:val="69142625"/>
    <w:rsid w:val="692660D8"/>
    <w:rsid w:val="695A42F9"/>
    <w:rsid w:val="69650C0F"/>
    <w:rsid w:val="69762326"/>
    <w:rsid w:val="699A5750"/>
    <w:rsid w:val="6A1F0B96"/>
    <w:rsid w:val="6A296A52"/>
    <w:rsid w:val="6A5579CA"/>
    <w:rsid w:val="6A5B0722"/>
    <w:rsid w:val="6AAF4628"/>
    <w:rsid w:val="6B494E92"/>
    <w:rsid w:val="6B7D424A"/>
    <w:rsid w:val="6BAD7A1D"/>
    <w:rsid w:val="6BAF7327"/>
    <w:rsid w:val="6BD2405E"/>
    <w:rsid w:val="6BE65C9F"/>
    <w:rsid w:val="6C047126"/>
    <w:rsid w:val="6C2037BB"/>
    <w:rsid w:val="6C46417B"/>
    <w:rsid w:val="6C761C62"/>
    <w:rsid w:val="6C804A14"/>
    <w:rsid w:val="6CB0442F"/>
    <w:rsid w:val="6CB93FEC"/>
    <w:rsid w:val="6D6B7F0B"/>
    <w:rsid w:val="6D7B0227"/>
    <w:rsid w:val="6D8F1EC8"/>
    <w:rsid w:val="6DA325F4"/>
    <w:rsid w:val="6DBD5B44"/>
    <w:rsid w:val="6E0E768A"/>
    <w:rsid w:val="6E635AAA"/>
    <w:rsid w:val="6E855B0B"/>
    <w:rsid w:val="6EC43C6E"/>
    <w:rsid w:val="6F20763F"/>
    <w:rsid w:val="6F302651"/>
    <w:rsid w:val="6F372A3F"/>
    <w:rsid w:val="6F4A380B"/>
    <w:rsid w:val="6F9265E7"/>
    <w:rsid w:val="6F9F2315"/>
    <w:rsid w:val="6FB57C9C"/>
    <w:rsid w:val="6FBD496C"/>
    <w:rsid w:val="6FE236DD"/>
    <w:rsid w:val="6FEE5BD7"/>
    <w:rsid w:val="7025393C"/>
    <w:rsid w:val="703F4185"/>
    <w:rsid w:val="705B5D59"/>
    <w:rsid w:val="705E7DBF"/>
    <w:rsid w:val="70744DFD"/>
    <w:rsid w:val="707F5536"/>
    <w:rsid w:val="70A85623"/>
    <w:rsid w:val="70C6671F"/>
    <w:rsid w:val="70CF029F"/>
    <w:rsid w:val="70D34B28"/>
    <w:rsid w:val="70EC20BC"/>
    <w:rsid w:val="7105545F"/>
    <w:rsid w:val="713342C9"/>
    <w:rsid w:val="71934206"/>
    <w:rsid w:val="719846E1"/>
    <w:rsid w:val="71A806CD"/>
    <w:rsid w:val="71B945F8"/>
    <w:rsid w:val="71CC74BD"/>
    <w:rsid w:val="71E50897"/>
    <w:rsid w:val="71EF5C6D"/>
    <w:rsid w:val="723662E5"/>
    <w:rsid w:val="72625E5B"/>
    <w:rsid w:val="72700B73"/>
    <w:rsid w:val="72AB0C50"/>
    <w:rsid w:val="72B34E77"/>
    <w:rsid w:val="72D07BC9"/>
    <w:rsid w:val="72F052EC"/>
    <w:rsid w:val="732F66CE"/>
    <w:rsid w:val="734F5212"/>
    <w:rsid w:val="73826483"/>
    <w:rsid w:val="7387000A"/>
    <w:rsid w:val="73965E0D"/>
    <w:rsid w:val="73A8745A"/>
    <w:rsid w:val="73BC2E8F"/>
    <w:rsid w:val="744F4780"/>
    <w:rsid w:val="747D2B71"/>
    <w:rsid w:val="7493654D"/>
    <w:rsid w:val="749821BB"/>
    <w:rsid w:val="749B33DA"/>
    <w:rsid w:val="74BC6E3C"/>
    <w:rsid w:val="75143D39"/>
    <w:rsid w:val="752D4FA5"/>
    <w:rsid w:val="75324713"/>
    <w:rsid w:val="75967B36"/>
    <w:rsid w:val="75DE5C5E"/>
    <w:rsid w:val="75FC5240"/>
    <w:rsid w:val="75FF5C43"/>
    <w:rsid w:val="76123ABF"/>
    <w:rsid w:val="76295077"/>
    <w:rsid w:val="76624948"/>
    <w:rsid w:val="76653E56"/>
    <w:rsid w:val="768F59D3"/>
    <w:rsid w:val="76B92A29"/>
    <w:rsid w:val="76D8042C"/>
    <w:rsid w:val="771144C2"/>
    <w:rsid w:val="77295EDD"/>
    <w:rsid w:val="773842D7"/>
    <w:rsid w:val="77946B34"/>
    <w:rsid w:val="77984EA3"/>
    <w:rsid w:val="77BF1928"/>
    <w:rsid w:val="77D40D04"/>
    <w:rsid w:val="77D57105"/>
    <w:rsid w:val="77E140BA"/>
    <w:rsid w:val="78181608"/>
    <w:rsid w:val="789E03B0"/>
    <w:rsid w:val="79115235"/>
    <w:rsid w:val="794E1AFD"/>
    <w:rsid w:val="79747B61"/>
    <w:rsid w:val="79AA098A"/>
    <w:rsid w:val="79BD4C6A"/>
    <w:rsid w:val="7A061BF1"/>
    <w:rsid w:val="7A383644"/>
    <w:rsid w:val="7A56471F"/>
    <w:rsid w:val="7A631889"/>
    <w:rsid w:val="7A6B0587"/>
    <w:rsid w:val="7A6F4888"/>
    <w:rsid w:val="7A7C1B81"/>
    <w:rsid w:val="7A8371C9"/>
    <w:rsid w:val="7A937975"/>
    <w:rsid w:val="7ACB46DF"/>
    <w:rsid w:val="7ACD3B05"/>
    <w:rsid w:val="7AF73D2A"/>
    <w:rsid w:val="7B280AFB"/>
    <w:rsid w:val="7B3048D8"/>
    <w:rsid w:val="7B4774DB"/>
    <w:rsid w:val="7B510977"/>
    <w:rsid w:val="7B990752"/>
    <w:rsid w:val="7B9D18A3"/>
    <w:rsid w:val="7BA1197D"/>
    <w:rsid w:val="7BB53869"/>
    <w:rsid w:val="7BB97F65"/>
    <w:rsid w:val="7BC31A4F"/>
    <w:rsid w:val="7BEB6246"/>
    <w:rsid w:val="7BF61AC9"/>
    <w:rsid w:val="7BFC175F"/>
    <w:rsid w:val="7C22568B"/>
    <w:rsid w:val="7C236B58"/>
    <w:rsid w:val="7C715AC7"/>
    <w:rsid w:val="7C784C3C"/>
    <w:rsid w:val="7CD7279F"/>
    <w:rsid w:val="7CEF31BA"/>
    <w:rsid w:val="7CEF5972"/>
    <w:rsid w:val="7D3D3235"/>
    <w:rsid w:val="7DAD097F"/>
    <w:rsid w:val="7DC409AC"/>
    <w:rsid w:val="7E025866"/>
    <w:rsid w:val="7E153061"/>
    <w:rsid w:val="7E7977C5"/>
    <w:rsid w:val="7E8F6AF4"/>
    <w:rsid w:val="7E9C3921"/>
    <w:rsid w:val="7EBC1D88"/>
    <w:rsid w:val="7F01063F"/>
    <w:rsid w:val="7F0E2032"/>
    <w:rsid w:val="7F3A579F"/>
    <w:rsid w:val="7F8063A1"/>
    <w:rsid w:val="7F81232D"/>
    <w:rsid w:val="7F894FD7"/>
    <w:rsid w:val="7FC45191"/>
    <w:rsid w:val="7FE37F9C"/>
    <w:rsid w:val="7FEE2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qFormat/>
    <w:uiPriority w:val="0"/>
    <w:pPr>
      <w:spacing w:beforeLines="50" w:afterLines="50"/>
      <w:jc w:val="left"/>
      <w:outlineLvl w:val="1"/>
    </w:pPr>
    <w:rPr>
      <w:sz w:val="32"/>
      <w:szCs w:val="32"/>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kern w:val="0"/>
      <w:sz w:val="27"/>
      <w:szCs w:val="27"/>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0"/>
    <w:pPr>
      <w:shd w:val="clear" w:color="auto" w:fill="FFFFFF"/>
      <w:spacing w:before="300" w:after="720" w:line="240" w:lineRule="atLeast"/>
      <w:jc w:val="center"/>
    </w:pPr>
    <w:rPr>
      <w:rFonts w:ascii="MingLiU" w:eastAsia="MingLiU"/>
      <w:kern w:val="0"/>
      <w:sz w:val="25"/>
      <w:szCs w:val="25"/>
    </w:rPr>
  </w:style>
  <w:style w:type="paragraph" w:styleId="6">
    <w:name w:val="Balloon Text"/>
    <w:basedOn w:val="1"/>
    <w:link w:val="34"/>
    <w:semiHidden/>
    <w:unhideWhenUsed/>
    <w:qFormat/>
    <w:uiPriority w:val="99"/>
    <w:rPr>
      <w:sz w:val="18"/>
      <w:szCs w:val="18"/>
    </w:rPr>
  </w:style>
  <w:style w:type="paragraph" w:styleId="7">
    <w:name w:val="footer"/>
    <w:basedOn w:val="1"/>
    <w:link w:val="20"/>
    <w:semiHidden/>
    <w:unhideWhenUsed/>
    <w:qFormat/>
    <w:uiPriority w:val="99"/>
    <w:pPr>
      <w:tabs>
        <w:tab w:val="center" w:pos="4153"/>
        <w:tab w:val="right" w:pos="8306"/>
      </w:tabs>
      <w:snapToGrid w:val="0"/>
      <w:jc w:val="left"/>
    </w:pPr>
    <w:rPr>
      <w:sz w:val="18"/>
      <w:szCs w:val="18"/>
    </w:rPr>
  </w:style>
  <w:style w:type="paragraph" w:styleId="8">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toc 2"/>
    <w:basedOn w:val="1"/>
    <w:next w:val="1"/>
    <w:unhideWhenUsed/>
    <w:qFormat/>
    <w:uiPriority w:val="39"/>
    <w:pPr>
      <w:ind w:left="420" w:leftChars="200"/>
    </w:pPr>
  </w:style>
  <w:style w:type="paragraph" w:styleId="11">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22"/>
    <w:rPr>
      <w:b/>
    </w:rPr>
  </w:style>
  <w:style w:type="character" w:styleId="16">
    <w:name w:val="FollowedHyperlink"/>
    <w:basedOn w:val="14"/>
    <w:semiHidden/>
    <w:unhideWhenUsed/>
    <w:qFormat/>
    <w:uiPriority w:val="99"/>
    <w:rPr>
      <w:color w:val="333333"/>
      <w:u w:val="none"/>
    </w:rPr>
  </w:style>
  <w:style w:type="character" w:styleId="17">
    <w:name w:val="Emphasis"/>
    <w:basedOn w:val="14"/>
    <w:qFormat/>
    <w:uiPriority w:val="20"/>
  </w:style>
  <w:style w:type="character" w:styleId="18">
    <w:name w:val="Hyperlink"/>
    <w:basedOn w:val="14"/>
    <w:unhideWhenUsed/>
    <w:qFormat/>
    <w:uiPriority w:val="99"/>
    <w:rPr>
      <w:color w:val="0000FF"/>
      <w:u w:val="single"/>
    </w:rPr>
  </w:style>
  <w:style w:type="character" w:customStyle="1" w:styleId="19">
    <w:name w:val="页眉 Char"/>
    <w:basedOn w:val="14"/>
    <w:link w:val="8"/>
    <w:semiHidden/>
    <w:qFormat/>
    <w:uiPriority w:val="99"/>
    <w:rPr>
      <w:sz w:val="18"/>
      <w:szCs w:val="18"/>
    </w:rPr>
  </w:style>
  <w:style w:type="character" w:customStyle="1" w:styleId="20">
    <w:name w:val="页脚 Char"/>
    <w:basedOn w:val="14"/>
    <w:link w:val="7"/>
    <w:semiHidden/>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正文文本 Char"/>
    <w:link w:val="5"/>
    <w:qFormat/>
    <w:uiPriority w:val="0"/>
    <w:rPr>
      <w:rFonts w:ascii="MingLiU" w:eastAsia="MingLiU"/>
      <w:kern w:val="0"/>
      <w:sz w:val="25"/>
      <w:szCs w:val="25"/>
    </w:rPr>
  </w:style>
  <w:style w:type="character" w:customStyle="1" w:styleId="23">
    <w:name w:val="font01"/>
    <w:basedOn w:val="14"/>
    <w:qFormat/>
    <w:uiPriority w:val="0"/>
    <w:rPr>
      <w:rFonts w:hint="eastAsia" w:ascii="宋体" w:hAnsi="宋体" w:eastAsia="宋体" w:cs="宋体"/>
      <w:color w:val="000000"/>
      <w:sz w:val="22"/>
      <w:szCs w:val="22"/>
      <w:u w:val="none"/>
    </w:rPr>
  </w:style>
  <w:style w:type="paragraph" w:customStyle="1" w:styleId="24">
    <w:name w:val="WPSOffice手动目录 1"/>
    <w:qFormat/>
    <w:uiPriority w:val="0"/>
    <w:rPr>
      <w:rFonts w:eastAsia="微软雅黑" w:asciiTheme="minorHAnsi" w:hAnsiTheme="minorHAnsi" w:cstheme="minorBidi"/>
      <w:lang w:val="en-US" w:eastAsia="zh-CN" w:bidi="ar-SA"/>
    </w:rPr>
  </w:style>
  <w:style w:type="paragraph" w:customStyle="1" w:styleId="25">
    <w:name w:val="WPSOffice手动目录 2"/>
    <w:qFormat/>
    <w:uiPriority w:val="0"/>
    <w:pPr>
      <w:ind w:left="200" w:leftChars="200"/>
    </w:pPr>
    <w:rPr>
      <w:rFonts w:eastAsia="微软雅黑" w:asciiTheme="minorHAnsi" w:hAnsiTheme="minorHAnsi" w:cstheme="minorBidi"/>
      <w:lang w:val="en-US" w:eastAsia="zh-CN" w:bidi="ar-SA"/>
    </w:rPr>
  </w:style>
  <w:style w:type="character" w:customStyle="1" w:styleId="26">
    <w:name w:val="current"/>
    <w:basedOn w:val="14"/>
    <w:qFormat/>
    <w:uiPriority w:val="0"/>
    <w:rPr>
      <w:color w:val="FFFFFF"/>
      <w:u w:val="none"/>
      <w:bdr w:val="single" w:color="0085D1" w:sz="6" w:space="0"/>
      <w:shd w:val="clear" w:color="auto" w:fill="0085D1"/>
    </w:rPr>
  </w:style>
  <w:style w:type="character" w:customStyle="1" w:styleId="27">
    <w:name w:val="disab"/>
    <w:basedOn w:val="14"/>
    <w:qFormat/>
    <w:uiPriority w:val="0"/>
    <w:rPr>
      <w:bdr w:val="single" w:color="E4E4E4" w:sz="6" w:space="0"/>
      <w:shd w:val="clear" w:color="auto" w:fill="EEEEEE"/>
    </w:rPr>
  </w:style>
  <w:style w:type="character" w:customStyle="1" w:styleId="28">
    <w:name w:val="disabled"/>
    <w:basedOn w:val="14"/>
    <w:qFormat/>
    <w:uiPriority w:val="0"/>
    <w:rPr>
      <w:bdr w:val="single" w:color="E4E4E4" w:sz="6" w:space="0"/>
      <w:shd w:val="clear" w:color="auto" w:fill="EEEEEE"/>
    </w:rPr>
  </w:style>
  <w:style w:type="character" w:customStyle="1" w:styleId="29">
    <w:name w:val="go"/>
    <w:basedOn w:val="14"/>
    <w:qFormat/>
    <w:uiPriority w:val="0"/>
    <w:rPr>
      <w:shd w:val="clear" w:color="auto" w:fill="E2E2E2"/>
    </w:rPr>
  </w:style>
  <w:style w:type="character" w:customStyle="1" w:styleId="30">
    <w:name w:val="hover14"/>
    <w:basedOn w:val="14"/>
    <w:qFormat/>
    <w:uiPriority w:val="0"/>
    <w:rPr>
      <w:color w:val="FFFFFF"/>
      <w:u w:val="none"/>
      <w:bdr w:val="single" w:color="0085D1" w:sz="6" w:space="0"/>
      <w:shd w:val="clear" w:color="auto" w:fill="0085D1"/>
    </w:rPr>
  </w:style>
  <w:style w:type="character" w:customStyle="1" w:styleId="31">
    <w:name w:val="t_bg1"/>
    <w:basedOn w:val="14"/>
    <w:qFormat/>
    <w:uiPriority w:val="0"/>
    <w:rPr>
      <w:color w:val="FFFFFF"/>
      <w:bdr w:val="single" w:color="35B36A" w:sz="6" w:space="0"/>
      <w:shd w:val="clear" w:color="auto" w:fill="35B36A"/>
    </w:rPr>
  </w:style>
  <w:style w:type="character" w:customStyle="1" w:styleId="32">
    <w:name w:val="t_bg2"/>
    <w:basedOn w:val="14"/>
    <w:qFormat/>
    <w:uiPriority w:val="0"/>
    <w:rPr>
      <w:color w:val="FFFFFF"/>
      <w:bdr w:val="single" w:color="FAA72D" w:sz="6" w:space="0"/>
      <w:shd w:val="clear" w:color="auto" w:fill="FAA72D"/>
    </w:rPr>
  </w:style>
  <w:style w:type="character" w:customStyle="1" w:styleId="33">
    <w:name w:val="t_bg3"/>
    <w:basedOn w:val="14"/>
    <w:qFormat/>
    <w:uiPriority w:val="0"/>
    <w:rPr>
      <w:color w:val="FFFFFF"/>
      <w:bdr w:val="single" w:color="01AEFF" w:sz="6" w:space="0"/>
      <w:shd w:val="clear" w:color="auto" w:fill="01AEFF"/>
    </w:rPr>
  </w:style>
  <w:style w:type="character" w:customStyle="1" w:styleId="34">
    <w:name w:val="批注框文本 Char"/>
    <w:basedOn w:val="14"/>
    <w:link w:val="6"/>
    <w:semiHidden/>
    <w:qFormat/>
    <w:uiPriority w:val="99"/>
    <w:rPr>
      <w:rFonts w:asciiTheme="minorHAnsi" w:hAnsiTheme="minorHAnsi" w:eastAsiaTheme="minorEastAsia" w:cstheme="minorBidi"/>
      <w:kern w:val="2"/>
      <w:sz w:val="18"/>
      <w:szCs w:val="18"/>
    </w:rPr>
  </w:style>
  <w:style w:type="paragraph" w:customStyle="1" w:styleId="35">
    <w:name w:val="Default"/>
    <w:unhideWhenUsed/>
    <w:qFormat/>
    <w:uiPriority w:val="99"/>
    <w:pPr>
      <w:widowControl w:val="0"/>
      <w:autoSpaceDE w:val="0"/>
      <w:autoSpaceDN w:val="0"/>
      <w:adjustRightInd w:val="0"/>
    </w:pPr>
    <w:rPr>
      <w:rFonts w:ascii="楷体_GB2312" w:hAnsi="楷体_GB2312" w:eastAsia="楷体_GB2312"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6EECF1-BF13-48B7-BBAE-4E3A69D0115D}">
  <ds:schemaRefs/>
</ds:datastoreItem>
</file>

<file path=docProps/app.xml><?xml version="1.0" encoding="utf-8"?>
<Properties xmlns="http://schemas.openxmlformats.org/officeDocument/2006/extended-properties" xmlns:vt="http://schemas.openxmlformats.org/officeDocument/2006/docPropsVTypes">
  <Template>Normal</Template>
  <Pages>45</Pages>
  <Words>23649</Words>
  <Characters>24726</Characters>
  <Lines>32</Lines>
  <Paragraphs>57</Paragraphs>
  <TotalTime>16</TotalTime>
  <ScaleCrop>false</ScaleCrop>
  <LinksUpToDate>false</LinksUpToDate>
  <CharactersWithSpaces>24783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2020-12-03T02:01:00Z</dcterms:created>
  <dc:creator>Administrator</dc:creator>
  <cp:lastModifiedBy>Administrator</cp:lastModifiedBy>
  <cp:lastPrinted>2020-12-11T00:58:00Z</cp:lastPrinted>
  <dcterms:modified xsi:type="dcterms:W3CDTF">2022-06-30T08:22:44Z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EF05A67EBE864269898866AC51FB85E5</vt:lpwstr>
  </property>
</Properties>
</file>