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rPr>
          <w:sz w:val="32"/>
          <w:szCs w:val="32"/>
        </w:rPr>
      </w:pPr>
    </w:p>
    <w:p>
      <w:pPr>
        <w:jc w:val="center"/>
        <w:rPr>
          <w:sz w:val="84"/>
          <w:szCs w:val="84"/>
        </w:rPr>
      </w:pPr>
    </w:p>
    <w:p>
      <w:pPr>
        <w:jc w:val="center"/>
        <w:rPr>
          <w:sz w:val="84"/>
          <w:szCs w:val="84"/>
        </w:rPr>
      </w:pPr>
    </w:p>
    <w:p>
      <w:pPr>
        <w:jc w:val="center"/>
        <w:rPr>
          <w:rFonts w:ascii="方正小标宋简体" w:eastAsia="方正小标宋简体"/>
          <w:sz w:val="84"/>
          <w:szCs w:val="84"/>
        </w:rPr>
      </w:pPr>
      <w:r>
        <w:rPr>
          <w:rFonts w:hint="eastAsia" w:ascii="方正小标宋简体" w:eastAsia="方正小标宋简体"/>
          <w:sz w:val="84"/>
          <w:szCs w:val="84"/>
        </w:rPr>
        <w:t>202</w:t>
      </w:r>
      <w:r>
        <w:rPr>
          <w:rFonts w:ascii="方正小标宋简体" w:eastAsia="方正小标宋简体"/>
          <w:sz w:val="84"/>
          <w:szCs w:val="84"/>
        </w:rPr>
        <w:t>4</w:t>
      </w:r>
      <w:r>
        <w:rPr>
          <w:rFonts w:hint="eastAsia" w:ascii="方正小标宋简体" w:eastAsia="方正小标宋简体"/>
          <w:sz w:val="84"/>
          <w:szCs w:val="84"/>
        </w:rPr>
        <w:t>年度</w:t>
      </w:r>
    </w:p>
    <w:p>
      <w:pPr>
        <w:jc w:val="center"/>
        <w:rPr>
          <w:rFonts w:asciiTheme="minorEastAsia" w:hAnsiTheme="minorEastAsia"/>
          <w:sz w:val="84"/>
          <w:szCs w:val="84"/>
        </w:rPr>
      </w:pPr>
      <w:r>
        <w:rPr>
          <w:rFonts w:hint="eastAsia" w:ascii="方正小标宋简体" w:eastAsia="方正小标宋简体"/>
          <w:sz w:val="84"/>
          <w:szCs w:val="84"/>
        </w:rPr>
        <w:t>漳平市芦芝镇卫生院</w:t>
      </w:r>
    </w:p>
    <w:p>
      <w:pPr>
        <w:jc w:val="center"/>
        <w:rPr>
          <w:rFonts w:ascii="方正小标宋简体" w:eastAsia="方正小标宋简体"/>
          <w:sz w:val="84"/>
          <w:szCs w:val="84"/>
        </w:rPr>
      </w:pPr>
      <w:r>
        <w:rPr>
          <w:rFonts w:hint="eastAsia" w:ascii="方正小标宋简体" w:eastAsia="方正小标宋简体"/>
          <w:sz w:val="84"/>
          <w:szCs w:val="84"/>
          <w:lang w:eastAsia="zh-CN"/>
        </w:rPr>
        <w:t>单位</w:t>
      </w:r>
      <w:r>
        <w:rPr>
          <w:rFonts w:hint="eastAsia" w:ascii="方正小标宋简体" w:eastAsia="方正小标宋简体"/>
          <w:sz w:val="84"/>
          <w:szCs w:val="84"/>
        </w:rPr>
        <w:t>预算</w:t>
      </w:r>
    </w:p>
    <w:p>
      <w:pPr>
        <w:rPr>
          <w:sz w:val="84"/>
          <w:szCs w:val="84"/>
        </w:rPr>
      </w:pPr>
      <w:r>
        <w:rPr>
          <w:sz w:val="84"/>
          <w:szCs w:val="84"/>
        </w:rPr>
        <w:br w:type="page"/>
      </w:r>
    </w:p>
    <w:sdt>
      <w:sdtPr>
        <w:rPr>
          <w:rFonts w:ascii="宋体" w:hAnsi="宋体" w:eastAsia="宋体" w:cs="Times New Roman"/>
          <w:kern w:val="0"/>
          <w:sz w:val="20"/>
          <w:szCs w:val="20"/>
          <w:lang w:eastAsia="en-US"/>
        </w:rPr>
        <w:id w:val="147453852"/>
        <w:docPartObj>
          <w:docPartGallery w:val="Table of Contents"/>
          <w:docPartUnique/>
        </w:docPartObj>
      </w:sdtPr>
      <w:sdtEndPr>
        <w:rPr>
          <w:rFonts w:ascii="仿宋" w:hAnsi="仿宋" w:eastAsia="仿宋" w:cs="Times New Roman"/>
          <w:b/>
          <w:kern w:val="0"/>
          <w:sz w:val="20"/>
          <w:szCs w:val="20"/>
          <w:lang w:eastAsia="en-US"/>
        </w:rPr>
      </w:sdtEndPr>
      <w:sdtContent>
        <w:p>
          <w:pPr>
            <w:spacing w:line="240" w:lineRule="auto"/>
            <w:jc w:val="center"/>
            <w:rPr>
              <w:rFonts w:ascii="方正小标宋简体" w:eastAsia="方正小标宋简体" w:cs="Times New Roman" w:hAnsiTheme="majorEastAsia"/>
              <w:kern w:val="0"/>
              <w:sz w:val="44"/>
              <w:szCs w:val="20"/>
            </w:rPr>
          </w:pPr>
          <w:r>
            <w:rPr>
              <w:rFonts w:hint="eastAsia" w:ascii="方正小标宋简体" w:eastAsia="方正小标宋简体" w:cs="Times New Roman" w:hAnsiTheme="majorEastAsia"/>
              <w:kern w:val="0"/>
              <w:sz w:val="44"/>
              <w:szCs w:val="20"/>
            </w:rPr>
            <w:t>目录</w:t>
          </w:r>
        </w:p>
        <w:p>
          <w:pPr>
            <w:spacing w:line="240" w:lineRule="auto"/>
            <w:jc w:val="center"/>
            <w:rPr>
              <w:rFonts w:ascii="方正小标宋简体" w:eastAsia="方正小标宋简体" w:cs="Times New Roman" w:hAnsiTheme="majorEastAsia"/>
              <w:kern w:val="0"/>
              <w:sz w:val="44"/>
              <w:szCs w:val="20"/>
            </w:rPr>
          </w:pPr>
        </w:p>
        <w:p>
          <w:pPr>
            <w:pStyle w:val="6"/>
            <w:tabs>
              <w:tab w:val="right" w:leader="dot" w:pos="8306"/>
            </w:tabs>
          </w:pPr>
          <w:r>
            <w:rPr>
              <w:rFonts w:ascii="仿宋" w:hAnsi="仿宋" w:eastAsia="仿宋" w:cstheme="minorBidi"/>
              <w:kern w:val="2"/>
              <w:sz w:val="26"/>
              <w:szCs w:val="22"/>
            </w:rPr>
            <w:fldChar w:fldCharType="begin"/>
          </w:r>
          <w:r>
            <w:rPr>
              <w:rFonts w:ascii="仿宋" w:hAnsi="仿宋" w:eastAsia="仿宋"/>
              <w:sz w:val="26"/>
              <w:lang w:eastAsia="zh-CN"/>
            </w:rPr>
            <w:instrText xml:space="preserve">TOC \o "1-2" \h \u </w:instrText>
          </w:r>
          <w:r>
            <w:rPr>
              <w:rFonts w:ascii="仿宋" w:hAnsi="仿宋" w:eastAsia="仿宋" w:cstheme="minorBidi"/>
              <w:kern w:val="2"/>
              <w:sz w:val="26"/>
              <w:szCs w:val="22"/>
            </w:rPr>
            <w:fldChar w:fldCharType="separate"/>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_Toc18503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第一部分</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_Toc10093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单位概况</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_Toc10093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4</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_Toc5500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一、单位主要职责</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_Toc5500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_Toc23808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二、单位预算单位构成</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_Toc23808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_Toc29900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三、单位主要工作任务</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_Toc29900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6"/>
            <w:tabs>
              <w:tab w:val="right" w:leader="dot" w:pos="8306"/>
            </w:tabs>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_Toc14347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第二部分</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_Toc3413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2024年度单位预算表</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_Toc3413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7</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_Toc13203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_Toc13203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8</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_Toc1273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二、收入预算总表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_Toc1273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9</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_Toc24856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三、支出预算总表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_Toc24856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_Toc17845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四、财政拨款收支预算总表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_Toc17845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_Toc12064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_Toc12064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_Toc26256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六、政府性基金预算拨款支出预算表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_Toc26256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_Toc30940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七、国有资本经营预算拨款支出预算表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_Toc30940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_Toc7442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八、一般公共预算支出经济分类情况表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_Toc7442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_Toc20559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十、一般公共预算“三公”经费支出预算表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_Toc20559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_Toc871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十一、单位专项资金管理清单目录</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_Toc871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6"/>
            <w:tabs>
              <w:tab w:val="right" w:leader="dot" w:pos="8306"/>
            </w:tabs>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_Toc15972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第三部分</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_Toc8339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2024年度单位预算情况说明</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_Toc8339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22</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_Toc20675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一、预算收支总体情况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_Toc20675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_Toc19307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二、一般公共预算拨款支出情况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_Toc19307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_Toc19321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三、政府性基金预算拨款支出情况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_Toc19321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_Toc1581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四、国有资本经营预算拨款支出情况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_Toc1581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_Toc17576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五、一般公共预算拨款基本支出情况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_Toc17576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_Toc8165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六、一般公共预算“三公”经费支出情况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_Toc8165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_Toc25299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七、预算绩效目标情况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_Toc25299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7"/>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_Toc4620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八、其他重要事项说明</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_Toc4620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26</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6"/>
            <w:tabs>
              <w:tab w:val="right" w:leader="dot" w:pos="8306"/>
            </w:tabs>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_Toc31371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第四部分</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_Toc1020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名词解释</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_Toc1020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27</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
            <w:spacing w:before="3"/>
            <w:rPr>
              <w:rFonts w:ascii="仿宋" w:hAnsi="仿宋" w:eastAsia="仿宋"/>
              <w:sz w:val="26"/>
              <w:lang w:eastAsia="zh-CN"/>
            </w:rPr>
          </w:pPr>
          <w:r>
            <w:rPr>
              <w:rFonts w:ascii="仿宋" w:hAnsi="仿宋" w:eastAsia="仿宋"/>
              <w:lang w:eastAsia="zh-CN"/>
            </w:rPr>
            <w:fldChar w:fldCharType="end"/>
          </w:r>
        </w:p>
      </w:sdtContent>
    </w:sdt>
    <w:p>
      <w:r>
        <w:tab/>
      </w:r>
    </w:p>
    <w:p>
      <w:pPr>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outlineLvl w:val="0"/>
        <w:rPr>
          <w:rFonts w:ascii="黑体" w:hAnsi="黑体" w:eastAsia="黑体"/>
          <w:sz w:val="56"/>
          <w:szCs w:val="36"/>
          <w:lang w:eastAsia="zh-CN"/>
        </w:rPr>
      </w:pPr>
      <w:bookmarkStart w:id="0" w:name="_Toc19913"/>
      <w:bookmarkEnd w:id="0"/>
      <w:bookmarkStart w:id="1" w:name="_Toc18503"/>
      <w:r>
        <w:rPr>
          <w:rFonts w:hint="eastAsia" w:ascii="黑体" w:hAnsi="黑体" w:eastAsia="黑体"/>
          <w:sz w:val="56"/>
          <w:szCs w:val="36"/>
          <w:lang w:eastAsia="zh-CN"/>
        </w:rPr>
        <w:t>第一部分</w:t>
      </w:r>
      <w:bookmarkEnd w:id="1"/>
      <w:r>
        <w:rPr>
          <w:rFonts w:ascii="黑体" w:hAnsi="黑体" w:eastAsia="黑体"/>
          <w:sz w:val="56"/>
          <w:szCs w:val="36"/>
          <w:lang w:eastAsia="zh-CN"/>
        </w:rPr>
        <w:t xml:space="preserve"> </w:t>
      </w:r>
    </w:p>
    <w:p>
      <w:pPr>
        <w:pStyle w:val="2"/>
        <w:jc w:val="center"/>
        <w:outlineLvl w:val="0"/>
        <w:rPr>
          <w:rFonts w:ascii="黑体" w:hAnsi="黑体" w:eastAsia="黑体"/>
          <w:sz w:val="56"/>
          <w:szCs w:val="36"/>
          <w:lang w:eastAsia="zh-CN"/>
        </w:rPr>
      </w:pPr>
      <w:bookmarkStart w:id="2" w:name="_Toc13275"/>
      <w:bookmarkEnd w:id="2"/>
      <w:bookmarkStart w:id="3" w:name="_Toc10093"/>
      <w:r>
        <w:rPr>
          <w:rFonts w:hint="eastAsia" w:ascii="黑体" w:hAnsi="黑体" w:eastAsia="黑体"/>
          <w:sz w:val="56"/>
          <w:szCs w:val="36"/>
          <w:lang w:eastAsia="zh-CN"/>
        </w:rPr>
        <w:t>单位概况</w:t>
      </w:r>
      <w:bookmarkEnd w:id="3"/>
    </w:p>
    <w:p>
      <w:pPr>
        <w:pStyle w:val="2"/>
        <w:rPr>
          <w:rFonts w:ascii="黑体" w:hAnsi="黑体" w:eastAsia="黑体"/>
          <w:sz w:val="36"/>
          <w:szCs w:val="36"/>
          <w:lang w:eastAsia="zh-CN"/>
        </w:rPr>
      </w:pPr>
    </w:p>
    <w:p>
      <w:pPr>
        <w:pStyle w:val="2"/>
        <w:rPr>
          <w:rFonts w:ascii="黑体" w:hAnsi="黑体" w:eastAsia="黑体" w:cstheme="minorBidi"/>
          <w:kern w:val="2"/>
          <w:sz w:val="32"/>
          <w:szCs w:val="32"/>
          <w:lang w:eastAsia="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2"/>
        <w:outlineLvl w:val="1"/>
        <w:rPr>
          <w:rFonts w:ascii="黑体" w:hAnsi="黑体" w:eastAsia="黑体" w:cstheme="minorBidi"/>
          <w:kern w:val="2"/>
          <w:sz w:val="32"/>
          <w:szCs w:val="32"/>
          <w:lang w:eastAsia="zh-CN"/>
        </w:rPr>
      </w:pPr>
      <w:bookmarkStart w:id="4" w:name="_Toc13603"/>
      <w:bookmarkEnd w:id="4"/>
      <w:bookmarkStart w:id="5" w:name="_Toc5500"/>
      <w:r>
        <w:rPr>
          <w:rFonts w:hint="eastAsia" w:ascii="黑体" w:hAnsi="黑体" w:eastAsia="黑体" w:cstheme="minorBidi"/>
          <w:kern w:val="2"/>
          <w:sz w:val="32"/>
          <w:szCs w:val="32"/>
          <w:lang w:eastAsia="zh-CN"/>
        </w:rPr>
        <w:t>一、单位主要职责</w:t>
      </w:r>
      <w:bookmarkEnd w:id="5"/>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漳平市芦芝镇卫生院的主要职责是：为人民提供医疗与预防保健服务。常见病多发病诊治与护理。院前急救 恢复期病人康复治疗与护理，预防保健，卫生技术人员培训，初级卫生保健规划实施，合作医疗组织与管理，卫生监督与信息管理。</w:t>
      </w:r>
    </w:p>
    <w:p>
      <w:pPr>
        <w:pStyle w:val="2"/>
        <w:outlineLvl w:val="1"/>
        <w:rPr>
          <w:rFonts w:ascii="黑体" w:hAnsi="黑体" w:eastAsia="黑体" w:cstheme="minorBidi"/>
          <w:kern w:val="2"/>
          <w:sz w:val="32"/>
          <w:szCs w:val="32"/>
          <w:lang w:eastAsia="zh-CN"/>
        </w:rPr>
      </w:pPr>
      <w:bookmarkStart w:id="6" w:name="_Toc7108"/>
      <w:bookmarkEnd w:id="6"/>
      <w:bookmarkStart w:id="7" w:name="_Toc23808"/>
      <w:r>
        <w:rPr>
          <w:rFonts w:hint="eastAsia" w:ascii="黑体" w:hAnsi="黑体" w:eastAsia="黑体" w:cstheme="minorBidi"/>
          <w:kern w:val="2"/>
          <w:sz w:val="32"/>
          <w:szCs w:val="32"/>
          <w:lang w:eastAsia="zh-CN"/>
        </w:rPr>
        <w:t>二、单位预算单位构成</w:t>
      </w:r>
      <w:bookmarkEnd w:id="7"/>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从预算单位构成看，漳平市芦芝镇卫生院包括0个机关行政处（科）室及0个下属单位，其中：列入2024年部门预算编制范围的单位详细情况见下表:</w:t>
      </w: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门预算编制范围的单位详细情况见下表: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漳平市芦芝镇卫生院</w:t>
            </w: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r>
              <w:rPr>
                <w:rFonts w:ascii="仿宋" w:hAnsi="仿宋" w:eastAsia="仿宋" w:cs="仿宋"/>
                <w:spacing w:val="5"/>
                <w:sz w:val="31"/>
                <w:szCs w:val="31"/>
              </w:rPr>
              <w:t>财</w:t>
            </w:r>
            <w:r>
              <w:rPr>
                <w:rFonts w:ascii="仿宋" w:hAnsi="仿宋" w:eastAsia="仿宋" w:cs="仿宋"/>
                <w:spacing w:val="3"/>
                <w:sz w:val="31"/>
                <w:szCs w:val="31"/>
              </w:rPr>
              <w:t>政核拨</w:t>
            </w: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r>
              <w:rPr>
                <w:rFonts w:ascii="仿宋" w:hAnsi="仿宋" w:eastAsia="仿宋"/>
                <w:sz w:val="32"/>
                <w:szCs w:val="3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outlineLvl w:val="1"/>
        <w:rPr>
          <w:rFonts w:ascii="黑体" w:hAnsi="黑体" w:eastAsia="黑体"/>
          <w:sz w:val="32"/>
          <w:szCs w:val="32"/>
        </w:rPr>
      </w:pPr>
      <w:bookmarkStart w:id="8" w:name="_Toc22945"/>
      <w:bookmarkEnd w:id="8"/>
      <w:bookmarkStart w:id="9" w:name="_Toc29900"/>
      <w:r>
        <w:rPr>
          <w:rFonts w:hint="eastAsia" w:ascii="黑体" w:hAnsi="黑体" w:eastAsia="黑体"/>
          <w:sz w:val="32"/>
          <w:szCs w:val="32"/>
        </w:rPr>
        <w:t>三、单位主要工作任务</w:t>
      </w:r>
      <w:bookmarkEnd w:id="9"/>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2024年，漳平市芦芝镇卫生院主要任务是：为人民提供医疗与预防保健服务。常见病多发病诊治与护理。院前急救 恢复期病人康复治疗与护理，预防保健，卫生技术人员培训，初级卫生保健规划实施，合作医疗组织与管理，卫生监督与信息管理。</w:t>
      </w:r>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围绕上述任务，重点抓好以下工作：</w:t>
      </w:r>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（一）持续做好药品零差价工作，紧密围绕漳平市总医院，做好药品集中采购，让利于民，让群众受益提高医务人员的服务态度和质量，从根本上解决群众看病难，看病贵。</w:t>
      </w:r>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（二）进一步完善家庭医生特别是特殊人群的履约服务，落实基本公共卫生，提高随访力度和质量，关注特殊人群的服药和治疗效果。提高医务人员的诊疗技术，依托总院，开展医生和护师的技术培训。</w:t>
      </w:r>
    </w:p>
    <w:p>
      <w:pPr>
        <w:tabs>
          <w:tab w:val="left" w:pos="7513"/>
        </w:tabs>
        <w:adjustRightInd w:val="0"/>
        <w:snapToGrid w:val="0"/>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（三）与总院共建医联体，做好分级诊疗和双向转诊制度。小病和康复回卫生院，大病往市医院治疗，利用远程会诊和心电远程系统，实现医疗资源共享，合理利用医疗资源。</w:t>
      </w:r>
    </w:p>
    <w:p>
      <w:pPr>
        <w:tabs>
          <w:tab w:val="left" w:pos="7513"/>
        </w:tabs>
        <w:adjustRightInd w:val="0"/>
        <w:snapToGrid w:val="0"/>
        <w:spacing w:line="600" w:lineRule="exact"/>
        <w:ind w:firstLine="640" w:firstLineChars="200"/>
        <w:rPr>
          <w:rFonts w:hint="eastAsia"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outlineLvl w:val="0"/>
        <w:rPr>
          <w:rFonts w:ascii="黑体" w:hAnsi="黑体" w:eastAsia="黑体"/>
          <w:sz w:val="56"/>
          <w:szCs w:val="36"/>
          <w:lang w:eastAsia="zh-CN"/>
        </w:rPr>
      </w:pPr>
      <w:bookmarkStart w:id="10" w:name="_Toc30523"/>
      <w:bookmarkEnd w:id="10"/>
      <w:bookmarkStart w:id="11" w:name="_Toc14347"/>
      <w:r>
        <w:rPr>
          <w:rFonts w:hint="eastAsia" w:ascii="黑体" w:hAnsi="黑体" w:eastAsia="黑体"/>
          <w:sz w:val="56"/>
          <w:szCs w:val="36"/>
          <w:lang w:eastAsia="zh-CN"/>
        </w:rPr>
        <w:t>第二部分</w:t>
      </w:r>
      <w:bookmarkEnd w:id="11"/>
      <w:r>
        <w:rPr>
          <w:rFonts w:ascii="黑体" w:hAnsi="黑体" w:eastAsia="黑体"/>
          <w:sz w:val="56"/>
          <w:szCs w:val="36"/>
          <w:lang w:eastAsia="zh-CN"/>
        </w:rPr>
        <w:t xml:space="preserve"> </w:t>
      </w:r>
    </w:p>
    <w:p>
      <w:pPr>
        <w:pStyle w:val="2"/>
        <w:jc w:val="center"/>
        <w:outlineLvl w:val="0"/>
        <w:rPr>
          <w:rFonts w:ascii="黑体" w:hAnsi="黑体" w:eastAsia="黑体"/>
          <w:sz w:val="56"/>
          <w:szCs w:val="36"/>
          <w:lang w:eastAsia="zh-CN"/>
        </w:rPr>
      </w:pPr>
      <w:bookmarkStart w:id="12" w:name="_Toc21392"/>
      <w:bookmarkEnd w:id="12"/>
      <w:bookmarkStart w:id="13" w:name="_Toc3413"/>
      <w:r>
        <w:rPr>
          <w:rFonts w:hint="eastAsia" w:ascii="黑体" w:hAnsi="黑体" w:eastAsia="黑体"/>
          <w:sz w:val="56"/>
          <w:szCs w:val="36"/>
          <w:lang w:eastAsia="zh-CN"/>
        </w:rPr>
        <w:t>202</w:t>
      </w:r>
      <w:r>
        <w:rPr>
          <w:rFonts w:ascii="黑体" w:hAnsi="黑体" w:eastAsia="黑体"/>
          <w:sz w:val="56"/>
          <w:szCs w:val="36"/>
          <w:lang w:eastAsia="zh-CN"/>
        </w:rPr>
        <w:t>4</w:t>
      </w:r>
      <w:r>
        <w:rPr>
          <w:rFonts w:hint="eastAsia" w:ascii="黑体" w:hAnsi="黑体" w:eastAsia="黑体"/>
          <w:sz w:val="56"/>
          <w:szCs w:val="36"/>
          <w:lang w:eastAsia="zh-CN"/>
        </w:rPr>
        <w:t>年度单位预算表</w:t>
      </w:r>
      <w:bookmarkEnd w:id="13"/>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bookmarkStart w:id="14" w:name="_Toc12055"/>
      <w:bookmarkEnd w:id="14"/>
      <w:bookmarkStart w:id="15" w:name="_Toc13203"/>
      <w:r>
        <w:rPr>
          <w:rFonts w:hint="eastAsia" w:ascii="黑体" w:hAnsi="黑体" w:eastAsia="黑体"/>
          <w:sz w:val="32"/>
          <w:szCs w:val="32"/>
        </w:rPr>
        <w:t>一、收支预算总表</w:t>
      </w:r>
      <w:bookmarkEnd w:id="15"/>
    </w:p>
    <w:tbl>
      <w:tblPr>
        <w:tblStyle w:val="8"/>
        <w:tblW w:w="8789" w:type="dxa"/>
        <w:tblInd w:w="-34" w:type="dxa"/>
        <w:tblLayout w:type="fixed"/>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vAlign w:val="bottom"/>
          </w:tcPr>
          <w:p>
            <w:pPr>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18"/>
                <w:szCs w:val="18"/>
              </w:rPr>
            </w:pPr>
            <w:r>
              <w:rPr>
                <w:rFonts w:ascii="宋体" w:hAnsi="宋体" w:eastAsia="宋体" w:cs="宋体"/>
                <w:color w:val="000000"/>
                <w:kern w:val="0"/>
                <w:sz w:val="18"/>
                <w:szCs w:val="18"/>
                <w:lang w:bidi="ar"/>
              </w:rPr>
              <w:t>215.46</w:t>
            </w: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w:t>
            </w:r>
            <w:r>
              <w:rPr>
                <w:rFonts w:ascii="宋体" w:hAnsi="宋体" w:eastAsia="宋体" w:cs="宋体"/>
                <w:kern w:val="0"/>
                <w:sz w:val="18"/>
                <w:szCs w:val="18"/>
              </w:rPr>
              <w:t>.3</w:t>
            </w: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18"/>
                <w:szCs w:val="18"/>
              </w:rPr>
            </w:pPr>
            <w:r>
              <w:rPr>
                <w:rFonts w:ascii="宋体" w:hAnsi="宋体" w:eastAsia="宋体" w:cs="宋体"/>
                <w:color w:val="000000"/>
                <w:kern w:val="0"/>
                <w:sz w:val="18"/>
                <w:szCs w:val="18"/>
                <w:lang w:bidi="ar"/>
              </w:rPr>
              <w:t>202.55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18"/>
                <w:szCs w:val="18"/>
              </w:rPr>
            </w:pPr>
            <w:r>
              <w:rPr>
                <w:rFonts w:ascii="宋体" w:hAnsi="宋体" w:eastAsia="宋体" w:cs="宋体"/>
                <w:color w:val="000000"/>
                <w:kern w:val="0"/>
                <w:sz w:val="18"/>
                <w:szCs w:val="18"/>
                <w:lang w:bidi="ar"/>
              </w:rPr>
              <w:t>13.21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b/>
                <w:kern w:val="0"/>
                <w:sz w:val="22"/>
              </w:rPr>
            </w:pPr>
            <w:r>
              <w:rPr>
                <w:rFonts w:ascii="宋体" w:hAnsi="宋体" w:eastAsia="宋体" w:cs="宋体"/>
                <w:color w:val="000000"/>
                <w:kern w:val="0"/>
                <w:sz w:val="18"/>
                <w:szCs w:val="18"/>
                <w:lang w:bidi="ar"/>
              </w:rPr>
              <w:t>215.76</w:t>
            </w: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b/>
                <w:kern w:val="0"/>
                <w:sz w:val="22"/>
              </w:rPr>
            </w:pPr>
            <w:r>
              <w:rPr>
                <w:rFonts w:ascii="宋体" w:hAnsi="宋体" w:eastAsia="宋体" w:cs="宋体"/>
                <w:color w:val="000000"/>
                <w:kern w:val="0"/>
                <w:sz w:val="18"/>
                <w:szCs w:val="18"/>
                <w:lang w:bidi="ar"/>
              </w:rPr>
              <w:t>215.76</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6" w:name="_Toc23326"/>
      <w:bookmarkEnd w:id="16"/>
      <w:bookmarkStart w:id="17" w:name="_Toc1273"/>
      <w:r>
        <w:rPr>
          <w:rFonts w:hint="eastAsia" w:ascii="黑体" w:hAnsi="黑体" w:eastAsia="黑体"/>
          <w:sz w:val="32"/>
          <w:szCs w:val="32"/>
        </w:rPr>
        <w:t>二、收入预算总表</w:t>
      </w:r>
      <w:bookmarkEnd w:id="17"/>
    </w:p>
    <w:tbl>
      <w:tblPr>
        <w:tblStyle w:val="8"/>
        <w:tblW w:w="13907" w:type="dxa"/>
        <w:tblInd w:w="93" w:type="dxa"/>
        <w:tblLayout w:type="fixed"/>
        <w:tblCellMar>
          <w:top w:w="0" w:type="dxa"/>
          <w:left w:w="108" w:type="dxa"/>
          <w:bottom w:w="0" w:type="dxa"/>
          <w:right w:w="108" w:type="dxa"/>
        </w:tblCellMar>
      </w:tblPr>
      <w:tblGrid>
        <w:gridCol w:w="1149"/>
        <w:gridCol w:w="91"/>
        <w:gridCol w:w="1160"/>
        <w:gridCol w:w="1017"/>
        <w:gridCol w:w="1560"/>
        <w:gridCol w:w="708"/>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vAlign w:val="bottom"/>
          </w:tcPr>
          <w:p>
            <w:pPr>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vAlign w:val="bottom"/>
          </w:tcPr>
          <w:p>
            <w:pPr>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spacing w:line="240" w:lineRule="auto"/>
              <w:jc w:val="center"/>
              <w:rPr>
                <w:rFonts w:ascii="黑体" w:hAnsi="黑体" w:eastAsia="黑体" w:cs="宋体"/>
                <w:kern w:val="0"/>
                <w:sz w:val="40"/>
                <w:szCs w:val="40"/>
              </w:rPr>
            </w:pPr>
          </w:p>
        </w:tc>
        <w:tc>
          <w:tcPr>
            <w:tcW w:w="1560" w:type="dxa"/>
            <w:tcBorders>
              <w:top w:val="nil"/>
              <w:left w:val="nil"/>
              <w:bottom w:val="single" w:color="auto" w:sz="4" w:space="0"/>
              <w:right w:val="nil"/>
            </w:tcBorders>
            <w:shd w:val="clear" w:color="auto" w:fill="auto"/>
            <w:vAlign w:val="center"/>
          </w:tcPr>
          <w:p>
            <w:pPr>
              <w:spacing w:line="240" w:lineRule="auto"/>
              <w:jc w:val="center"/>
              <w:rPr>
                <w:rFonts w:ascii="宋体" w:hAnsi="宋体" w:eastAsia="宋体" w:cs="宋体"/>
                <w:kern w:val="0"/>
                <w:sz w:val="24"/>
                <w:szCs w:val="24"/>
              </w:rPr>
            </w:pPr>
          </w:p>
        </w:tc>
        <w:tc>
          <w:tcPr>
            <w:tcW w:w="708" w:type="dxa"/>
            <w:tcBorders>
              <w:top w:val="nil"/>
              <w:left w:val="nil"/>
              <w:bottom w:val="single" w:color="auto" w:sz="4" w:space="0"/>
              <w:right w:val="nil"/>
            </w:tcBorders>
            <w:shd w:val="clear" w:color="auto" w:fill="auto"/>
            <w:vAlign w:val="center"/>
          </w:tcPr>
          <w:p>
            <w:pPr>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vAlign w:val="center"/>
          </w:tcPr>
          <w:p>
            <w:pPr>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215.76</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215.46</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ascii="宋体" w:hAnsi="宋体" w:eastAsia="宋体" w:cs="宋体"/>
                <w:kern w:val="0"/>
                <w:sz w:val="18"/>
                <w:szCs w:val="18"/>
              </w:rPr>
              <w:t>0.3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210</w:t>
            </w:r>
          </w:p>
        </w:tc>
        <w:tc>
          <w:tcPr>
            <w:tcW w:w="1251" w:type="dxa"/>
            <w:gridSpan w:val="2"/>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卫生健康支出</w:t>
            </w:r>
          </w:p>
        </w:tc>
        <w:tc>
          <w:tcPr>
            <w:tcW w:w="1017"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202.55</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kern w:val="0"/>
                <w:sz w:val="18"/>
                <w:szCs w:val="18"/>
              </w:rPr>
              <w:t>202.25</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ascii="宋体" w:hAnsi="宋体" w:eastAsia="宋体" w:cs="宋体"/>
                <w:kern w:val="0"/>
                <w:sz w:val="18"/>
                <w:szCs w:val="18"/>
              </w:rPr>
              <w:t>0.3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21003</w:t>
            </w:r>
          </w:p>
        </w:tc>
        <w:tc>
          <w:tcPr>
            <w:tcW w:w="1251" w:type="dxa"/>
            <w:gridSpan w:val="2"/>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基层医疗卫生机构</w:t>
            </w:r>
          </w:p>
        </w:tc>
        <w:tc>
          <w:tcPr>
            <w:tcW w:w="1017"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202.55</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kern w:val="0"/>
                <w:sz w:val="18"/>
                <w:szCs w:val="18"/>
              </w:rPr>
              <w:t>202.25</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2"/>
              </w:rPr>
            </w:pPr>
            <w:r>
              <w:rPr>
                <w:rFonts w:ascii="宋体" w:hAnsi="宋体" w:eastAsia="宋体" w:cs="宋体"/>
                <w:kern w:val="0"/>
                <w:sz w:val="18"/>
                <w:szCs w:val="18"/>
              </w:rPr>
              <w:t>0.3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2100302</w:t>
            </w:r>
          </w:p>
        </w:tc>
        <w:tc>
          <w:tcPr>
            <w:tcW w:w="1251" w:type="dxa"/>
            <w:gridSpan w:val="2"/>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乡镇卫生院</w:t>
            </w:r>
          </w:p>
        </w:tc>
        <w:tc>
          <w:tcPr>
            <w:tcW w:w="1017"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202.55</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kern w:val="0"/>
                <w:sz w:val="18"/>
                <w:szCs w:val="18"/>
              </w:rPr>
              <w:t>202.25</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ascii="宋体" w:hAnsi="宋体" w:eastAsia="宋体" w:cs="宋体"/>
                <w:kern w:val="0"/>
                <w:sz w:val="18"/>
                <w:szCs w:val="18"/>
              </w:rPr>
              <w:t>0.3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221</w:t>
            </w:r>
          </w:p>
        </w:tc>
        <w:tc>
          <w:tcPr>
            <w:tcW w:w="1251" w:type="dxa"/>
            <w:gridSpan w:val="2"/>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住房保障支出</w:t>
            </w:r>
          </w:p>
        </w:tc>
        <w:tc>
          <w:tcPr>
            <w:tcW w:w="1017"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13.21</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kern w:val="0"/>
                <w:sz w:val="18"/>
                <w:szCs w:val="18"/>
              </w:rPr>
              <w:t>13.21</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22102</w:t>
            </w:r>
          </w:p>
        </w:tc>
        <w:tc>
          <w:tcPr>
            <w:tcW w:w="1251" w:type="dxa"/>
            <w:gridSpan w:val="2"/>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住房改革支出</w:t>
            </w:r>
          </w:p>
        </w:tc>
        <w:tc>
          <w:tcPr>
            <w:tcW w:w="1017" w:type="dxa"/>
            <w:tcBorders>
              <w:top w:val="nil"/>
              <w:left w:val="nil"/>
              <w:bottom w:val="single" w:color="auto" w:sz="4" w:space="0"/>
              <w:right w:val="single" w:color="auto" w:sz="4" w:space="0"/>
            </w:tcBorders>
            <w:shd w:val="clear" w:color="auto" w:fill="auto"/>
            <w:vAlign w:val="center"/>
          </w:tcPr>
          <w:p>
            <w:pPr>
              <w:ind w:right="180"/>
              <w:jc w:val="righ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13.21</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kern w:val="0"/>
                <w:sz w:val="18"/>
                <w:szCs w:val="18"/>
              </w:rPr>
              <w:t>13.21</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2210201</w:t>
            </w:r>
          </w:p>
        </w:tc>
        <w:tc>
          <w:tcPr>
            <w:tcW w:w="1251" w:type="dxa"/>
            <w:gridSpan w:val="2"/>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住房公积金</w:t>
            </w:r>
          </w:p>
        </w:tc>
        <w:tc>
          <w:tcPr>
            <w:tcW w:w="1017"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13.21</w:t>
            </w:r>
          </w:p>
        </w:tc>
        <w:tc>
          <w:tcPr>
            <w:tcW w:w="1560"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4"/>
                <w:szCs w:val="24"/>
              </w:rPr>
            </w:pPr>
            <w:r>
              <w:rPr>
                <w:rFonts w:ascii="宋体" w:hAnsi="宋体" w:eastAsia="宋体" w:cs="宋体"/>
                <w:kern w:val="0"/>
                <w:sz w:val="18"/>
                <w:szCs w:val="18"/>
              </w:rPr>
              <w:t>13.21</w:t>
            </w:r>
          </w:p>
        </w:tc>
        <w:tc>
          <w:tcPr>
            <w:tcW w:w="708"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c>
          <w:tcPr>
            <w:tcW w:w="992" w:type="dxa"/>
            <w:tcBorders>
              <w:top w:val="nil"/>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kern w:val="0"/>
                <w:sz w:val="24"/>
                <w:szCs w:val="24"/>
              </w:rPr>
            </w:pPr>
            <w:r>
              <w:rPr>
                <w:rFonts w:hint="eastAsia" w:ascii="宋体" w:hAnsi="宋体" w:eastAsia="宋体" w:cs="宋体"/>
                <w:kern w:val="0"/>
                <w:sz w:val="18"/>
                <w:szCs w:val="18"/>
              </w:rPr>
              <w:t>0.00</w:t>
            </w:r>
          </w:p>
        </w:tc>
      </w:tr>
    </w:tbl>
    <w:p>
      <w:pPr>
        <w:tabs>
          <w:tab w:val="left" w:pos="7513"/>
        </w:tabs>
        <w:adjustRightInd w:val="0"/>
        <w:snapToGrid w:val="0"/>
        <w:spacing w:line="600" w:lineRule="exact"/>
        <w:outlineLvl w:val="1"/>
        <w:rPr>
          <w:rFonts w:ascii="黑体" w:hAnsi="黑体" w:eastAsia="黑体"/>
          <w:sz w:val="32"/>
          <w:szCs w:val="32"/>
        </w:rPr>
      </w:pPr>
      <w:bookmarkStart w:id="18" w:name="_Toc10914"/>
      <w:bookmarkEnd w:id="18"/>
      <w:bookmarkStart w:id="19" w:name="_Toc24856"/>
      <w:r>
        <w:rPr>
          <w:rFonts w:hint="eastAsia" w:ascii="黑体" w:hAnsi="黑体" w:eastAsia="黑体"/>
          <w:sz w:val="32"/>
          <w:szCs w:val="32"/>
        </w:rPr>
        <w:t>三、支出预算总表</w:t>
      </w:r>
      <w:bookmarkEnd w:id="19"/>
    </w:p>
    <w:tbl>
      <w:tblPr>
        <w:tblStyle w:val="8"/>
        <w:tblW w:w="13906" w:type="dxa"/>
        <w:tblInd w:w="93" w:type="dxa"/>
        <w:tblLayout w:type="fixed"/>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年度支出预算总表</w:t>
            </w:r>
          </w:p>
          <w:p>
            <w:pPr>
              <w:wordWrap w:val="0"/>
              <w:spacing w:line="240" w:lineRule="auto"/>
              <w:jc w:val="right"/>
              <w:rPr>
                <w:rFonts w:cs="宋体" w:asciiTheme="minorEastAsia" w:hAnsi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215.76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215.46</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ascii="宋体" w:hAnsi="宋体" w:eastAsia="宋体" w:cs="宋体"/>
                <w:kern w:val="0"/>
                <w:sz w:val="18"/>
                <w:szCs w:val="18"/>
              </w:rPr>
              <w:t>0.3</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210</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卫生健康支出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202.55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202.25</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ascii="宋体" w:hAnsi="宋体" w:eastAsia="宋体" w:cs="宋体"/>
                <w:kern w:val="0"/>
                <w:sz w:val="18"/>
                <w:szCs w:val="18"/>
              </w:rPr>
              <w:t>0.3</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21003</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基层医疗卫生机构</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202.55</w:t>
            </w:r>
          </w:p>
        </w:tc>
        <w:tc>
          <w:tcPr>
            <w:tcW w:w="1559" w:type="dxa"/>
            <w:tcBorders>
              <w:top w:val="single" w:color="auto" w:sz="4" w:space="0"/>
              <w:left w:val="nil"/>
              <w:bottom w:val="single" w:color="auto" w:sz="4" w:space="0"/>
              <w:right w:val="single" w:color="auto" w:sz="4" w:space="0"/>
            </w:tcBorders>
            <w:shd w:val="clear" w:color="auto" w:fill="auto"/>
            <w:vAlign w:val="center"/>
          </w:tcPr>
          <w:p>
            <w:pPr>
              <w:ind w:right="180"/>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202.25</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ascii="宋体" w:hAnsi="宋体" w:eastAsia="宋体" w:cs="宋体"/>
                <w:kern w:val="0"/>
                <w:sz w:val="18"/>
                <w:szCs w:val="18"/>
              </w:rPr>
              <w:t>0.3</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2100302</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乡镇卫生院</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202.55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202.25</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ascii="宋体" w:hAnsi="宋体" w:eastAsia="宋体" w:cs="宋体"/>
                <w:kern w:val="0"/>
                <w:sz w:val="18"/>
                <w:szCs w:val="18"/>
              </w:rPr>
              <w:t>0.3</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221</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住房保障支出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ind w:right="180"/>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13.21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13.21</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22102</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住房改革支出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13.21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13.21</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2210201</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4"/>
                <w:szCs w:val="24"/>
              </w:rPr>
            </w:pPr>
            <w:r>
              <w:rPr>
                <w:rFonts w:ascii="宋体" w:hAnsi="宋体" w:eastAsia="宋体" w:cs="宋体"/>
                <w:color w:val="000000"/>
                <w:kern w:val="0"/>
                <w:sz w:val="18"/>
                <w:szCs w:val="18"/>
                <w:lang w:bidi="ar"/>
              </w:rPr>
              <w:t>住房公积金</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13.21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13.21</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nil"/>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宋体" w:hAnsi="宋体" w:eastAsia="宋体" w:cs="宋体"/>
                <w:color w:val="000000"/>
                <w:kern w:val="0"/>
                <w:sz w:val="22"/>
              </w:rPr>
            </w:pPr>
            <w:r>
              <w:rPr>
                <w:rFonts w:hint="eastAsia" w:ascii="宋体" w:hAnsi="宋体" w:eastAsia="宋体" w:cs="宋体"/>
                <w:kern w:val="0"/>
                <w:sz w:val="18"/>
                <w:szCs w:val="18"/>
              </w:rPr>
              <w:t>0.00</w:t>
            </w:r>
          </w:p>
        </w:tc>
      </w:tr>
    </w:tbl>
    <w:p>
      <w:pPr>
        <w:tabs>
          <w:tab w:val="left" w:pos="7513"/>
        </w:tabs>
        <w:spacing w:line="300" w:lineRule="auto"/>
        <w:ind w:firstLine="424" w:firstLineChars="202"/>
        <w:jc w:val="left"/>
        <w:rPr>
          <w:rFonts w:ascii="楷体" w:hAnsi="楷体" w:eastAsia="楷体" w:cs="Times New Roman"/>
          <w:kern w:val="0"/>
          <w:szCs w:val="21"/>
        </w:rPr>
      </w:pPr>
    </w:p>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20" w:name="_Toc21244"/>
      <w:bookmarkEnd w:id="20"/>
      <w:bookmarkStart w:id="21" w:name="_Toc17845"/>
      <w:r>
        <w:rPr>
          <w:rFonts w:hint="eastAsia" w:ascii="黑体" w:hAnsi="黑体" w:eastAsia="黑体"/>
          <w:sz w:val="32"/>
          <w:szCs w:val="32"/>
        </w:rPr>
        <w:t>四、财政拨款收支预算总表</w:t>
      </w:r>
      <w:bookmarkEnd w:id="21"/>
    </w:p>
    <w:tbl>
      <w:tblPr>
        <w:tblStyle w:val="8"/>
        <w:tblW w:w="8648" w:type="dxa"/>
        <w:tblInd w:w="-34" w:type="dxa"/>
        <w:tblLayout w:type="fixed"/>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vAlign w:val="bottom"/>
          </w:tcPr>
          <w:p>
            <w:pPr>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18"/>
                <w:szCs w:val="18"/>
              </w:rPr>
            </w:pPr>
            <w:r>
              <w:rPr>
                <w:rFonts w:ascii="宋体" w:hAnsi="宋体" w:eastAsia="宋体" w:cs="宋体"/>
                <w:color w:val="000000"/>
                <w:kern w:val="0"/>
                <w:sz w:val="18"/>
                <w:szCs w:val="18"/>
                <w:lang w:bidi="ar"/>
              </w:rPr>
              <w:t>215.46</w:t>
            </w: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90"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18"/>
                <w:szCs w:val="18"/>
              </w:rPr>
            </w:pPr>
            <w:r>
              <w:rPr>
                <w:rFonts w:ascii="宋体" w:hAnsi="宋体" w:eastAsia="宋体" w:cs="宋体"/>
                <w:color w:val="000000"/>
                <w:kern w:val="0"/>
                <w:sz w:val="18"/>
                <w:szCs w:val="18"/>
                <w:lang w:bidi="ar"/>
              </w:rPr>
              <w:t>202.25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18"/>
                <w:szCs w:val="18"/>
              </w:rPr>
            </w:pPr>
            <w:r>
              <w:rPr>
                <w:rFonts w:ascii="宋体" w:hAnsi="宋体" w:eastAsia="宋体" w:cs="宋体"/>
                <w:color w:val="000000"/>
                <w:kern w:val="0"/>
                <w:sz w:val="18"/>
                <w:szCs w:val="18"/>
                <w:lang w:bidi="ar"/>
              </w:rPr>
              <w:t>13.21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b/>
                <w:kern w:val="0"/>
                <w:sz w:val="22"/>
              </w:rPr>
            </w:pPr>
            <w:r>
              <w:rPr>
                <w:rFonts w:ascii="宋体" w:hAnsi="宋体" w:eastAsia="宋体" w:cs="宋体"/>
                <w:color w:val="000000"/>
                <w:kern w:val="0"/>
                <w:sz w:val="18"/>
                <w:szCs w:val="18"/>
                <w:lang w:bidi="ar"/>
              </w:rPr>
              <w:t>215.46</w:t>
            </w:r>
          </w:p>
        </w:tc>
        <w:tc>
          <w:tcPr>
            <w:tcW w:w="31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b/>
                <w:kern w:val="0"/>
                <w:sz w:val="22"/>
              </w:rPr>
            </w:pPr>
            <w:r>
              <w:rPr>
                <w:rFonts w:ascii="宋体" w:hAnsi="宋体" w:eastAsia="宋体" w:cs="宋体"/>
                <w:color w:val="000000"/>
                <w:kern w:val="0"/>
                <w:sz w:val="18"/>
                <w:szCs w:val="18"/>
                <w:lang w:bidi="ar"/>
              </w:rPr>
              <w:t>215.46</w:t>
            </w:r>
          </w:p>
        </w:tc>
      </w:tr>
    </w:tbl>
    <w:p>
      <w:pPr>
        <w:tabs>
          <w:tab w:val="left" w:pos="7513"/>
        </w:tabs>
        <w:adjustRightInd w:val="0"/>
        <w:snapToGrid w:val="0"/>
        <w:spacing w:line="600" w:lineRule="exact"/>
        <w:outlineLvl w:val="1"/>
        <w:rPr>
          <w:rFonts w:ascii="黑体" w:hAnsi="黑体" w:eastAsia="黑体"/>
          <w:sz w:val="32"/>
          <w:szCs w:val="32"/>
        </w:rPr>
      </w:pPr>
      <w:bookmarkStart w:id="22" w:name="_Toc8237"/>
    </w:p>
    <w:bookmarkEnd w:id="22"/>
    <w:p>
      <w:pPr>
        <w:tabs>
          <w:tab w:val="left" w:pos="7513"/>
        </w:tabs>
        <w:adjustRightInd w:val="0"/>
        <w:snapToGrid w:val="0"/>
        <w:spacing w:line="600" w:lineRule="exact"/>
        <w:outlineLvl w:val="1"/>
        <w:rPr>
          <w:rFonts w:ascii="黑体" w:hAnsi="黑体" w:eastAsia="黑体"/>
          <w:sz w:val="32"/>
          <w:szCs w:val="32"/>
        </w:rPr>
      </w:pPr>
      <w:bookmarkStart w:id="23" w:name="_Toc12064"/>
      <w:r>
        <w:rPr>
          <w:rFonts w:hint="eastAsia" w:ascii="黑体" w:hAnsi="黑体" w:eastAsia="黑体"/>
          <w:sz w:val="32"/>
          <w:szCs w:val="32"/>
        </w:rPr>
        <w:t>五、一般公共预算拨款支出预算表</w:t>
      </w:r>
      <w:bookmarkEnd w:id="23"/>
    </w:p>
    <w:tbl>
      <w:tblPr>
        <w:tblStyle w:val="8"/>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215.46</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215.46</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210</w:t>
            </w:r>
          </w:p>
        </w:tc>
        <w:tc>
          <w:tcPr>
            <w:tcW w:w="2552" w:type="dxa"/>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卫生健康支出</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202.25</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202.25</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21003</w:t>
            </w:r>
          </w:p>
        </w:tc>
        <w:tc>
          <w:tcPr>
            <w:tcW w:w="2552" w:type="dxa"/>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基层医疗卫生机构</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202.25</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202.25</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2100302</w:t>
            </w:r>
          </w:p>
        </w:tc>
        <w:tc>
          <w:tcPr>
            <w:tcW w:w="2552" w:type="dxa"/>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乡镇卫生院</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202.25</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202.25</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221</w:t>
            </w:r>
          </w:p>
        </w:tc>
        <w:tc>
          <w:tcPr>
            <w:tcW w:w="2552" w:type="dxa"/>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住房保障支出</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13.21</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13.21</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22102</w:t>
            </w:r>
          </w:p>
        </w:tc>
        <w:tc>
          <w:tcPr>
            <w:tcW w:w="2552" w:type="dxa"/>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住房改革支出</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13.21</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13.21</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2210201</w:t>
            </w:r>
          </w:p>
        </w:tc>
        <w:tc>
          <w:tcPr>
            <w:tcW w:w="2552" w:type="dxa"/>
            <w:tcBorders>
              <w:top w:val="nil"/>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kern w:val="0"/>
                <w:sz w:val="22"/>
              </w:rPr>
            </w:pPr>
            <w:r>
              <w:rPr>
                <w:rFonts w:ascii="宋体" w:hAnsi="宋体" w:eastAsia="宋体" w:cs="宋体"/>
                <w:color w:val="000000"/>
                <w:kern w:val="0"/>
                <w:sz w:val="18"/>
                <w:szCs w:val="18"/>
                <w:lang w:bidi="ar"/>
              </w:rPr>
              <w:t>住房公积金</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13.21</w:t>
            </w:r>
          </w:p>
        </w:tc>
        <w:tc>
          <w:tcPr>
            <w:tcW w:w="1559" w:type="dxa"/>
            <w:tcBorders>
              <w:top w:val="nil"/>
              <w:left w:val="nil"/>
              <w:bottom w:val="single" w:color="auto" w:sz="4" w:space="0"/>
              <w:right w:val="single" w:color="auto" w:sz="4" w:space="0"/>
            </w:tcBorders>
            <w:shd w:val="clear" w:color="auto" w:fill="auto"/>
            <w:vAlign w:val="center"/>
          </w:tcPr>
          <w:p>
            <w:pPr>
              <w:jc w:val="right"/>
              <w:textAlignment w:val="center"/>
              <w:rPr>
                <w:rFonts w:ascii="宋体" w:hAnsi="宋体" w:eastAsia="宋体" w:cs="宋体"/>
                <w:kern w:val="0"/>
                <w:sz w:val="22"/>
              </w:rPr>
            </w:pPr>
            <w:r>
              <w:rPr>
                <w:rFonts w:ascii="宋体" w:hAnsi="宋体" w:eastAsia="宋体" w:cs="宋体"/>
                <w:color w:val="000000"/>
                <w:kern w:val="0"/>
                <w:sz w:val="18"/>
                <w:szCs w:val="18"/>
                <w:lang w:bidi="ar"/>
              </w:rPr>
              <w:t>13.21</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bl>
    <w:p>
      <w:pPr>
        <w:tabs>
          <w:tab w:val="left" w:pos="7513"/>
        </w:tabs>
        <w:spacing w:line="300" w:lineRule="auto"/>
        <w:ind w:firstLine="420" w:firstLineChars="200"/>
        <w:rPr>
          <w:rFonts w:ascii="楷体" w:hAnsi="楷体" w:eastAsia="楷体" w:cs="Times New Roman"/>
          <w:kern w:val="0"/>
          <w:szCs w:val="21"/>
        </w:rPr>
      </w:pPr>
    </w:p>
    <w:p>
      <w:pPr>
        <w:tabs>
          <w:tab w:val="left" w:pos="7513"/>
        </w:tabs>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24" w:name="_Toc1294"/>
      <w:bookmarkEnd w:id="24"/>
      <w:bookmarkStart w:id="25" w:name="_Toc26256"/>
      <w:r>
        <w:rPr>
          <w:rFonts w:hint="eastAsia" w:ascii="黑体" w:hAnsi="黑体" w:eastAsia="黑体"/>
          <w:sz w:val="32"/>
          <w:szCs w:val="32"/>
        </w:rPr>
        <w:t>六、政府性基金预算拨款支出预算表</w:t>
      </w:r>
      <w:bookmarkEnd w:id="25"/>
    </w:p>
    <w:tbl>
      <w:tblPr>
        <w:tblStyle w:val="8"/>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17"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spacing w:line="300" w:lineRule="auto"/>
        <w:jc w:val="left"/>
        <w:rPr>
          <w:rFonts w:ascii="楷体" w:hAnsi="楷体" w:eastAsia="楷体" w:cs="Times New Roman"/>
          <w:kern w:val="0"/>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备注：本单位2</w:t>
      </w:r>
      <w:r>
        <w:rPr>
          <w:rFonts w:ascii="楷体" w:hAnsi="楷体" w:eastAsia="楷体" w:cs="Times New Roman"/>
          <w:kern w:val="0"/>
          <w:szCs w:val="21"/>
        </w:rPr>
        <w:t>024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outlineLvl w:val="1"/>
        <w:rPr>
          <w:rFonts w:ascii="黑体" w:hAnsi="黑体" w:eastAsia="黑体"/>
          <w:sz w:val="32"/>
          <w:szCs w:val="32"/>
        </w:rPr>
      </w:pPr>
      <w:bookmarkStart w:id="26" w:name="_Toc21369"/>
      <w:bookmarkEnd w:id="26"/>
      <w:bookmarkStart w:id="27" w:name="_Toc30940"/>
      <w:r>
        <w:rPr>
          <w:rFonts w:hint="eastAsia" w:ascii="黑体" w:hAnsi="黑体" w:eastAsia="黑体"/>
          <w:sz w:val="32"/>
          <w:szCs w:val="32"/>
        </w:rPr>
        <w:t>七、国有资本经营预算拨款支出预算表</w:t>
      </w:r>
      <w:bookmarkEnd w:id="27"/>
    </w:p>
    <w:tbl>
      <w:tblPr>
        <w:tblStyle w:val="8"/>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备注：本单位2</w:t>
      </w:r>
      <w:r>
        <w:rPr>
          <w:rFonts w:ascii="楷体" w:hAnsi="楷体" w:eastAsia="楷体" w:cs="Times New Roman"/>
          <w:kern w:val="0"/>
          <w:szCs w:val="21"/>
        </w:rPr>
        <w:t>024</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bookmarkStart w:id="28" w:name="_Toc2494"/>
      <w:bookmarkEnd w:id="28"/>
      <w:bookmarkStart w:id="29" w:name="_Toc7442"/>
      <w:r>
        <w:rPr>
          <w:rFonts w:hint="eastAsia" w:ascii="黑体" w:hAnsi="黑体" w:eastAsia="黑体"/>
          <w:sz w:val="32"/>
          <w:szCs w:val="32"/>
        </w:rPr>
        <w:t>八、一般公共预算支出经济分类情况表</w:t>
      </w:r>
      <w:bookmarkEnd w:id="29"/>
    </w:p>
    <w:tbl>
      <w:tblPr>
        <w:tblStyle w:val="8"/>
        <w:tblW w:w="8237" w:type="dxa"/>
        <w:tblInd w:w="93" w:type="dxa"/>
        <w:tblLayout w:type="fixed"/>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vAlign w:val="center"/>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vAlign w:val="bottom"/>
          </w:tcPr>
          <w:p>
            <w:pPr>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vAlign w:val="center"/>
          </w:tcPr>
          <w:p>
            <w:pPr>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right"/>
              <w:textAlignment w:val="center"/>
              <w:rPr>
                <w:rFonts w:ascii="宋体" w:hAnsi="宋体" w:eastAsia="宋体" w:cs="宋体"/>
                <w:b/>
                <w:bCs/>
                <w:color w:val="000000"/>
                <w:kern w:val="0"/>
                <w:sz w:val="22"/>
              </w:rPr>
            </w:pPr>
            <w:r>
              <w:rPr>
                <w:rFonts w:ascii="宋体" w:hAnsi="宋体" w:eastAsia="宋体" w:cs="宋体"/>
                <w:color w:val="000000"/>
                <w:kern w:val="0"/>
                <w:sz w:val="18"/>
                <w:szCs w:val="18"/>
                <w:lang w:bidi="ar"/>
              </w:rPr>
              <w:t>215.46</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208.5</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0.34</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lang w:bidi="ar"/>
              </w:rPr>
              <w:t>6.62</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kern w:val="0"/>
                <w:sz w:val="24"/>
                <w:szCs w:val="24"/>
              </w:rPr>
            </w:pP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bookmarkStart w:id="30" w:name="_Toc30802"/>
      <w:bookmarkEnd w:id="30"/>
      <w:r>
        <w:rPr>
          <w:rFonts w:hint="eastAsia" w:ascii="黑体" w:hAnsi="黑体" w:eastAsia="黑体"/>
          <w:sz w:val="32"/>
          <w:szCs w:val="32"/>
        </w:rPr>
        <w:t>九、一般公共预算基本支出经济分类情况表</w:t>
      </w:r>
    </w:p>
    <w:p>
      <w:pPr>
        <w:tabs>
          <w:tab w:val="left" w:pos="7513"/>
        </w:tabs>
        <w:adjustRightInd w:val="0"/>
        <w:snapToGrid w:val="0"/>
        <w:spacing w:line="600" w:lineRule="exact"/>
        <w:outlineLvl w:val="1"/>
        <w:rPr>
          <w:rFonts w:ascii="黑体" w:hAnsi="黑体" w:eastAsia="黑体"/>
          <w:sz w:val="32"/>
          <w:szCs w:val="32"/>
        </w:rPr>
      </w:pP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rPr>
        <w:t>2</w:t>
      </w:r>
      <w:r>
        <w:rPr>
          <w:rFonts w:ascii="方正小标宋简体" w:hAnsi="宋体" w:eastAsia="方正小标宋简体" w:cs="宋体"/>
          <w:kern w:val="0"/>
          <w:sz w:val="32"/>
          <w:szCs w:val="32"/>
        </w:rPr>
        <w:t>024</w:t>
      </w:r>
      <w:r>
        <w:rPr>
          <w:rFonts w:hint="eastAsia" w:ascii="方正小标宋简体" w:hAnsi="宋体" w:eastAsia="方正小标宋简体" w:cs="宋体"/>
          <w:kern w:val="0"/>
          <w:sz w:val="32"/>
          <w:szCs w:val="32"/>
        </w:rPr>
        <w:t>年度一般公共预算基本支出经济分类情况表</w:t>
      </w:r>
    </w:p>
    <w:tbl>
      <w:tblPr>
        <w:tblStyle w:val="8"/>
        <w:tblW w:w="8034" w:type="dxa"/>
        <w:tblInd w:w="93" w:type="dxa"/>
        <w:tblLayout w:type="fixed"/>
        <w:tblCellMar>
          <w:top w:w="0" w:type="dxa"/>
          <w:left w:w="108" w:type="dxa"/>
          <w:bottom w:w="0" w:type="dxa"/>
          <w:right w:w="108" w:type="dxa"/>
        </w:tblCellMar>
      </w:tblPr>
      <w:tblGrid>
        <w:gridCol w:w="1447"/>
        <w:gridCol w:w="1120"/>
        <w:gridCol w:w="2426"/>
        <w:gridCol w:w="3041"/>
      </w:tblGrid>
      <w:tr>
        <w:tblPrEx>
          <w:tblCellMar>
            <w:top w:w="0" w:type="dxa"/>
            <w:left w:w="108" w:type="dxa"/>
            <w:bottom w:w="0" w:type="dxa"/>
            <w:right w:w="108" w:type="dxa"/>
          </w:tblCellMar>
        </w:tblPrEx>
        <w:trPr>
          <w:gridAfter w:val="2"/>
          <w:wAfter w:w="5467" w:type="dxa"/>
          <w:trHeight w:val="420" w:hRule="atLeast"/>
        </w:trPr>
        <w:tc>
          <w:tcPr>
            <w:tcW w:w="1447" w:type="dxa"/>
            <w:tcBorders>
              <w:top w:val="nil"/>
              <w:left w:val="nil"/>
              <w:bottom w:val="nil"/>
              <w:right w:val="nil"/>
            </w:tcBorders>
            <w:shd w:val="clear" w:color="auto" w:fill="auto"/>
            <w:vAlign w:val="center"/>
          </w:tcPr>
          <w:p>
            <w:pPr>
              <w:spacing w:line="240" w:lineRule="auto"/>
              <w:jc w:val="left"/>
              <w:rPr>
                <w:rFonts w:ascii="Arial" w:hAnsi="Arial" w:eastAsia="宋体" w:cs="Arial"/>
                <w:color w:val="000000"/>
                <w:kern w:val="0"/>
                <w:sz w:val="20"/>
                <w:szCs w:val="20"/>
              </w:rPr>
            </w:pPr>
          </w:p>
        </w:tc>
        <w:tc>
          <w:tcPr>
            <w:tcW w:w="1120" w:type="dxa"/>
            <w:tcBorders>
              <w:top w:val="nil"/>
              <w:left w:val="nil"/>
              <w:bottom w:val="nil"/>
              <w:right w:val="nil"/>
            </w:tcBorders>
          </w:tcPr>
          <w:p>
            <w:pPr>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67" w:hRule="atLeast"/>
        </w:trPr>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54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3041"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4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lang w:bidi="ar"/>
              </w:rPr>
              <w:t>215.46</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lang w:bidi="ar"/>
              </w:rPr>
              <w:t>208.5</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72.45</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27.35</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14.1</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27.79</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12.77</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0.22</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13.21</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w:t>
            </w:r>
            <w:r>
              <w:rPr>
                <w:rFonts w:ascii="宋体" w:hAnsi="宋体" w:eastAsia="宋体" w:cs="宋体"/>
                <w:kern w:val="0"/>
                <w:sz w:val="18"/>
                <w:szCs w:val="18"/>
              </w:rPr>
              <w:t>.34</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w:t>
            </w:r>
            <w:r>
              <w:rPr>
                <w:rFonts w:ascii="宋体" w:hAnsi="宋体" w:eastAsia="宋体" w:cs="宋体"/>
                <w:kern w:val="0"/>
                <w:sz w:val="18"/>
                <w:szCs w:val="18"/>
              </w:rPr>
              <w:t>.34</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lang w:bidi="ar"/>
              </w:rPr>
              <w:t>6.62</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3041" w:type="dxa"/>
            <w:tcBorders>
              <w:top w:val="nil"/>
              <w:left w:val="nil"/>
              <w:bottom w:val="single" w:color="auto" w:sz="4" w:space="0"/>
              <w:right w:val="single" w:color="auto" w:sz="4" w:space="0"/>
            </w:tcBorders>
            <w:vAlign w:val="center"/>
          </w:tcPr>
          <w:p>
            <w:pPr>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lang w:bidi="ar"/>
              </w:rPr>
              <w:t>3.02</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3041" w:type="dxa"/>
            <w:tcBorders>
              <w:top w:val="nil"/>
              <w:left w:val="nil"/>
              <w:bottom w:val="single" w:color="auto" w:sz="4" w:space="0"/>
              <w:right w:val="single" w:color="auto" w:sz="4" w:space="0"/>
            </w:tcBorders>
            <w:vAlign w:val="center"/>
          </w:tcPr>
          <w:p>
            <w:pPr>
              <w:ind w:right="180"/>
              <w:jc w:val="right"/>
              <w:textAlignment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.6</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Cs/>
                <w:color w:val="000000"/>
                <w:kern w:val="0"/>
                <w:sz w:val="18"/>
                <w:szCs w:val="18"/>
              </w:rPr>
            </w:pPr>
            <w:r>
              <w:rPr>
                <w:rFonts w:ascii="宋体" w:hAnsi="宋体" w:eastAsia="宋体" w:cs="宋体"/>
                <w:bCs/>
                <w:color w:val="000000"/>
                <w:kern w:val="0"/>
                <w:sz w:val="18"/>
                <w:szCs w:val="18"/>
              </w:rPr>
              <w:t>31304</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Cs/>
                <w:color w:val="000000"/>
                <w:kern w:val="0"/>
                <w:sz w:val="18"/>
                <w:szCs w:val="18"/>
              </w:rPr>
            </w:pPr>
            <w:r>
              <w:rPr>
                <w:rFonts w:ascii="宋体" w:hAnsi="宋体" w:eastAsia="宋体" w:cs="宋体"/>
                <w:bCs/>
                <w:color w:val="000000"/>
                <w:kern w:val="0"/>
                <w:sz w:val="18"/>
                <w:szCs w:val="18"/>
              </w:rPr>
              <w:t xml:space="preserve">    对机关事业单位职业年金的补助</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Cs/>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144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3546" w:type="dxa"/>
            <w:gridSpan w:val="2"/>
            <w:tcBorders>
              <w:top w:val="nil"/>
              <w:left w:val="nil"/>
              <w:bottom w:val="single" w:color="auto" w:sz="4" w:space="0"/>
              <w:right w:val="single" w:color="auto" w:sz="4" w:space="0"/>
            </w:tcBorders>
            <w:shd w:val="clear" w:color="auto" w:fill="auto"/>
            <w:vAlign w:val="center"/>
          </w:tcPr>
          <w:p>
            <w:pPr>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3041" w:type="dxa"/>
            <w:tcBorders>
              <w:top w:val="nil"/>
              <w:left w:val="nil"/>
              <w:bottom w:val="single" w:color="auto" w:sz="4" w:space="0"/>
              <w:right w:val="single" w:color="auto" w:sz="4" w:space="0"/>
            </w:tcBorders>
            <w:vAlign w:val="center"/>
          </w:tcPr>
          <w:p>
            <w:pPr>
              <w:jc w:val="right"/>
              <w:rPr>
                <w:rFonts w:ascii="宋体" w:hAnsi="宋体" w:eastAsia="宋体" w:cs="宋体"/>
                <w:kern w:val="0"/>
                <w:sz w:val="18"/>
                <w:szCs w:val="18"/>
              </w:rPr>
            </w:pPr>
            <w:r>
              <w:rPr>
                <w:rFonts w:hint="eastAsia" w:ascii="宋体" w:hAnsi="宋体" w:eastAsia="宋体" w:cs="宋体"/>
                <w:kern w:val="0"/>
                <w:sz w:val="18"/>
                <w:szCs w:val="18"/>
              </w:rPr>
              <w:t>0.00</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31" w:name="_Toc22175"/>
      <w:bookmarkEnd w:id="31"/>
      <w:bookmarkStart w:id="32" w:name="_Toc20559"/>
      <w:r>
        <w:rPr>
          <w:rFonts w:hint="eastAsia" w:ascii="黑体" w:hAnsi="黑体" w:eastAsia="黑体"/>
          <w:sz w:val="32"/>
          <w:szCs w:val="32"/>
        </w:rPr>
        <w:t>十、一般公共预算“三公”经费支出预算表</w:t>
      </w:r>
      <w:bookmarkEnd w:id="32"/>
    </w:p>
    <w:tbl>
      <w:tblPr>
        <w:tblStyle w:val="8"/>
        <w:tblW w:w="7848" w:type="dxa"/>
        <w:tblInd w:w="93" w:type="dxa"/>
        <w:tblLayout w:type="fixed"/>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vAlign w:val="center"/>
          </w:tcPr>
          <w:p>
            <w:pPr>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202</w:t>
            </w:r>
            <w:r>
              <w:rPr>
                <w:rFonts w:ascii="方正小标宋简体" w:hAnsi="黑体" w:eastAsia="方正小标宋简体" w:cs="宋体"/>
                <w:kern w:val="0"/>
                <w:sz w:val="32"/>
                <w:szCs w:val="32"/>
              </w:rPr>
              <w:t>4</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vAlign w:val="center"/>
          </w:tcPr>
          <w:p>
            <w:pPr>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vAlign w:val="center"/>
          </w:tcPr>
          <w:p>
            <w:pPr>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kern w:val="0"/>
                <w:sz w:val="18"/>
                <w:szCs w:val="18"/>
              </w:rPr>
              <w:t>0.00</w:t>
            </w:r>
          </w:p>
        </w:tc>
      </w:tr>
    </w:tbl>
    <w:p>
      <w:pPr>
        <w:spacing w:line="300" w:lineRule="auto"/>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备注：本单位2</w:t>
      </w:r>
      <w:r>
        <w:rPr>
          <w:rFonts w:ascii="楷体" w:hAnsi="楷体" w:eastAsia="楷体" w:cs="Times New Roman"/>
          <w:kern w:val="0"/>
          <w:szCs w:val="21"/>
        </w:rPr>
        <w:t>024</w:t>
      </w:r>
      <w:r>
        <w:rPr>
          <w:rFonts w:hint="eastAsia" w:ascii="楷体" w:hAnsi="楷体" w:eastAsia="楷体" w:cs="Times New Roman"/>
          <w:kern w:val="0"/>
          <w:szCs w:val="21"/>
        </w:rPr>
        <w:t>年度</w:t>
      </w:r>
      <w:r>
        <w:rPr>
          <w:rFonts w:hint="eastAsia" w:ascii="楷体" w:hAnsi="楷体" w:eastAsia="楷体"/>
        </w:rPr>
        <w:t>没有</w:t>
      </w:r>
      <w:r>
        <w:rPr>
          <w:rFonts w:hint="eastAsia" w:ascii="楷体" w:hAnsi="楷体" w:eastAsia="楷体" w:cs="Times New Roman"/>
          <w:kern w:val="0"/>
          <w:szCs w:val="21"/>
        </w:rPr>
        <w:t>一般公共预算安排的‘三公’经费支出”。</w:t>
      </w:r>
    </w:p>
    <w:p>
      <w:pPr>
        <w:tabs>
          <w:tab w:val="left" w:pos="7513"/>
        </w:tabs>
        <w:adjustRightInd w:val="0"/>
        <w:snapToGrid w:val="0"/>
        <w:spacing w:line="600" w:lineRule="exact"/>
        <w:outlineLvl w:val="1"/>
        <w:rPr>
          <w:rFonts w:ascii="黑体" w:hAnsi="黑体" w:eastAsia="黑体"/>
          <w:sz w:val="32"/>
          <w:szCs w:val="32"/>
        </w:rPr>
      </w:pPr>
      <w:bookmarkStart w:id="33" w:name="_Toc25352"/>
      <w:bookmarkEnd w:id="33"/>
      <w:bookmarkStart w:id="34" w:name="_Toc871"/>
      <w:r>
        <w:rPr>
          <w:rFonts w:hint="eastAsia" w:ascii="黑体" w:hAnsi="黑体" w:eastAsia="黑体"/>
          <w:sz w:val="32"/>
          <w:szCs w:val="32"/>
        </w:rPr>
        <w:t>十一、单位专项资金管理清单目录</w:t>
      </w:r>
      <w:bookmarkEnd w:id="34"/>
    </w:p>
    <w:tbl>
      <w:tblPr>
        <w:tblStyle w:val="8"/>
        <w:tblW w:w="13998" w:type="dxa"/>
        <w:tblInd w:w="93" w:type="dxa"/>
        <w:tblLayout w:type="fixed"/>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4</w:t>
            </w:r>
            <w:r>
              <w:rPr>
                <w:rFonts w:hint="eastAsia" w:ascii="方正小标宋简体" w:hAnsi="宋体" w:eastAsia="方正小标宋简体" w:cs="宋体"/>
                <w:kern w:val="0"/>
                <w:sz w:val="32"/>
                <w:szCs w:val="32"/>
              </w:rPr>
              <w:t>年度单位专项资金管理清单目录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bottom"/>
          </w:tcPr>
          <w:p>
            <w:pPr>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vAlign w:val="bottom"/>
          </w:tcPr>
          <w:p>
            <w:pPr>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主管单位名称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hint="eastAsia" w:ascii="宋体" w:hAnsi="宋体" w:eastAsia="宋体" w:cs="宋体"/>
                <w:kern w:val="0"/>
                <w:sz w:val="24"/>
                <w:szCs w:val="24"/>
              </w:rPr>
            </w:pPr>
          </w:p>
        </w:tc>
        <w:tc>
          <w:tcPr>
            <w:tcW w:w="135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98"/>
        </w:tabs>
        <w:spacing w:line="240" w:lineRule="auto"/>
        <w:rPr>
          <w:rFonts w:ascii="楷体" w:hAnsi="楷体" w:eastAsia="楷体"/>
          <w:sz w:val="36"/>
          <w:szCs w:val="36"/>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rPr>
        <w:t>备注：本单位2</w:t>
      </w:r>
      <w:r>
        <w:rPr>
          <w:rFonts w:ascii="楷体" w:hAnsi="楷体" w:eastAsia="楷体"/>
        </w:rPr>
        <w:t>024</w:t>
      </w:r>
      <w:r>
        <w:rPr>
          <w:rFonts w:hint="eastAsia" w:ascii="楷体" w:hAnsi="楷体" w:eastAsia="楷体"/>
        </w:rPr>
        <w:t>年度没有由本单位管理的专项资金。</w:t>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outlineLvl w:val="0"/>
        <w:rPr>
          <w:rFonts w:ascii="黑体" w:hAnsi="黑体" w:eastAsia="黑体"/>
          <w:sz w:val="56"/>
          <w:szCs w:val="36"/>
          <w:lang w:eastAsia="zh-CN"/>
        </w:rPr>
      </w:pPr>
      <w:bookmarkStart w:id="35" w:name="_Toc6031"/>
      <w:bookmarkEnd w:id="35"/>
      <w:bookmarkStart w:id="36" w:name="_Toc15972"/>
      <w:r>
        <w:rPr>
          <w:rFonts w:hint="eastAsia" w:ascii="黑体" w:hAnsi="黑体" w:eastAsia="黑体"/>
          <w:sz w:val="56"/>
          <w:szCs w:val="36"/>
          <w:lang w:eastAsia="zh-CN"/>
        </w:rPr>
        <w:t>第三部分</w:t>
      </w:r>
      <w:bookmarkEnd w:id="36"/>
      <w:r>
        <w:rPr>
          <w:rFonts w:ascii="黑体" w:hAnsi="黑体" w:eastAsia="黑体"/>
          <w:sz w:val="56"/>
          <w:szCs w:val="36"/>
          <w:lang w:eastAsia="zh-CN"/>
        </w:rPr>
        <w:t xml:space="preserve"> </w:t>
      </w:r>
    </w:p>
    <w:p>
      <w:pPr>
        <w:pStyle w:val="2"/>
        <w:jc w:val="center"/>
        <w:outlineLvl w:val="0"/>
        <w:rPr>
          <w:rFonts w:ascii="黑体" w:hAnsi="黑体" w:eastAsia="黑体"/>
          <w:sz w:val="56"/>
          <w:szCs w:val="36"/>
          <w:lang w:eastAsia="zh-CN"/>
        </w:rPr>
      </w:pPr>
      <w:bookmarkStart w:id="37" w:name="_Toc15787"/>
      <w:bookmarkEnd w:id="37"/>
      <w:bookmarkStart w:id="38" w:name="_Toc8339"/>
      <w:r>
        <w:rPr>
          <w:rFonts w:hint="eastAsia" w:ascii="黑体" w:hAnsi="黑体" w:eastAsia="黑体"/>
          <w:sz w:val="56"/>
          <w:szCs w:val="36"/>
          <w:lang w:eastAsia="zh-CN"/>
        </w:rPr>
        <w:t>202</w:t>
      </w:r>
      <w:r>
        <w:rPr>
          <w:rFonts w:ascii="黑体" w:hAnsi="黑体" w:eastAsia="黑体"/>
          <w:sz w:val="56"/>
          <w:szCs w:val="36"/>
          <w:lang w:eastAsia="zh-CN"/>
        </w:rPr>
        <w:t>4</w:t>
      </w:r>
      <w:r>
        <w:rPr>
          <w:rFonts w:hint="eastAsia" w:ascii="黑体" w:hAnsi="黑体" w:eastAsia="黑体"/>
          <w:sz w:val="56"/>
          <w:szCs w:val="36"/>
          <w:lang w:eastAsia="zh-CN"/>
        </w:rPr>
        <w:t>年度单位预算情况说明</w:t>
      </w:r>
      <w:bookmarkEnd w:id="38"/>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39" w:name="_Toc19827"/>
      <w:bookmarkEnd w:id="39"/>
      <w:bookmarkStart w:id="40" w:name="_Toc20675"/>
      <w:r>
        <w:rPr>
          <w:rFonts w:hint="eastAsia" w:ascii="黑体" w:hAnsi="黑体" w:eastAsia="黑体"/>
          <w:sz w:val="32"/>
          <w:szCs w:val="32"/>
        </w:rPr>
        <w:t>一、预算收支总体情况</w:t>
      </w:r>
      <w:bookmarkEnd w:id="40"/>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按照综合预算的原则，单位所有收入和支出均纳入单位预算管理。202</w:t>
      </w:r>
      <w:r>
        <w:rPr>
          <w:rFonts w:ascii="仿宋" w:hAnsi="仿宋" w:eastAsia="仿宋"/>
          <w:sz w:val="32"/>
          <w:szCs w:val="32"/>
        </w:rPr>
        <w:t>4</w:t>
      </w:r>
      <w:r>
        <w:rPr>
          <w:rFonts w:hint="eastAsia" w:ascii="仿宋" w:hAnsi="仿宋" w:eastAsia="仿宋"/>
          <w:sz w:val="32"/>
          <w:szCs w:val="32"/>
        </w:rPr>
        <w:t>年，漳平市芦芝卫生院单位收入预算为</w:t>
      </w:r>
      <w:r>
        <w:rPr>
          <w:rFonts w:ascii="仿宋" w:hAnsi="仿宋" w:eastAsia="仿宋"/>
          <w:sz w:val="32"/>
          <w:szCs w:val="32"/>
        </w:rPr>
        <w:t>215.46</w:t>
      </w:r>
      <w:r>
        <w:rPr>
          <w:rFonts w:hint="eastAsia" w:ascii="仿宋" w:hAnsi="仿宋" w:eastAsia="仿宋"/>
          <w:sz w:val="32"/>
          <w:szCs w:val="32"/>
        </w:rPr>
        <w:t>万元，比上年增加</w:t>
      </w:r>
      <w:r>
        <w:rPr>
          <w:rFonts w:ascii="仿宋" w:hAnsi="仿宋" w:eastAsia="仿宋"/>
          <w:sz w:val="32"/>
          <w:szCs w:val="32"/>
        </w:rPr>
        <w:t>1.93</w:t>
      </w:r>
      <w:r>
        <w:rPr>
          <w:rFonts w:hint="eastAsia" w:ascii="仿宋" w:hAnsi="仿宋" w:eastAsia="仿宋"/>
          <w:sz w:val="32"/>
          <w:szCs w:val="32"/>
        </w:rPr>
        <w:t>万元，主要原因是人员变动。其中：一般公共预算拨款收入</w:t>
      </w:r>
      <w:r>
        <w:rPr>
          <w:rFonts w:ascii="仿宋" w:hAnsi="仿宋" w:eastAsia="仿宋"/>
          <w:sz w:val="32"/>
          <w:szCs w:val="32"/>
        </w:rPr>
        <w:t>215.46</w:t>
      </w:r>
      <w:r>
        <w:rPr>
          <w:rFonts w:hint="eastAsia" w:ascii="仿宋" w:hAnsi="仿宋" w:eastAsia="仿宋"/>
          <w:sz w:val="32"/>
          <w:szCs w:val="32"/>
        </w:rPr>
        <w:t>万元、上年结转结余0万元。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ascii="仿宋" w:hAnsi="仿宋" w:eastAsia="仿宋"/>
          <w:sz w:val="32"/>
          <w:szCs w:val="32"/>
        </w:rPr>
        <w:t>215.46</w:t>
      </w:r>
      <w:r>
        <w:rPr>
          <w:rFonts w:hint="eastAsia" w:ascii="仿宋" w:hAnsi="仿宋" w:eastAsia="仿宋"/>
          <w:sz w:val="32"/>
          <w:szCs w:val="32"/>
        </w:rPr>
        <w:t>万元，比上年增加</w:t>
      </w:r>
      <w:r>
        <w:rPr>
          <w:rFonts w:ascii="仿宋" w:hAnsi="仿宋" w:eastAsia="仿宋"/>
          <w:sz w:val="32"/>
          <w:szCs w:val="32"/>
        </w:rPr>
        <w:t>1.93</w:t>
      </w:r>
      <w:r>
        <w:rPr>
          <w:rFonts w:hint="eastAsia" w:ascii="仿宋" w:hAnsi="仿宋" w:eastAsia="仿宋"/>
          <w:sz w:val="32"/>
          <w:szCs w:val="32"/>
        </w:rPr>
        <w:t>万元，主要原因是人员变动。其中：基本支出</w:t>
      </w:r>
      <w:r>
        <w:rPr>
          <w:rFonts w:ascii="仿宋" w:hAnsi="仿宋" w:eastAsia="仿宋"/>
          <w:sz w:val="32"/>
          <w:szCs w:val="32"/>
        </w:rPr>
        <w:t>215.46</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sz w:val="32"/>
          <w:szCs w:val="32"/>
        </w:rPr>
      </w:pPr>
      <w:bookmarkStart w:id="41" w:name="_Toc28728"/>
      <w:bookmarkEnd w:id="41"/>
      <w:bookmarkStart w:id="42" w:name="_Toc19307"/>
      <w:r>
        <w:rPr>
          <w:rFonts w:hint="eastAsia" w:ascii="黑体" w:hAnsi="黑体" w:eastAsia="黑体"/>
          <w:sz w:val="32"/>
          <w:szCs w:val="32"/>
        </w:rPr>
        <w:t>二、一般公共预算拨款支出情况</w:t>
      </w:r>
      <w:bookmarkEnd w:id="42"/>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rPr>
        <w:t>202</w:t>
      </w:r>
      <w:r>
        <w:rPr>
          <w:rFonts w:ascii="仿宋" w:hAnsi="仿宋" w:eastAsia="仿宋" w:cs="宋体"/>
          <w:bCs/>
          <w:sz w:val="32"/>
          <w:szCs w:val="32"/>
        </w:rPr>
        <w:t>4</w:t>
      </w:r>
      <w:r>
        <w:rPr>
          <w:rFonts w:hint="eastAsia" w:ascii="仿宋" w:hAnsi="仿宋" w:eastAsia="仿宋" w:cs="仿宋_GB2312"/>
          <w:sz w:val="32"/>
          <w:szCs w:val="32"/>
        </w:rPr>
        <w:t>年度一般公共预算拨款支出</w:t>
      </w:r>
      <w:r>
        <w:rPr>
          <w:rFonts w:ascii="仿宋" w:hAnsi="仿宋" w:eastAsia="仿宋" w:cs="仿宋_GB2312"/>
          <w:sz w:val="32"/>
          <w:szCs w:val="32"/>
        </w:rPr>
        <w:t>215.46</w:t>
      </w:r>
      <w:r>
        <w:rPr>
          <w:rFonts w:hint="eastAsia" w:ascii="仿宋" w:hAnsi="仿宋" w:eastAsia="仿宋" w:cs="仿宋_GB2312"/>
          <w:sz w:val="32"/>
          <w:szCs w:val="32"/>
        </w:rPr>
        <w:t>万元，比上年增加</w:t>
      </w:r>
      <w:r>
        <w:rPr>
          <w:rFonts w:ascii="仿宋" w:hAnsi="仿宋" w:eastAsia="仿宋" w:cs="仿宋_GB2312"/>
          <w:sz w:val="32"/>
          <w:szCs w:val="32"/>
        </w:rPr>
        <w:t>1.93</w:t>
      </w:r>
      <w:r>
        <w:rPr>
          <w:rFonts w:hint="eastAsia" w:ascii="仿宋" w:hAnsi="仿宋" w:eastAsia="仿宋" w:cs="仿宋_GB2312"/>
          <w:sz w:val="32"/>
          <w:szCs w:val="32"/>
        </w:rPr>
        <w:t>万元，增长</w:t>
      </w:r>
      <w:r>
        <w:rPr>
          <w:rFonts w:ascii="仿宋" w:hAnsi="仿宋" w:eastAsia="仿宋" w:cs="仿宋_GB2312"/>
          <w:sz w:val="32"/>
          <w:szCs w:val="32"/>
        </w:rPr>
        <w:t>9.04</w:t>
      </w:r>
      <w:r>
        <w:rPr>
          <w:rFonts w:hint="eastAsia" w:ascii="仿宋" w:hAnsi="仿宋" w:eastAsia="仿宋" w:cs="仿宋_GB2312"/>
          <w:sz w:val="32"/>
          <w:szCs w:val="32"/>
        </w:rPr>
        <w:t xml:space="preserve">%，主要原因是工资晋级，按照党中央、国务院和省委、省政府关于过紧日子的有关要求，厉行节约办一切事业，大力压减一般性支出，重点压减了公用经费和培训等项目支出中涉及的非急需非刚性支出，同时合理保障了基础设备、重点项目、重点工程等工作的支出需求，体现在有关支出科目中。其中（按项级科目分类统计）： </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（一）2100302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乡镇卫生院</w:t>
      </w:r>
      <w:r>
        <w:rPr>
          <w:rFonts w:ascii="仿宋" w:hAnsi="仿宋" w:eastAsia="仿宋" w:cs="仿宋_GB2312"/>
          <w:sz w:val="32"/>
          <w:szCs w:val="32"/>
        </w:rPr>
        <w:t>202.55</w:t>
      </w:r>
      <w:r>
        <w:rPr>
          <w:rFonts w:hint="eastAsia" w:ascii="仿宋" w:hAnsi="仿宋" w:eastAsia="仿宋" w:cs="仿宋_GB2312"/>
          <w:sz w:val="32"/>
          <w:szCs w:val="32"/>
        </w:rPr>
        <w:t>万元。主要用于人员经费支出。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（二）2210201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住房公积金</w:t>
      </w:r>
      <w:r>
        <w:rPr>
          <w:rFonts w:ascii="仿宋" w:hAnsi="仿宋" w:eastAsia="仿宋" w:cs="仿宋_GB2312"/>
          <w:sz w:val="32"/>
          <w:szCs w:val="32"/>
        </w:rPr>
        <w:t>13.21</w:t>
      </w:r>
      <w:r>
        <w:rPr>
          <w:rFonts w:hint="eastAsia" w:ascii="仿宋" w:hAnsi="仿宋" w:eastAsia="仿宋" w:cs="仿宋_GB2312"/>
          <w:sz w:val="32"/>
          <w:szCs w:val="32"/>
        </w:rPr>
        <w:t>万元。主要用于人员经费支出。</w:t>
      </w:r>
    </w:p>
    <w:p>
      <w:pPr>
        <w:tabs>
          <w:tab w:val="left" w:pos="7513"/>
        </w:tabs>
        <w:adjustRightInd w:val="0"/>
        <w:snapToGrid w:val="0"/>
        <w:spacing w:line="600" w:lineRule="exact"/>
        <w:outlineLvl w:val="1"/>
        <w:rPr>
          <w:rFonts w:ascii="黑体" w:hAnsi="黑体" w:eastAsia="黑体"/>
          <w:sz w:val="32"/>
          <w:szCs w:val="32"/>
        </w:rPr>
      </w:pPr>
      <w:bookmarkStart w:id="43" w:name="_Toc18494"/>
      <w:bookmarkEnd w:id="43"/>
      <w:bookmarkStart w:id="44" w:name="_Toc19321"/>
      <w:r>
        <w:rPr>
          <w:rFonts w:hint="eastAsia" w:ascii="黑体" w:hAnsi="黑体" w:eastAsia="黑体"/>
          <w:sz w:val="32"/>
          <w:szCs w:val="32"/>
        </w:rPr>
        <w:t>三、政府性基金预算拨款支出情况</w:t>
      </w:r>
      <w:bookmarkEnd w:id="44"/>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本单位202</w:t>
      </w:r>
      <w:r>
        <w:rPr>
          <w:rFonts w:ascii="仿宋" w:hAnsi="仿宋" w:eastAsia="仿宋" w:cs="仿宋_GB2312"/>
          <w:sz w:val="32"/>
          <w:szCs w:val="32"/>
        </w:rPr>
        <w:t>4</w:t>
      </w:r>
      <w:r>
        <w:rPr>
          <w:rFonts w:hint="eastAsia" w:ascii="仿宋" w:hAnsi="仿宋" w:eastAsia="仿宋" w:cs="仿宋_GB2312"/>
          <w:sz w:val="32"/>
          <w:szCs w:val="32"/>
        </w:rPr>
        <w:t>年度没有使用政府性基金预算拨款安排的支出</w:t>
      </w:r>
    </w:p>
    <w:p>
      <w:pPr>
        <w:tabs>
          <w:tab w:val="left" w:pos="7513"/>
        </w:tabs>
        <w:adjustRightInd w:val="0"/>
        <w:snapToGrid w:val="0"/>
        <w:spacing w:line="600" w:lineRule="exact"/>
        <w:outlineLvl w:val="1"/>
        <w:rPr>
          <w:rFonts w:ascii="黑体" w:hAnsi="黑体" w:eastAsia="黑体" w:cs="仿宋_GB2312"/>
          <w:bCs/>
          <w:sz w:val="32"/>
          <w:szCs w:val="32"/>
        </w:rPr>
      </w:pPr>
      <w:bookmarkStart w:id="45" w:name="_Toc6937"/>
      <w:bookmarkEnd w:id="45"/>
      <w:bookmarkStart w:id="46" w:name="_Toc1581"/>
      <w:r>
        <w:rPr>
          <w:rFonts w:hint="eastAsia" w:ascii="黑体" w:hAnsi="黑体" w:eastAsia="黑体" w:cs="仿宋_GB2312"/>
          <w:bCs/>
          <w:sz w:val="32"/>
          <w:szCs w:val="32"/>
        </w:rPr>
        <w:t>四、国有资本经营预算拨款支出情况</w:t>
      </w:r>
      <w:bookmarkEnd w:id="46"/>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本单位202</w:t>
      </w:r>
      <w:r>
        <w:rPr>
          <w:rFonts w:ascii="仿宋" w:hAnsi="仿宋" w:eastAsia="仿宋" w:cs="仿宋_GB2312"/>
          <w:sz w:val="32"/>
          <w:szCs w:val="32"/>
        </w:rPr>
        <w:t>4</w:t>
      </w:r>
      <w:r>
        <w:rPr>
          <w:rFonts w:hint="eastAsia" w:ascii="仿宋" w:hAnsi="仿宋" w:eastAsia="仿宋" w:cs="仿宋_GB2312"/>
          <w:sz w:val="32"/>
          <w:szCs w:val="32"/>
        </w:rPr>
        <w:t>年度没有使用国有资本经营预算拨款安排的支出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bookmarkStart w:id="47" w:name="_Toc32242"/>
      <w:bookmarkEnd w:id="47"/>
      <w:bookmarkStart w:id="48" w:name="_Toc17576"/>
      <w:r>
        <w:rPr>
          <w:rFonts w:hint="eastAsia" w:ascii="黑体" w:hAnsi="黑体" w:eastAsia="黑体"/>
          <w:sz w:val="32"/>
          <w:szCs w:val="32"/>
        </w:rPr>
        <w:t>五、一般公共预算拨款基本支出情况</w:t>
      </w:r>
      <w:bookmarkEnd w:id="48"/>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rPr>
        <w:t>202</w:t>
      </w:r>
      <w:r>
        <w:rPr>
          <w:rFonts w:ascii="仿宋" w:hAnsi="仿宋" w:eastAsia="仿宋" w:cs="宋体"/>
          <w:bCs/>
          <w:sz w:val="32"/>
          <w:szCs w:val="32"/>
        </w:rPr>
        <w:t>4</w:t>
      </w:r>
      <w:r>
        <w:rPr>
          <w:rFonts w:hint="eastAsia" w:ascii="仿宋" w:hAnsi="仿宋" w:eastAsia="仿宋" w:cs="仿宋_GB2312"/>
          <w:sz w:val="32"/>
          <w:szCs w:val="32"/>
        </w:rPr>
        <w:t>年度一般公共预算拨款基本支出</w:t>
      </w:r>
      <w:r>
        <w:rPr>
          <w:rFonts w:ascii="仿宋" w:hAnsi="仿宋" w:eastAsia="仿宋" w:cs="仿宋_GB2312"/>
          <w:sz w:val="32"/>
          <w:szCs w:val="32"/>
        </w:rPr>
        <w:t>215.46</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ascii="仿宋" w:hAnsi="仿宋" w:eastAsia="仿宋" w:cs="仿宋_GB2312"/>
          <w:sz w:val="32"/>
          <w:szCs w:val="32"/>
        </w:rPr>
        <w:t>208.5</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ascii="仿宋" w:hAnsi="仿宋" w:eastAsia="仿宋" w:cs="仿宋_GB2312"/>
          <w:sz w:val="32"/>
          <w:szCs w:val="32"/>
        </w:rPr>
        <w:t>0.34</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sz w:val="32"/>
          <w:szCs w:val="32"/>
        </w:rPr>
      </w:pPr>
      <w:bookmarkStart w:id="49" w:name="_Toc16029"/>
      <w:bookmarkEnd w:id="49"/>
      <w:bookmarkStart w:id="50" w:name="_Toc8165"/>
      <w:r>
        <w:rPr>
          <w:rFonts w:hint="eastAsia" w:ascii="黑体" w:hAnsi="黑体" w:eastAsia="黑体"/>
          <w:sz w:val="32"/>
          <w:szCs w:val="32"/>
        </w:rPr>
        <w:t>六、一般公共预算“三公”经费支出情况</w:t>
      </w:r>
      <w:bookmarkEnd w:id="50"/>
    </w:p>
    <w:p>
      <w:pPr>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仿宋" w:hAnsi="仿宋" w:eastAsia="仿宋" w:cs="仿宋_GB2312"/>
          <w:kern w:val="0"/>
          <w:sz w:val="32"/>
          <w:szCs w:val="32"/>
        </w:rPr>
        <w:t>202</w:t>
      </w:r>
      <w:r>
        <w:rPr>
          <w:rFonts w:ascii="仿宋" w:hAnsi="仿宋" w:eastAsia="仿宋" w:cs="仿宋_GB2312"/>
          <w:kern w:val="0"/>
          <w:sz w:val="32"/>
          <w:szCs w:val="32"/>
        </w:rPr>
        <w:t>4</w:t>
      </w:r>
      <w:r>
        <w:rPr>
          <w:rFonts w:hint="eastAsia" w:ascii="仿宋" w:hAnsi="仿宋" w:eastAsia="仿宋" w:cs="仿宋_GB2312"/>
          <w:sz w:val="32"/>
          <w:szCs w:val="32"/>
        </w:rPr>
        <w:t>年预算安排</w:t>
      </w:r>
      <w:r>
        <w:rPr>
          <w:rFonts w:hint="eastAsia" w:ascii="仿宋" w:hAnsi="仿宋" w:eastAsia="仿宋" w:cs="仿宋_GB2312"/>
          <w:kern w:val="0"/>
          <w:sz w:val="32"/>
          <w:szCs w:val="32"/>
        </w:rPr>
        <w:t>0</w:t>
      </w:r>
      <w:r>
        <w:rPr>
          <w:rFonts w:hint="eastAsia" w:ascii="仿宋" w:hAnsi="仿宋" w:eastAsia="仿宋" w:cs="仿宋_GB2312"/>
          <w:sz w:val="32"/>
          <w:szCs w:val="32"/>
        </w:rPr>
        <w:t>万元，与上年持平。主要原因是：本单位预算无安排因公出国（境）经费。</w:t>
      </w:r>
    </w:p>
    <w:p>
      <w:pPr>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rPr>
        <w:t>202</w:t>
      </w:r>
      <w:r>
        <w:rPr>
          <w:rFonts w:ascii="仿宋" w:hAnsi="仿宋" w:eastAsia="仿宋" w:cs="仿宋_GB2312"/>
          <w:kern w:val="0"/>
          <w:sz w:val="32"/>
          <w:szCs w:val="32"/>
        </w:rPr>
        <w:t>4</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0</w:t>
      </w:r>
      <w:r>
        <w:rPr>
          <w:rFonts w:hint="eastAsia" w:ascii="仿宋" w:hAnsi="仿宋" w:eastAsia="仿宋" w:cs="宋体"/>
          <w:kern w:val="0"/>
          <w:sz w:val="32"/>
          <w:szCs w:val="32"/>
        </w:rPr>
        <w:t>万元，与上年持平。</w:t>
      </w:r>
      <w:r>
        <w:rPr>
          <w:rFonts w:hint="eastAsia" w:ascii="仿宋" w:hAnsi="仿宋" w:eastAsia="仿宋" w:cs="仿宋_GB2312"/>
          <w:sz w:val="32"/>
          <w:szCs w:val="32"/>
        </w:rPr>
        <w:t>主要原因是：本单位预算无安排公务接待费。</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60"/>
        <w:rPr>
          <w:rFonts w:ascii="楷体" w:hAnsi="楷体" w:eastAsia="楷体" w:cs="仿宋_GB2312"/>
          <w:sz w:val="32"/>
          <w:szCs w:val="32"/>
        </w:rPr>
      </w:pPr>
      <w:r>
        <w:rPr>
          <w:rFonts w:hint="eastAsia" w:ascii="仿宋" w:hAnsi="仿宋" w:eastAsia="仿宋" w:cs="仿宋_GB2312"/>
          <w:kern w:val="0"/>
          <w:sz w:val="32"/>
          <w:szCs w:val="32"/>
        </w:rPr>
        <w:t>202</w:t>
      </w:r>
      <w:r>
        <w:rPr>
          <w:rFonts w:ascii="仿宋" w:hAnsi="仿宋" w:eastAsia="仿宋" w:cs="仿宋_GB2312"/>
          <w:kern w:val="0"/>
          <w:sz w:val="32"/>
          <w:szCs w:val="32"/>
        </w:rPr>
        <w:t>4</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0</w:t>
      </w:r>
      <w:r>
        <w:rPr>
          <w:rFonts w:hint="eastAsia" w:ascii="仿宋" w:hAnsi="仿宋" w:eastAsia="仿宋" w:cs="宋体"/>
          <w:kern w:val="0"/>
          <w:sz w:val="32"/>
          <w:szCs w:val="32"/>
        </w:rPr>
        <w:t>万元，与上年持平。</w:t>
      </w:r>
      <w:r>
        <w:rPr>
          <w:rFonts w:hint="eastAsia" w:ascii="仿宋" w:hAnsi="仿宋" w:eastAsia="仿宋" w:cs="仿宋_GB2312"/>
          <w:sz w:val="32"/>
          <w:szCs w:val="32"/>
        </w:rPr>
        <w:t>主要原因是：本单位预算无安排公务用车购置及运行费。</w:t>
      </w:r>
    </w:p>
    <w:p>
      <w:pPr>
        <w:spacing w:line="600" w:lineRule="exact"/>
        <w:outlineLvl w:val="1"/>
        <w:rPr>
          <w:rFonts w:ascii="黑体" w:hAnsi="黑体" w:eastAsia="黑体"/>
          <w:sz w:val="32"/>
          <w:szCs w:val="32"/>
        </w:rPr>
      </w:pPr>
      <w:bookmarkStart w:id="51" w:name="_Toc3750"/>
      <w:bookmarkEnd w:id="51"/>
      <w:bookmarkStart w:id="52" w:name="_Toc25299"/>
      <w:r>
        <w:rPr>
          <w:rFonts w:hint="eastAsia" w:ascii="黑体" w:hAnsi="黑体" w:eastAsia="黑体"/>
          <w:sz w:val="32"/>
          <w:szCs w:val="32"/>
        </w:rPr>
        <w:t>七、预算绩效目标情况</w:t>
      </w:r>
      <w:bookmarkEnd w:id="52"/>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rPr>
        <w:t>202</w:t>
      </w:r>
      <w:r>
        <w:rPr>
          <w:rFonts w:ascii="仿宋" w:hAnsi="仿宋" w:eastAsia="仿宋" w:cs="仿宋_GB2312"/>
          <w:kern w:val="0"/>
          <w:sz w:val="32"/>
          <w:szCs w:val="32"/>
        </w:rPr>
        <w:t>4</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漳平市芦芝</w:t>
      </w:r>
      <w:r>
        <w:rPr>
          <w:rFonts w:hint="eastAsia" w:ascii="仿宋" w:hAnsi="仿宋" w:eastAsia="仿宋"/>
          <w:kern w:val="0"/>
          <w:sz w:val="32"/>
          <w:szCs w:val="32"/>
        </w:rPr>
        <w:t>镇</w:t>
      </w:r>
      <w:r>
        <w:rPr>
          <w:rFonts w:hint="eastAsia" w:ascii="仿宋" w:hAnsi="仿宋" w:eastAsia="仿宋" w:cs="仿宋_GB2312"/>
          <w:kern w:val="0"/>
          <w:sz w:val="32"/>
          <w:szCs w:val="32"/>
          <w:lang w:eastAsia="zh-CN"/>
        </w:rPr>
        <w:t>卫生院</w:t>
      </w:r>
      <w:r>
        <w:rPr>
          <w:rFonts w:hint="eastAsia" w:ascii="仿宋" w:hAnsi="仿宋" w:eastAsia="仿宋" w:cs="仿宋_GB2312"/>
          <w:kern w:val="0"/>
          <w:sz w:val="32"/>
          <w:szCs w:val="32"/>
        </w:rPr>
        <w:t>共设置0个项目绩效目标，共涉及财政拨款资金0万元。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bookmarkStart w:id="53" w:name="_Toc16223"/>
      <w:bookmarkEnd w:id="53"/>
      <w:bookmarkStart w:id="54" w:name="_Toc4620"/>
      <w:r>
        <w:rPr>
          <w:rFonts w:ascii="仿宋" w:hAnsi="仿宋" w:eastAsia="仿宋"/>
          <w:b/>
          <w:sz w:val="32"/>
          <w:szCs w:val="32"/>
        </w:rPr>
        <w:t>1.项目支出绩效目标表</w:t>
      </w:r>
    </w:p>
    <w:p>
      <w:pPr>
        <w:spacing w:line="590" w:lineRule="exact"/>
        <w:ind w:firstLine="640" w:firstLineChars="200"/>
        <w:rPr>
          <w:rFonts w:hint="eastAsia" w:ascii="楷体" w:hAnsi="楷体" w:eastAsia="楷体" w:cs="楷体"/>
          <w:kern w:val="0"/>
          <w:sz w:val="32"/>
          <w:szCs w:val="32"/>
        </w:rPr>
      </w:pPr>
      <w:r>
        <w:rPr>
          <w:rFonts w:hint="eastAsia" w:ascii="仿宋" w:hAnsi="仿宋" w:eastAsia="仿宋" w:cs="仿宋_GB2312"/>
          <w:kern w:val="0"/>
          <w:sz w:val="32"/>
          <w:szCs w:val="32"/>
        </w:rPr>
        <w:t>本单位无项目支出绩效目标表。</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2.单位</w:t>
      </w:r>
      <w:r>
        <w:rPr>
          <w:rFonts w:ascii="仿宋" w:hAnsi="仿宋" w:eastAsia="仿宋"/>
          <w:b/>
          <w:sz w:val="32"/>
          <w:szCs w:val="32"/>
        </w:rPr>
        <w:t>整体支出绩效目标表</w:t>
      </w:r>
    </w:p>
    <w:p>
      <w:pPr>
        <w:spacing w:line="590" w:lineRule="exact"/>
        <w:ind w:firstLine="640" w:firstLineChars="200"/>
        <w:rPr>
          <w:rFonts w:ascii="楷体" w:hAnsi="楷体" w:eastAsia="楷体" w:cs="楷体"/>
          <w:kern w:val="0"/>
          <w:sz w:val="32"/>
          <w:szCs w:val="32"/>
        </w:rPr>
      </w:pPr>
      <w:r>
        <w:rPr>
          <w:rFonts w:hint="eastAsia" w:ascii="仿宋" w:hAnsi="仿宋" w:eastAsia="仿宋" w:cs="仿宋_GB2312"/>
          <w:kern w:val="0"/>
          <w:sz w:val="32"/>
          <w:szCs w:val="32"/>
        </w:rPr>
        <w:t>本单位无项目支出绩效目标表。</w:t>
      </w:r>
    </w:p>
    <w:p>
      <w:pPr>
        <w:spacing w:line="59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有关情况说明</w:t>
      </w:r>
    </w:p>
    <w:p>
      <w:pPr>
        <w:spacing w:line="600" w:lineRule="exact"/>
        <w:ind w:firstLine="640" w:firstLineChars="200"/>
        <w:outlineLvl w:val="1"/>
        <w:rPr>
          <w:rFonts w:hint="eastAsia" w:ascii="仿宋" w:hAnsi="仿宋" w:eastAsia="仿宋" w:cs="仿宋_GB2312"/>
          <w:kern w:val="0"/>
          <w:sz w:val="32"/>
          <w:szCs w:val="32"/>
        </w:rPr>
      </w:pPr>
      <w:r>
        <w:rPr>
          <w:rFonts w:hint="eastAsia" w:ascii="仿宋" w:hAnsi="仿宋" w:eastAsia="仿宋" w:cs="仿宋_GB2312"/>
          <w:kern w:val="0"/>
          <w:sz w:val="32"/>
          <w:szCs w:val="32"/>
        </w:rPr>
        <w:t>本单位无其他需要说明的绩效目标情况。</w:t>
      </w:r>
    </w:p>
    <w:p>
      <w:pPr>
        <w:spacing w:line="600" w:lineRule="exact"/>
        <w:outlineLvl w:val="1"/>
        <w:rPr>
          <w:rFonts w:ascii="黑体" w:hAnsi="黑体" w:eastAsia="黑体"/>
          <w:sz w:val="32"/>
          <w:szCs w:val="32"/>
        </w:rPr>
      </w:pPr>
      <w:r>
        <w:rPr>
          <w:rFonts w:hint="eastAsia" w:ascii="黑体" w:hAnsi="黑体" w:eastAsia="黑体"/>
          <w:sz w:val="32"/>
          <w:szCs w:val="32"/>
        </w:rPr>
        <w:t>八、其他重要事项说明</w:t>
      </w:r>
      <w:bookmarkEnd w:id="54"/>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sz w:val="32"/>
          <w:szCs w:val="32"/>
        </w:rPr>
      </w:pPr>
      <w:r>
        <w:rPr>
          <w:rFonts w:hint="eastAsia" w:ascii="仿宋" w:hAnsi="仿宋" w:eastAsia="仿宋" w:cs="仿宋_GB2312"/>
          <w:kern w:val="0"/>
          <w:sz w:val="32"/>
          <w:szCs w:val="32"/>
        </w:rPr>
        <w:t>2024</w:t>
      </w:r>
      <w:r>
        <w:rPr>
          <w:rFonts w:hint="eastAsia" w:ascii="仿宋" w:hAnsi="仿宋" w:eastAsia="仿宋"/>
          <w:sz w:val="32"/>
          <w:szCs w:val="32"/>
        </w:rPr>
        <w:t>年，</w:t>
      </w:r>
      <w:r>
        <w:rPr>
          <w:rFonts w:hint="eastAsia" w:ascii="仿宋" w:hAnsi="仿宋" w:eastAsia="仿宋" w:cs="仿宋_GB2312"/>
          <w:kern w:val="0"/>
          <w:sz w:val="32"/>
          <w:szCs w:val="32"/>
          <w:lang w:eastAsia="zh-CN"/>
        </w:rPr>
        <w:t>漳平市芦芝</w:t>
      </w:r>
      <w:r>
        <w:rPr>
          <w:rFonts w:hint="eastAsia" w:ascii="仿宋" w:hAnsi="仿宋" w:eastAsia="仿宋"/>
          <w:kern w:val="0"/>
          <w:sz w:val="32"/>
          <w:szCs w:val="32"/>
        </w:rPr>
        <w:t>镇</w:t>
      </w:r>
      <w:r>
        <w:rPr>
          <w:rFonts w:hint="eastAsia" w:ascii="仿宋" w:hAnsi="仿宋" w:eastAsia="仿宋" w:cs="仿宋_GB2312"/>
          <w:kern w:val="0"/>
          <w:sz w:val="32"/>
          <w:szCs w:val="32"/>
          <w:lang w:eastAsia="zh-CN"/>
        </w:rPr>
        <w:t>卫生院</w:t>
      </w:r>
      <w:r>
        <w:rPr>
          <w:rFonts w:hint="eastAsia" w:ascii="仿宋" w:hAnsi="仿宋" w:eastAsia="仿宋"/>
          <w:sz w:val="32"/>
          <w:szCs w:val="32"/>
        </w:rPr>
        <w:t>一般公共预算拨款安排的机关运行经费支出</w:t>
      </w:r>
      <w:r>
        <w:rPr>
          <w:rFonts w:hint="eastAsia" w:ascii="仿宋" w:hAnsi="仿宋" w:eastAsia="仿宋" w:cs="仿宋_GB2312"/>
          <w:kern w:val="0"/>
          <w:sz w:val="32"/>
          <w:szCs w:val="32"/>
        </w:rPr>
        <w:t>0.00</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cs="仿宋"/>
          <w:sz w:val="32"/>
          <w:szCs w:val="32"/>
        </w:rPr>
        <w:t>与上年持平</w:t>
      </w:r>
      <w:r>
        <w:rPr>
          <w:rFonts w:hint="eastAsia" w:ascii="仿宋" w:hAnsi="仿宋" w:eastAsia="仿宋"/>
          <w:sz w:val="32"/>
          <w:szCs w:val="32"/>
        </w:rPr>
        <w:t>。主要原因是本单位没有机关运行经费。</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2024</w:t>
      </w:r>
      <w:r>
        <w:rPr>
          <w:rFonts w:hint="eastAsia" w:ascii="仿宋" w:hAnsi="仿宋" w:eastAsia="仿宋"/>
          <w:kern w:val="0"/>
          <w:sz w:val="32"/>
          <w:szCs w:val="32"/>
        </w:rPr>
        <w:t>年，</w:t>
      </w:r>
      <w:r>
        <w:rPr>
          <w:rFonts w:hint="eastAsia" w:ascii="仿宋" w:hAnsi="仿宋" w:eastAsia="仿宋" w:cs="仿宋_GB2312"/>
          <w:kern w:val="0"/>
          <w:sz w:val="32"/>
          <w:szCs w:val="32"/>
          <w:lang w:eastAsia="zh-CN"/>
        </w:rPr>
        <w:t>漳平市芦芝</w:t>
      </w:r>
      <w:r>
        <w:rPr>
          <w:rFonts w:hint="eastAsia" w:ascii="仿宋" w:hAnsi="仿宋" w:eastAsia="仿宋"/>
          <w:kern w:val="0"/>
          <w:sz w:val="32"/>
          <w:szCs w:val="32"/>
        </w:rPr>
        <w:t>镇</w:t>
      </w:r>
      <w:r>
        <w:rPr>
          <w:rFonts w:hint="eastAsia" w:ascii="仿宋" w:hAnsi="仿宋" w:eastAsia="仿宋" w:cs="仿宋_GB2312"/>
          <w:kern w:val="0"/>
          <w:sz w:val="32"/>
          <w:szCs w:val="32"/>
          <w:lang w:eastAsia="zh-CN"/>
        </w:rPr>
        <w:t>卫生院</w:t>
      </w:r>
      <w:r>
        <w:rPr>
          <w:rFonts w:hint="eastAsia" w:ascii="仿宋" w:hAnsi="仿宋" w:eastAsia="仿宋"/>
          <w:kern w:val="0"/>
          <w:sz w:val="32"/>
          <w:szCs w:val="32"/>
        </w:rPr>
        <w:t>政府采购预算总额</w:t>
      </w:r>
      <w:r>
        <w:rPr>
          <w:rFonts w:hint="eastAsia" w:ascii="仿宋" w:hAnsi="仿宋" w:eastAsia="仿宋"/>
          <w:kern w:val="0"/>
          <w:sz w:val="32"/>
          <w:szCs w:val="32"/>
          <w:lang w:val="en-US" w:eastAsia="zh-CN"/>
        </w:rPr>
        <w:t>0.3</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0.3</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rPr>
        <w:t>202</w:t>
      </w:r>
      <w:r>
        <w:rPr>
          <w:rFonts w:hint="eastAsia" w:ascii="仿宋" w:hAnsi="仿宋" w:eastAsia="仿宋" w:cs="仿宋_GB2312"/>
          <w:kern w:val="0"/>
          <w:sz w:val="32"/>
          <w:szCs w:val="32"/>
          <w:lang w:val="en-US" w:eastAsia="zh-CN"/>
        </w:rPr>
        <w:t>3</w:t>
      </w:r>
      <w:bookmarkStart w:id="59" w:name="_GoBack"/>
      <w:bookmarkEnd w:id="59"/>
      <w:r>
        <w:rPr>
          <w:rFonts w:hint="eastAsia" w:ascii="仿宋" w:hAnsi="仿宋" w:eastAsia="仿宋" w:cs="仿宋_GB2312"/>
          <w:kern w:val="0"/>
          <w:sz w:val="32"/>
          <w:szCs w:val="32"/>
        </w:rPr>
        <w:t>年12月31日，</w:t>
      </w:r>
      <w:r>
        <w:rPr>
          <w:rFonts w:hint="eastAsia" w:ascii="仿宋" w:hAnsi="仿宋" w:eastAsia="仿宋"/>
          <w:kern w:val="0"/>
          <w:sz w:val="32"/>
          <w:szCs w:val="32"/>
        </w:rPr>
        <w:t>漳平市芦芝镇生院</w:t>
      </w:r>
      <w:r>
        <w:rPr>
          <w:rFonts w:hint="eastAsia" w:ascii="仿宋" w:hAnsi="仿宋" w:eastAsia="仿宋"/>
          <w:sz w:val="32"/>
          <w:szCs w:val="32"/>
        </w:rPr>
        <w:t>单位共有车辆</w:t>
      </w:r>
      <w:r>
        <w:rPr>
          <w:rFonts w:hint="eastAsia" w:ascii="仿宋" w:hAnsi="仿宋" w:eastAsia="仿宋" w:cs="仿宋_GB2312"/>
          <w:kern w:val="0"/>
          <w:sz w:val="32"/>
          <w:szCs w:val="32"/>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rPr>
        <w:t>0</w:t>
      </w:r>
      <w:r>
        <w:rPr>
          <w:rFonts w:hint="eastAsia" w:ascii="仿宋" w:hAnsi="仿宋" w:eastAsia="仿宋"/>
          <w:sz w:val="32"/>
          <w:szCs w:val="32"/>
        </w:rPr>
        <w:t>辆、机要通信用车</w:t>
      </w:r>
      <w:r>
        <w:rPr>
          <w:rFonts w:hint="eastAsia" w:ascii="仿宋" w:hAnsi="仿宋" w:eastAsia="仿宋" w:cs="仿宋_GB2312"/>
          <w:kern w:val="0"/>
          <w:sz w:val="32"/>
          <w:szCs w:val="32"/>
        </w:rPr>
        <w:t>0</w:t>
      </w:r>
      <w:r>
        <w:rPr>
          <w:rFonts w:hint="eastAsia" w:ascii="仿宋" w:hAnsi="仿宋" w:eastAsia="仿宋"/>
          <w:sz w:val="32"/>
          <w:szCs w:val="32"/>
        </w:rPr>
        <w:t>辆、应急保障用车</w:t>
      </w:r>
      <w:r>
        <w:rPr>
          <w:rFonts w:hint="eastAsia" w:ascii="仿宋" w:hAnsi="仿宋" w:eastAsia="仿宋" w:cs="仿宋_GB2312"/>
          <w:kern w:val="0"/>
          <w:sz w:val="32"/>
          <w:szCs w:val="32"/>
        </w:rPr>
        <w:t>0</w:t>
      </w:r>
      <w:r>
        <w:rPr>
          <w:rFonts w:hint="eastAsia" w:ascii="仿宋" w:hAnsi="仿宋" w:eastAsia="仿宋"/>
          <w:sz w:val="32"/>
          <w:szCs w:val="32"/>
        </w:rPr>
        <w:t>辆、执法执勤用车</w:t>
      </w:r>
      <w:r>
        <w:rPr>
          <w:rFonts w:hint="eastAsia" w:ascii="仿宋" w:hAnsi="仿宋" w:eastAsia="仿宋" w:cs="仿宋_GB2312"/>
          <w:kern w:val="0"/>
          <w:sz w:val="32"/>
          <w:szCs w:val="32"/>
        </w:rPr>
        <w:t>0</w:t>
      </w:r>
      <w:r>
        <w:rPr>
          <w:rFonts w:hint="eastAsia" w:ascii="仿宋" w:hAnsi="仿宋" w:eastAsia="仿宋"/>
          <w:sz w:val="32"/>
          <w:szCs w:val="32"/>
        </w:rPr>
        <w:t>辆、特种专业技术用车</w:t>
      </w:r>
      <w:r>
        <w:rPr>
          <w:rFonts w:hint="eastAsia" w:ascii="仿宋" w:hAnsi="仿宋" w:eastAsia="仿宋" w:cs="仿宋_GB2312"/>
          <w:kern w:val="0"/>
          <w:sz w:val="32"/>
          <w:szCs w:val="32"/>
        </w:rPr>
        <w:t>0</w:t>
      </w:r>
      <w:r>
        <w:rPr>
          <w:rFonts w:hint="eastAsia" w:ascii="仿宋" w:hAnsi="仿宋" w:eastAsia="仿宋"/>
          <w:sz w:val="32"/>
          <w:szCs w:val="32"/>
        </w:rPr>
        <w:t>辆、其他用车</w:t>
      </w:r>
      <w:r>
        <w:rPr>
          <w:rFonts w:hint="eastAsia" w:ascii="仿宋" w:hAnsi="仿宋" w:eastAsia="仿宋" w:cs="仿宋_GB2312"/>
          <w:kern w:val="0"/>
          <w:sz w:val="32"/>
          <w:szCs w:val="32"/>
        </w:rPr>
        <w:t>0</w:t>
      </w:r>
      <w:r>
        <w:rPr>
          <w:rFonts w:hint="eastAsia" w:ascii="仿宋" w:hAnsi="仿宋" w:eastAsia="仿宋"/>
          <w:sz w:val="32"/>
          <w:szCs w:val="32"/>
        </w:rPr>
        <w:t>辆。单位价值100万元以上专用设备</w:t>
      </w:r>
      <w:r>
        <w:rPr>
          <w:rFonts w:hint="eastAsia" w:ascii="仿宋" w:hAnsi="仿宋" w:eastAsia="仿宋" w:cs="仿宋_GB2312"/>
          <w:kern w:val="0"/>
          <w:sz w:val="32"/>
          <w:szCs w:val="32"/>
        </w:rPr>
        <w:t>0台（套）。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rPr>
        <w:t>202</w:t>
      </w:r>
      <w:r>
        <w:rPr>
          <w:rFonts w:ascii="仿宋" w:hAnsi="仿宋" w:eastAsia="仿宋" w:cs="楷体"/>
          <w:kern w:val="0"/>
          <w:sz w:val="32"/>
          <w:szCs w:val="32"/>
        </w:rPr>
        <w:t>4</w:t>
      </w:r>
      <w:r>
        <w:rPr>
          <w:rFonts w:hint="eastAsia" w:ascii="仿宋" w:hAnsi="仿宋" w:eastAsia="仿宋" w:cs="楷体"/>
          <w:kern w:val="0"/>
          <w:sz w:val="32"/>
          <w:szCs w:val="32"/>
        </w:rPr>
        <w:t>年单位预算安排购置车辆</w:t>
      </w:r>
      <w:r>
        <w:rPr>
          <w:rFonts w:hint="eastAsia" w:ascii="仿宋" w:hAnsi="仿宋" w:eastAsia="仿宋" w:cs="仿宋_GB2312"/>
          <w:kern w:val="0"/>
          <w:sz w:val="32"/>
          <w:szCs w:val="32"/>
        </w:rPr>
        <w:t>0</w:t>
      </w:r>
      <w:r>
        <w:rPr>
          <w:rFonts w:hint="eastAsia" w:ascii="仿宋" w:hAnsi="仿宋" w:eastAsia="仿宋"/>
          <w:sz w:val="32"/>
          <w:szCs w:val="32"/>
        </w:rPr>
        <w:t>辆，单位价值100万元以上专用设备</w:t>
      </w:r>
      <w:r>
        <w:rPr>
          <w:rFonts w:hint="eastAsia" w:ascii="仿宋" w:hAnsi="仿宋" w:eastAsia="仿宋" w:cs="仿宋_GB2312"/>
          <w:kern w:val="0"/>
          <w:sz w:val="32"/>
          <w:szCs w:val="32"/>
        </w:rPr>
        <w:t>0台（套）。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sz w:val="56"/>
        </w:rPr>
      </w:pPr>
      <w:bookmarkStart w:id="55" w:name="_Toc1508"/>
      <w:bookmarkEnd w:id="55"/>
      <w:bookmarkStart w:id="56" w:name="_Toc31371"/>
      <w:r>
        <w:rPr>
          <w:rFonts w:hint="eastAsia" w:ascii="黑体" w:hAnsi="黑体" w:eastAsia="黑体"/>
          <w:sz w:val="56"/>
        </w:rPr>
        <w:t>第四部分</w:t>
      </w:r>
      <w:bookmarkEnd w:id="56"/>
      <w:r>
        <w:rPr>
          <w:rFonts w:ascii="黑体" w:hAnsi="黑体" w:eastAsia="黑体"/>
          <w:sz w:val="56"/>
        </w:rPr>
        <w:t xml:space="preserve"> </w:t>
      </w:r>
    </w:p>
    <w:p>
      <w:pPr>
        <w:jc w:val="center"/>
        <w:outlineLvl w:val="0"/>
        <w:rPr>
          <w:rFonts w:ascii="黑体" w:hAnsi="黑体" w:eastAsia="黑体"/>
          <w:sz w:val="56"/>
        </w:rPr>
      </w:pPr>
      <w:bookmarkStart w:id="57" w:name="_Toc14003"/>
      <w:bookmarkEnd w:id="57"/>
      <w:bookmarkStart w:id="58" w:name="_Toc1020"/>
      <w:r>
        <w:rPr>
          <w:rFonts w:hint="eastAsia" w:ascii="黑体" w:hAnsi="黑体" w:eastAsia="黑体"/>
          <w:sz w:val="56"/>
        </w:rPr>
        <w:t>名词解释</w:t>
      </w:r>
      <w:bookmarkEnd w:id="58"/>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4"/>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4"/>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4"/>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2</w:t>
        </w:r>
        <w:r>
          <w:rPr>
            <w:rFonts w:asciiTheme="minorEastAsia" w:hAnsiTheme="minorEastAsia"/>
            <w:sz w:val="2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0010BD"/>
    <w:rsid w:val="000137C6"/>
    <w:rsid w:val="00015F8A"/>
    <w:rsid w:val="00021833"/>
    <w:rsid w:val="00033F71"/>
    <w:rsid w:val="0003780F"/>
    <w:rsid w:val="000470A9"/>
    <w:rsid w:val="00052C34"/>
    <w:rsid w:val="00061A94"/>
    <w:rsid w:val="0008592D"/>
    <w:rsid w:val="00085F2B"/>
    <w:rsid w:val="00091A44"/>
    <w:rsid w:val="00096056"/>
    <w:rsid w:val="00096BD6"/>
    <w:rsid w:val="000A7A40"/>
    <w:rsid w:val="000B35CC"/>
    <w:rsid w:val="000D529F"/>
    <w:rsid w:val="000F31DC"/>
    <w:rsid w:val="000F705C"/>
    <w:rsid w:val="00105219"/>
    <w:rsid w:val="00105CE0"/>
    <w:rsid w:val="001315FC"/>
    <w:rsid w:val="00134215"/>
    <w:rsid w:val="0014464B"/>
    <w:rsid w:val="00145976"/>
    <w:rsid w:val="001569B3"/>
    <w:rsid w:val="00162161"/>
    <w:rsid w:val="00167378"/>
    <w:rsid w:val="00172CC0"/>
    <w:rsid w:val="001767B3"/>
    <w:rsid w:val="00180DDA"/>
    <w:rsid w:val="00194BDC"/>
    <w:rsid w:val="001A47A7"/>
    <w:rsid w:val="001A5903"/>
    <w:rsid w:val="001B45ED"/>
    <w:rsid w:val="001D23E2"/>
    <w:rsid w:val="001D4196"/>
    <w:rsid w:val="001D494E"/>
    <w:rsid w:val="001F169B"/>
    <w:rsid w:val="001F391B"/>
    <w:rsid w:val="00221F98"/>
    <w:rsid w:val="002243EF"/>
    <w:rsid w:val="00225701"/>
    <w:rsid w:val="0024036A"/>
    <w:rsid w:val="00240977"/>
    <w:rsid w:val="00244E2B"/>
    <w:rsid w:val="00245FED"/>
    <w:rsid w:val="00262545"/>
    <w:rsid w:val="00264B96"/>
    <w:rsid w:val="00272FB1"/>
    <w:rsid w:val="00283432"/>
    <w:rsid w:val="00284C12"/>
    <w:rsid w:val="00290575"/>
    <w:rsid w:val="00296195"/>
    <w:rsid w:val="002A5DBC"/>
    <w:rsid w:val="002B1982"/>
    <w:rsid w:val="002B41BC"/>
    <w:rsid w:val="002B699A"/>
    <w:rsid w:val="002E123F"/>
    <w:rsid w:val="002F0ECE"/>
    <w:rsid w:val="002F1995"/>
    <w:rsid w:val="002F1B6F"/>
    <w:rsid w:val="00300BC1"/>
    <w:rsid w:val="00305616"/>
    <w:rsid w:val="00311E91"/>
    <w:rsid w:val="00312014"/>
    <w:rsid w:val="00317140"/>
    <w:rsid w:val="003322AE"/>
    <w:rsid w:val="00334F93"/>
    <w:rsid w:val="00335299"/>
    <w:rsid w:val="00353125"/>
    <w:rsid w:val="00360D9A"/>
    <w:rsid w:val="00381D4F"/>
    <w:rsid w:val="003B2C9B"/>
    <w:rsid w:val="003B798E"/>
    <w:rsid w:val="003C02BF"/>
    <w:rsid w:val="003C2183"/>
    <w:rsid w:val="003C5CE4"/>
    <w:rsid w:val="003D0393"/>
    <w:rsid w:val="003D5338"/>
    <w:rsid w:val="003D5768"/>
    <w:rsid w:val="003E5DD3"/>
    <w:rsid w:val="00405EA3"/>
    <w:rsid w:val="00407989"/>
    <w:rsid w:val="00414790"/>
    <w:rsid w:val="00420571"/>
    <w:rsid w:val="0042125F"/>
    <w:rsid w:val="00421FB1"/>
    <w:rsid w:val="00434CBE"/>
    <w:rsid w:val="00442172"/>
    <w:rsid w:val="00445C9B"/>
    <w:rsid w:val="0044633A"/>
    <w:rsid w:val="004527A5"/>
    <w:rsid w:val="004820BF"/>
    <w:rsid w:val="00491569"/>
    <w:rsid w:val="00493431"/>
    <w:rsid w:val="0049418B"/>
    <w:rsid w:val="00495994"/>
    <w:rsid w:val="004D67D6"/>
    <w:rsid w:val="004D696A"/>
    <w:rsid w:val="004F0B75"/>
    <w:rsid w:val="004F2948"/>
    <w:rsid w:val="00504A24"/>
    <w:rsid w:val="00517BFA"/>
    <w:rsid w:val="00523AAB"/>
    <w:rsid w:val="005354CD"/>
    <w:rsid w:val="00535E87"/>
    <w:rsid w:val="0054470B"/>
    <w:rsid w:val="00566CC7"/>
    <w:rsid w:val="00572F35"/>
    <w:rsid w:val="00577AEF"/>
    <w:rsid w:val="00584849"/>
    <w:rsid w:val="005877F0"/>
    <w:rsid w:val="005B00AC"/>
    <w:rsid w:val="005B1EBF"/>
    <w:rsid w:val="005D5F05"/>
    <w:rsid w:val="005F4224"/>
    <w:rsid w:val="00606548"/>
    <w:rsid w:val="00606A72"/>
    <w:rsid w:val="006354A5"/>
    <w:rsid w:val="00642A85"/>
    <w:rsid w:val="00645111"/>
    <w:rsid w:val="00647133"/>
    <w:rsid w:val="00684D3B"/>
    <w:rsid w:val="006B071B"/>
    <w:rsid w:val="006B70C6"/>
    <w:rsid w:val="006C4713"/>
    <w:rsid w:val="006F1EE5"/>
    <w:rsid w:val="007015F0"/>
    <w:rsid w:val="007030FB"/>
    <w:rsid w:val="00743C61"/>
    <w:rsid w:val="00743C81"/>
    <w:rsid w:val="00753E47"/>
    <w:rsid w:val="00760DCF"/>
    <w:rsid w:val="00773637"/>
    <w:rsid w:val="00775567"/>
    <w:rsid w:val="007869F2"/>
    <w:rsid w:val="00793B47"/>
    <w:rsid w:val="007A30B9"/>
    <w:rsid w:val="007B32F9"/>
    <w:rsid w:val="007C60CF"/>
    <w:rsid w:val="007E01A7"/>
    <w:rsid w:val="007E48D9"/>
    <w:rsid w:val="00800C7B"/>
    <w:rsid w:val="00804D1C"/>
    <w:rsid w:val="008071E4"/>
    <w:rsid w:val="0084047D"/>
    <w:rsid w:val="00841422"/>
    <w:rsid w:val="008519DD"/>
    <w:rsid w:val="00855527"/>
    <w:rsid w:val="008763D2"/>
    <w:rsid w:val="00880C2D"/>
    <w:rsid w:val="008906D2"/>
    <w:rsid w:val="008A73C5"/>
    <w:rsid w:val="008A7421"/>
    <w:rsid w:val="008B03FD"/>
    <w:rsid w:val="008D5DFA"/>
    <w:rsid w:val="008D6F87"/>
    <w:rsid w:val="008E3CBD"/>
    <w:rsid w:val="00906943"/>
    <w:rsid w:val="009178F6"/>
    <w:rsid w:val="00923567"/>
    <w:rsid w:val="0094672F"/>
    <w:rsid w:val="00953F6D"/>
    <w:rsid w:val="00960D2C"/>
    <w:rsid w:val="009642BE"/>
    <w:rsid w:val="00973238"/>
    <w:rsid w:val="009739A9"/>
    <w:rsid w:val="00994886"/>
    <w:rsid w:val="009B5FAD"/>
    <w:rsid w:val="009C7FB5"/>
    <w:rsid w:val="009D76A4"/>
    <w:rsid w:val="00A10948"/>
    <w:rsid w:val="00A23912"/>
    <w:rsid w:val="00A36EAA"/>
    <w:rsid w:val="00A403DC"/>
    <w:rsid w:val="00A4118D"/>
    <w:rsid w:val="00A420D4"/>
    <w:rsid w:val="00A6048C"/>
    <w:rsid w:val="00A818C9"/>
    <w:rsid w:val="00A855BE"/>
    <w:rsid w:val="00A95402"/>
    <w:rsid w:val="00AA455B"/>
    <w:rsid w:val="00AA7588"/>
    <w:rsid w:val="00AB1283"/>
    <w:rsid w:val="00AB6308"/>
    <w:rsid w:val="00AB691F"/>
    <w:rsid w:val="00AD7433"/>
    <w:rsid w:val="00AE477F"/>
    <w:rsid w:val="00B07727"/>
    <w:rsid w:val="00B2084F"/>
    <w:rsid w:val="00B43BCC"/>
    <w:rsid w:val="00B45841"/>
    <w:rsid w:val="00B56728"/>
    <w:rsid w:val="00B67551"/>
    <w:rsid w:val="00B80A6F"/>
    <w:rsid w:val="00B83C27"/>
    <w:rsid w:val="00B94F20"/>
    <w:rsid w:val="00BE6E8F"/>
    <w:rsid w:val="00BF7317"/>
    <w:rsid w:val="00C02DE3"/>
    <w:rsid w:val="00C1443C"/>
    <w:rsid w:val="00C16FD3"/>
    <w:rsid w:val="00C22ACA"/>
    <w:rsid w:val="00C33A0A"/>
    <w:rsid w:val="00C40150"/>
    <w:rsid w:val="00C43C36"/>
    <w:rsid w:val="00C7095D"/>
    <w:rsid w:val="00C809BC"/>
    <w:rsid w:val="00C86A38"/>
    <w:rsid w:val="00C9493F"/>
    <w:rsid w:val="00CA39A1"/>
    <w:rsid w:val="00CB2E0B"/>
    <w:rsid w:val="00CB7265"/>
    <w:rsid w:val="00CC6B40"/>
    <w:rsid w:val="00CE2187"/>
    <w:rsid w:val="00D06BC5"/>
    <w:rsid w:val="00D208E9"/>
    <w:rsid w:val="00D4799A"/>
    <w:rsid w:val="00D95257"/>
    <w:rsid w:val="00DD0E76"/>
    <w:rsid w:val="00DD499B"/>
    <w:rsid w:val="00DD596A"/>
    <w:rsid w:val="00E05319"/>
    <w:rsid w:val="00E13E85"/>
    <w:rsid w:val="00E21895"/>
    <w:rsid w:val="00E236B8"/>
    <w:rsid w:val="00E3198B"/>
    <w:rsid w:val="00E32027"/>
    <w:rsid w:val="00E332A8"/>
    <w:rsid w:val="00E45503"/>
    <w:rsid w:val="00E52742"/>
    <w:rsid w:val="00E61D13"/>
    <w:rsid w:val="00E67E4C"/>
    <w:rsid w:val="00E71AA9"/>
    <w:rsid w:val="00E7633F"/>
    <w:rsid w:val="00E80DFB"/>
    <w:rsid w:val="00E82DD7"/>
    <w:rsid w:val="00E90672"/>
    <w:rsid w:val="00E93BA5"/>
    <w:rsid w:val="00E9659E"/>
    <w:rsid w:val="00EA5B36"/>
    <w:rsid w:val="00ED1D1C"/>
    <w:rsid w:val="00EF3EDC"/>
    <w:rsid w:val="00F06171"/>
    <w:rsid w:val="00F233C0"/>
    <w:rsid w:val="00F32365"/>
    <w:rsid w:val="00F3255D"/>
    <w:rsid w:val="00F32D3C"/>
    <w:rsid w:val="00F62AD2"/>
    <w:rsid w:val="00F937DA"/>
    <w:rsid w:val="00FB21BD"/>
    <w:rsid w:val="00FB3D59"/>
    <w:rsid w:val="00FC2D3B"/>
    <w:rsid w:val="00FC4095"/>
    <w:rsid w:val="00FE616A"/>
    <w:rsid w:val="00FE6949"/>
    <w:rsid w:val="00FF3A17"/>
    <w:rsid w:val="00FF7B38"/>
    <w:rsid w:val="00FF7EA0"/>
    <w:rsid w:val="019913EA"/>
    <w:rsid w:val="03DA7157"/>
    <w:rsid w:val="05F17DE7"/>
    <w:rsid w:val="077E64DA"/>
    <w:rsid w:val="088616F6"/>
    <w:rsid w:val="09BA3374"/>
    <w:rsid w:val="0C6864D0"/>
    <w:rsid w:val="1BCB03A0"/>
    <w:rsid w:val="1E3A505A"/>
    <w:rsid w:val="211F2496"/>
    <w:rsid w:val="27FB4930"/>
    <w:rsid w:val="2DC4200B"/>
    <w:rsid w:val="2E4D1FC3"/>
    <w:rsid w:val="2E732C99"/>
    <w:rsid w:val="2EC20F69"/>
    <w:rsid w:val="3338416E"/>
    <w:rsid w:val="35433D14"/>
    <w:rsid w:val="388A5CF3"/>
    <w:rsid w:val="3E90274C"/>
    <w:rsid w:val="41B1107A"/>
    <w:rsid w:val="42194F3E"/>
    <w:rsid w:val="467E7A5B"/>
    <w:rsid w:val="488A4BF2"/>
    <w:rsid w:val="4B2A3AF6"/>
    <w:rsid w:val="4D424BF3"/>
    <w:rsid w:val="586066A9"/>
    <w:rsid w:val="5BCD1176"/>
    <w:rsid w:val="5CA44BE2"/>
    <w:rsid w:val="5FF1743C"/>
    <w:rsid w:val="6175034C"/>
    <w:rsid w:val="66B10E0D"/>
    <w:rsid w:val="67184C16"/>
    <w:rsid w:val="69CB6AD0"/>
    <w:rsid w:val="6A4D50CA"/>
    <w:rsid w:val="6FA4221E"/>
    <w:rsid w:val="70FE524B"/>
    <w:rsid w:val="71091324"/>
    <w:rsid w:val="711C7366"/>
    <w:rsid w:val="7DED5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3"/>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unhideWhenUsed/>
    <w:qFormat/>
    <w:uiPriority w:val="39"/>
  </w:style>
  <w:style w:type="paragraph" w:styleId="7">
    <w:name w:val="toc 2"/>
    <w:basedOn w:val="1"/>
    <w:next w:val="1"/>
    <w:semiHidden/>
    <w:unhideWhenUsed/>
    <w:qFormat/>
    <w:uiPriority w:val="39"/>
    <w:pPr>
      <w:ind w:left="420" w:leftChars="200"/>
    </w:p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正文文本 字符"/>
    <w:basedOn w:val="9"/>
    <w:link w:val="2"/>
    <w:qFormat/>
    <w:uiPriority w:val="1"/>
    <w:rPr>
      <w:rFonts w:ascii="Times New Roman" w:hAnsi="Times New Roman" w:eastAsia="Times New Roman" w:cs="Times New Roman"/>
      <w:kern w:val="0"/>
      <w:sz w:val="20"/>
      <w:szCs w:val="20"/>
      <w:lang w:eastAsia="en-US"/>
    </w:rPr>
  </w:style>
  <w:style w:type="character" w:customStyle="1" w:styleId="13">
    <w:name w:val="批注框文本 字符"/>
    <w:basedOn w:val="9"/>
    <w:link w:val="3"/>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unhideWhenUsed/>
    <w:qFormat/>
    <w:uiPriority w:val="99"/>
    <w:pPr>
      <w:ind w:firstLine="420" w:firstLineChars="200"/>
    </w:pPr>
  </w:style>
  <w:style w:type="character" w:customStyle="1" w:styleId="17">
    <w:name w:val="20"/>
    <w:basedOn w:val="9"/>
    <w:qFormat/>
    <w:uiPriority w:val="0"/>
    <w:rPr>
      <w:rFonts w:hint="default" w:ascii="Times New Roman" w:hAnsi="楷体_GB2312"/>
      <w:sz w:val="28"/>
      <w:szCs w:val="28"/>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1398</Words>
  <Characters>7971</Characters>
  <Lines>66</Lines>
  <Paragraphs>18</Paragraphs>
  <TotalTime>0</TotalTime>
  <ScaleCrop>false</ScaleCrop>
  <LinksUpToDate>false</LinksUpToDate>
  <CharactersWithSpaces>9351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dcterms:modified xsi:type="dcterms:W3CDTF">2024-02-07T08:43:59Z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