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AC9E28">
      <w:pPr>
        <w:ind w:firstLine="181" w:firstLineChars="50"/>
        <w:jc w:val="center"/>
        <w:rPr>
          <w:rFonts w:hint="eastAsia" w:ascii="宋体" w:hAnsi="宋体" w:eastAsia="宋体" w:cs="宋体"/>
          <w:b/>
          <w:bCs/>
          <w:kern w:val="2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kern w:val="2"/>
          <w:sz w:val="36"/>
          <w:szCs w:val="36"/>
        </w:rPr>
        <w:t>202</w:t>
      </w:r>
      <w:r>
        <w:rPr>
          <w:rFonts w:hint="eastAsia" w:ascii="宋体" w:hAnsi="宋体" w:eastAsia="宋体" w:cs="宋体"/>
          <w:b/>
          <w:bCs/>
          <w:kern w:val="2"/>
          <w:sz w:val="36"/>
          <w:szCs w:val="36"/>
          <w:lang w:val="en-US" w:eastAsia="zh-CN"/>
        </w:rPr>
        <w:t>5</w:t>
      </w:r>
      <w:r>
        <w:rPr>
          <w:rFonts w:hint="eastAsia" w:ascii="宋体" w:hAnsi="宋体" w:eastAsia="宋体" w:cs="宋体"/>
          <w:b/>
          <w:bCs/>
          <w:kern w:val="2"/>
          <w:sz w:val="36"/>
          <w:szCs w:val="36"/>
        </w:rPr>
        <w:t>年度林业生态补偿专项资金绩效自评表报告</w:t>
      </w:r>
    </w:p>
    <w:p w14:paraId="5CCA9991">
      <w:pPr>
        <w:ind w:firstLine="600" w:firstLineChars="20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为提高林业专项资金使用绩效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，漳平市林业局</w:t>
      </w:r>
      <w:r>
        <w:rPr>
          <w:rFonts w:hint="eastAsia" w:ascii="仿宋_GB2312" w:hAnsi="仿宋_GB2312" w:eastAsia="仿宋_GB2312" w:cs="仿宋_GB2312"/>
          <w:sz w:val="30"/>
          <w:szCs w:val="30"/>
        </w:rPr>
        <w:t>对202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0"/>
          <w:szCs w:val="30"/>
        </w:rPr>
        <w:t>年度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林业生态补偿</w:t>
      </w:r>
      <w:r>
        <w:rPr>
          <w:rFonts w:hint="eastAsia" w:ascii="仿宋_GB2312" w:hAnsi="仿宋_GB2312" w:eastAsia="仿宋_GB2312" w:cs="仿宋_GB2312"/>
          <w:sz w:val="30"/>
          <w:szCs w:val="30"/>
        </w:rPr>
        <w:t>专项开展绩效评价。</w:t>
      </w:r>
    </w:p>
    <w:p w14:paraId="6E6BF291">
      <w:pPr>
        <w:ind w:firstLine="64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一、</w:t>
      </w:r>
      <w:r>
        <w:rPr>
          <w:rFonts w:hint="eastAsia" w:ascii="仿宋_GB2312" w:hAnsi="仿宋_GB2312" w:eastAsia="仿宋_GB2312" w:cs="仿宋_GB2312"/>
          <w:sz w:val="30"/>
          <w:szCs w:val="30"/>
        </w:rPr>
        <w:t>项目基本情况</w:t>
      </w:r>
    </w:p>
    <w:p w14:paraId="33487C29">
      <w:pPr>
        <w:widowControl/>
        <w:spacing w:line="600" w:lineRule="atLeast"/>
        <w:ind w:firstLine="600" w:firstLineChars="200"/>
        <w:jc w:val="left"/>
        <w:rPr>
          <w:rFonts w:ascii="微软雅黑" w:hAnsi="微软雅黑" w:eastAsia="微软雅黑" w:cs="宋体"/>
          <w:color w:val="000000"/>
          <w:kern w:val="0"/>
          <w:sz w:val="24"/>
          <w:szCs w:val="24"/>
        </w:rPr>
      </w:pPr>
      <w:r>
        <w:rPr>
          <w:rFonts w:hint="eastAsia" w:ascii="MS Mincho" w:hAnsi="MS Mincho" w:eastAsia="MS Mincho" w:cs="MS Mincho"/>
          <w:color w:val="000000"/>
          <w:kern w:val="0"/>
          <w:sz w:val="30"/>
          <w:szCs w:val="30"/>
        </w:rPr>
        <w:t> 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(一)</w:t>
      </w:r>
      <w:r>
        <w:rPr>
          <w:rFonts w:hint="eastAsia" w:ascii="仿宋_GB2312" w:hAnsi="仿宋_GB2312" w:eastAsia="仿宋_GB2312" w:cs="仿宋_GB2312"/>
          <w:sz w:val="30"/>
          <w:szCs w:val="30"/>
        </w:rPr>
        <w:t>基本情况</w:t>
      </w:r>
    </w:p>
    <w:p w14:paraId="58DF9C1B">
      <w:pPr>
        <w:ind w:firstLine="600" w:firstLineChars="200"/>
        <w:jc w:val="left"/>
        <w:rPr>
          <w:rFonts w:hint="default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共下达林业生态补偿资金2209.22万元。其中森林生态效益补偿2190.8万元，省级以上自然保护区林权所有者补偿18.42万元，已全部到位。截至2025年12月31日，已支付森林生态效益补偿2179.97万元。</w:t>
      </w:r>
    </w:p>
    <w:p w14:paraId="4736FA3D">
      <w:pPr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(二)项目绩效目标。包括总体目标和阶段性目标。</w:t>
      </w:r>
    </w:p>
    <w:p w14:paraId="18D5F41C">
      <w:pPr>
        <w:ind w:firstLine="640" w:firstLineChars="200"/>
        <w:jc w:val="left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总体目标：完成实施省级以上公益林补助面积（不含武夷山国家公园、厦门市）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96.41万亩，省级以上自然保护地林权所有者补助面积6.37万亩。</w:t>
      </w:r>
    </w:p>
    <w:p w14:paraId="2474F9C5">
      <w:pPr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二、绩效评价工作开展情况</w:t>
      </w:r>
    </w:p>
    <w:p w14:paraId="488E3D98">
      <w:pPr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</w:rPr>
        <w:t>绩效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评价</w:t>
      </w:r>
      <w:r>
        <w:rPr>
          <w:rFonts w:hint="eastAsia" w:ascii="仿宋_GB2312" w:hAnsi="仿宋_GB2312" w:eastAsia="仿宋_GB2312" w:cs="仿宋_GB2312"/>
          <w:sz w:val="32"/>
          <w:szCs w:val="32"/>
        </w:rPr>
        <w:t>目的、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对象</w:t>
      </w:r>
      <w:r>
        <w:rPr>
          <w:rFonts w:hint="eastAsia" w:ascii="仿宋_GB2312" w:hAnsi="仿宋_GB2312" w:eastAsia="仿宋_GB2312" w:cs="仿宋_GB2312"/>
          <w:sz w:val="32"/>
          <w:szCs w:val="32"/>
        </w:rPr>
        <w:t>和范围。</w:t>
      </w:r>
    </w:p>
    <w:p w14:paraId="41897A83"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通过对202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/>
          <w:sz w:val="32"/>
          <w:szCs w:val="32"/>
        </w:rPr>
        <w:t>年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林业生态补偿</w:t>
      </w:r>
      <w:r>
        <w:rPr>
          <w:rFonts w:hint="eastAsia" w:ascii="仿宋_GB2312" w:hAnsi="宋体" w:eastAsia="仿宋_GB2312"/>
          <w:sz w:val="32"/>
          <w:szCs w:val="32"/>
        </w:rPr>
        <w:t>项目资金进行绩效评价，核实每个项目实施进展、资金使用、制度建设及执行情况取得的成效，同时对每个项目实施情况进行总结，保证了项目资金使用管理的规范性、安全性和有效性，为指导一下步预算编制，申报绩效目标，优化财政支出结构，提高公共服务水平提供决策依据。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 xml:space="preserve">             </w:t>
      </w:r>
    </w:p>
    <w:p w14:paraId="1F0B933A">
      <w:pPr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>绩效评价原则、评价指标体系、评价方法、评价标准等。</w:t>
      </w:r>
    </w:p>
    <w:p w14:paraId="10AB7271">
      <w:pPr>
        <w:numPr>
          <w:ilvl w:val="0"/>
          <w:numId w:val="0"/>
        </w:numPr>
        <w:ind w:leftChars="0" w:firstLine="640" w:firstLineChars="200"/>
        <w:jc w:val="left"/>
        <w:rPr>
          <w:rFonts w:hint="eastAsia" w:ascii="仿宋" w:hAnsi="仿宋" w:eastAsia="仿宋" w:cs="宋体"/>
          <w:color w:val="000000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严格执行绩效评价报告的编报要求，相关业务股室对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  <w:lang w:eastAsia="zh-CN"/>
        </w:rPr>
        <w:t>林业生态补偿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项目资金绩效目标完成情况进行自评并提出绩效报告，再对项目绩效目标完成情况进行初核，按照有关规定组织绩效评价，编写项目绩效评价报告。</w:t>
      </w:r>
      <w:r>
        <w:rPr>
          <w:rFonts w:hint="eastAsia" w:ascii="MS Gothic" w:hAnsi="MS Gothic" w:eastAsia="MS Gothic" w:cs="MS Gothic"/>
          <w:color w:val="000000"/>
          <w:kern w:val="0"/>
          <w:sz w:val="24"/>
          <w:szCs w:val="24"/>
        </w:rPr>
        <w:t> 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绩效评价等级一般划分为四档：90分（含）—100分为优，80分（含）—90分为良，60分（含）—80分为中，60分以下为差。自我评价为90-100分之间。</w:t>
      </w:r>
    </w:p>
    <w:p w14:paraId="176142F7">
      <w:pPr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</w:rPr>
        <w:t>绩效评价工作过程。</w:t>
      </w:r>
    </w:p>
    <w:p w14:paraId="794CA8AA">
      <w:pPr>
        <w:widowControl/>
        <w:spacing w:line="600" w:lineRule="atLeast"/>
        <w:ind w:firstLine="600"/>
        <w:jc w:val="left"/>
        <w:rPr>
          <w:rFonts w:hint="eastAsia" w:ascii="仿宋" w:hAnsi="仿宋" w:eastAsia="仿宋" w:cs="宋体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本单位成立了相应的工作组认真开展各项工作，不定期召开办公会和专项工作会议，研究分析编制项目的有关推进及绩效评价工作。逐项开展核实项目管理、资金使用、资金监管情况，对各项目实施结果进行评价分析，以产出指标、效益指标、满意度指标相结合的评价方法完成指标打分，形成自评结论。</w:t>
      </w:r>
    </w:p>
    <w:p w14:paraId="6F17F20F">
      <w:pPr>
        <w:widowControl/>
        <w:spacing w:line="600" w:lineRule="atLeast"/>
        <w:jc w:val="left"/>
        <w:rPr>
          <w:rFonts w:hint="eastAsia" w:ascii="仿宋" w:hAnsi="仿宋" w:eastAsia="仿宋" w:cs="宋体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森林生态效益补偿项目自评总体评分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  <w:lang w:val="en-US" w:eastAsia="zh-CN"/>
        </w:rPr>
        <w:t>99.87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分，绩效等级为优，达成年度绩效评价等级指标。</w:t>
      </w:r>
    </w:p>
    <w:p w14:paraId="7DC240C9">
      <w:pPr>
        <w:widowControl/>
        <w:spacing w:line="600" w:lineRule="atLeast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kern w:val="0"/>
          <w:sz w:val="30"/>
          <w:szCs w:val="30"/>
          <w:lang w:eastAsia="zh-CN"/>
        </w:rPr>
        <w:t>（三）</w:t>
      </w:r>
      <w:r>
        <w:rPr>
          <w:rFonts w:hint="eastAsia" w:ascii="仿宋_GB2312" w:hAnsi="仿宋_GB2312" w:eastAsia="仿宋_GB2312" w:cs="仿宋_GB2312"/>
          <w:sz w:val="32"/>
          <w:szCs w:val="32"/>
        </w:rPr>
        <w:t>综合评价情况及评价结论(附相关评分表)</w:t>
      </w:r>
    </w:p>
    <w:p w14:paraId="5536551F">
      <w:pPr>
        <w:numPr>
          <w:ilvl w:val="0"/>
          <w:numId w:val="0"/>
        </w:numPr>
        <w:jc w:val="lef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见附件。</w:t>
      </w:r>
    </w:p>
    <w:p w14:paraId="72A1A7A6">
      <w:pPr>
        <w:widowControl/>
        <w:spacing w:line="600" w:lineRule="atLeast"/>
        <w:jc w:val="left"/>
        <w:rPr>
          <w:rFonts w:hint="eastAsia" w:ascii="仿宋" w:hAnsi="仿宋" w:eastAsia="仿宋" w:cs="宋体"/>
          <w:color w:val="000000"/>
          <w:kern w:val="0"/>
          <w:sz w:val="30"/>
          <w:szCs w:val="30"/>
          <w:lang w:eastAsia="zh-CN"/>
        </w:rPr>
      </w:pPr>
    </w:p>
    <w:p w14:paraId="150E031A">
      <w:pPr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四、绩效评价指标分析</w:t>
      </w:r>
    </w:p>
    <w:p w14:paraId="7DD56679">
      <w:pPr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(一)项目决策情况。</w:t>
      </w:r>
    </w:p>
    <w:p w14:paraId="1A225BC9"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" w:hAnsi="仿宋" w:eastAsia="仿宋" w:cs="宋体"/>
          <w:color w:val="333333"/>
          <w:sz w:val="32"/>
          <w:szCs w:val="32"/>
        </w:rPr>
        <w:t>通过创新生态公益林管护机制、签订目标责任状、建立护林员考核制度等一系列举措，建立健全了“生态公益林管护主体落实，补偿资金到位，管护责任区范围明确，责权利相统一”的长效管护工作机制，切实体现了责、权、利的统一，生态公益林的三大效益得到有效提高，有力保障生态安全，实现了经济、社会、生态效益和可持续发展。</w:t>
      </w:r>
    </w:p>
    <w:p w14:paraId="73516C0B">
      <w:pPr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(二)项目过程情况。</w:t>
      </w:r>
    </w:p>
    <w:p w14:paraId="517B55FE"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" w:hAnsi="仿宋" w:eastAsia="仿宋" w:cs="宋体"/>
          <w:color w:val="333333"/>
          <w:sz w:val="32"/>
          <w:szCs w:val="32"/>
        </w:rPr>
        <w:t>该项目于202</w:t>
      </w:r>
      <w:r>
        <w:rPr>
          <w:rFonts w:hint="eastAsia" w:ascii="仿宋" w:hAnsi="仿宋" w:eastAsia="仿宋" w:cs="宋体"/>
          <w:color w:val="333333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宋体"/>
          <w:color w:val="333333"/>
          <w:sz w:val="32"/>
          <w:szCs w:val="32"/>
        </w:rPr>
        <w:t>年1月开始，12月底前完成96.4</w:t>
      </w:r>
      <w:r>
        <w:rPr>
          <w:rFonts w:hint="eastAsia" w:ascii="仿宋" w:hAnsi="仿宋" w:eastAsia="仿宋" w:cs="宋体"/>
          <w:color w:val="333333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宋体"/>
          <w:color w:val="333333"/>
          <w:sz w:val="32"/>
          <w:szCs w:val="32"/>
        </w:rPr>
        <w:t>万亩生态公益林资金发放，由于部分乡镇护林员管护责任履职不到位，部分管护费尚未发放完全，公共管护费部分根据《漳平市森林生态效益补偿资金和天然林保护工程补助经费管理办法》由市级统筹。</w:t>
      </w:r>
    </w:p>
    <w:p w14:paraId="0B5EE95B">
      <w:pPr>
        <w:numPr>
          <w:ilvl w:val="0"/>
          <w:numId w:val="1"/>
        </w:numPr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项目产出情况。</w:t>
      </w:r>
    </w:p>
    <w:p w14:paraId="7D0814A3">
      <w:pPr>
        <w:numPr>
          <w:ilvl w:val="0"/>
          <w:numId w:val="0"/>
        </w:numPr>
        <w:ind w:firstLine="64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成本指标3个，均完成年度目标值。省级以上公益林（经济林和竹林）补助（元/亩）22元/亩，；省级以上公益林（乔木林和其他林）补助（元/亩）23元/亩；省级以上自然保护地林权所有者补偿标准（元/亩）3元/亩。</w:t>
      </w:r>
    </w:p>
    <w:p w14:paraId="737E47AC">
      <w:pPr>
        <w:ind w:firstLine="640" w:firstLineChars="200"/>
        <w:jc w:val="left"/>
        <w:rPr>
          <w:rFonts w:hint="eastAsia" w:ascii="仿宋" w:hAnsi="仿宋" w:eastAsia="仿宋" w:cs="宋体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color w:val="auto"/>
          <w:sz w:val="32"/>
          <w:szCs w:val="32"/>
          <w:lang w:eastAsia="zh-CN"/>
        </w:rPr>
        <w:t>数量指标</w:t>
      </w:r>
      <w:r>
        <w:rPr>
          <w:rFonts w:hint="eastAsia" w:ascii="仿宋" w:hAnsi="仿宋" w:eastAsia="仿宋" w:cs="宋体"/>
          <w:color w:val="auto"/>
          <w:sz w:val="32"/>
          <w:szCs w:val="32"/>
          <w:lang w:val="en-US" w:eastAsia="zh-CN"/>
        </w:rPr>
        <w:t>2个，均完成年度目标值。</w:t>
      </w:r>
      <w:r>
        <w:rPr>
          <w:rFonts w:hint="eastAsia" w:ascii="仿宋" w:hAnsi="仿宋" w:eastAsia="仿宋" w:cs="宋体"/>
          <w:color w:val="auto"/>
          <w:sz w:val="32"/>
          <w:szCs w:val="32"/>
          <w:lang w:eastAsia="zh-CN"/>
        </w:rPr>
        <w:t>实施省级以上公益林补助面积（不含武夷山国家公园、厦门市）（万亩）</w:t>
      </w:r>
      <w:r>
        <w:rPr>
          <w:rFonts w:hint="eastAsia" w:ascii="仿宋" w:hAnsi="仿宋" w:eastAsia="仿宋" w:cs="宋体"/>
          <w:color w:val="auto"/>
          <w:sz w:val="32"/>
          <w:szCs w:val="32"/>
          <w:lang w:val="en-US" w:eastAsia="zh-CN"/>
        </w:rPr>
        <w:t>96.41万亩；省级以上自然保护地林权所有者补助面积（万亩）6.37万亩。</w:t>
      </w:r>
    </w:p>
    <w:p w14:paraId="05CB966D">
      <w:pPr>
        <w:ind w:firstLine="640" w:firstLineChars="200"/>
        <w:jc w:val="left"/>
        <w:rPr>
          <w:rFonts w:hint="eastAsia" w:ascii="仿宋" w:hAnsi="仿宋" w:eastAsia="仿宋" w:cs="宋体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color w:val="auto"/>
          <w:sz w:val="32"/>
          <w:szCs w:val="32"/>
          <w:lang w:val="en-US" w:eastAsia="zh-CN"/>
        </w:rPr>
        <w:t>质量指标1个，完成年度目标值。全省生态公益林保有量（万亩）96.41万亩</w:t>
      </w:r>
    </w:p>
    <w:p w14:paraId="1F6A5E4D">
      <w:pPr>
        <w:ind w:firstLine="640" w:firstLineChars="200"/>
        <w:jc w:val="left"/>
        <w:rPr>
          <w:rFonts w:hint="eastAsia" w:ascii="仿宋" w:hAnsi="仿宋" w:eastAsia="仿宋" w:cs="宋体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color w:val="auto"/>
          <w:sz w:val="32"/>
          <w:szCs w:val="32"/>
          <w:lang w:val="en-US" w:eastAsia="zh-CN"/>
        </w:rPr>
        <w:t>时效指标1个，完成年度目标值。项目任务完成率100%。</w:t>
      </w:r>
    </w:p>
    <w:p w14:paraId="6E69132E">
      <w:pPr>
        <w:ind w:firstLine="600" w:firstLineChars="200"/>
        <w:jc w:val="left"/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效益指标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1个，完成年度目标值。公益林平均亩蓄积量变化100%。</w:t>
      </w:r>
    </w:p>
    <w:p w14:paraId="621B440F">
      <w:pPr>
        <w:ind w:firstLine="600" w:firstLineChars="200"/>
        <w:jc w:val="left"/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满意度指标2个，均完成年度目标值。公益林林权所有者满意度90%，省级以上自然保护地林权所有者满意度90%。</w:t>
      </w:r>
    </w:p>
    <w:p w14:paraId="1ADA9CDC">
      <w:pPr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、主要经验及做法、存在的问题及原因分析</w:t>
      </w:r>
    </w:p>
    <w:p w14:paraId="62415945">
      <w:pPr>
        <w:spacing w:line="600" w:lineRule="exact"/>
        <w:ind w:firstLine="640" w:firstLineChars="20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1、项目存在问题</w:t>
      </w:r>
    </w:p>
    <w:p w14:paraId="73DEAE1B"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一是补偿金低。生态公益林因其远低于商品林地收益</w:t>
      </w:r>
      <w:r>
        <w:rPr>
          <w:rFonts w:hint="eastAsia" w:ascii="仿宋" w:hAnsi="仿宋" w:eastAsia="仿宋"/>
          <w:sz w:val="32"/>
          <w:szCs w:val="32"/>
        </w:rPr>
        <w:t>，不利于发挥群众保护积极性和提高林农收益。生态公益效益评价指标操作性需要进一步完善使操作性更强。</w:t>
      </w:r>
    </w:p>
    <w:p w14:paraId="0DB3DE0F"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二是保护与发展矛盾突出。部分经济林、竹林划入生态林，与群众生产经营矛盾。经过多年保护，国家级生态公益林郁闭度大，在其林下发展林下经济难度大，例如：涉及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疏伐的无法审批。</w:t>
      </w:r>
    </w:p>
    <w:p w14:paraId="2DE28414">
      <w:pPr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三是零星分布公益林生态效益不佳。重点生态区位与现有生态公益林分布不一致，有些零星分布的公益林不在重点区域内，管理难度大，且生态效益不佳。</w:t>
      </w:r>
    </w:p>
    <w:p w14:paraId="3CA0C3F9"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四是部分生态公益林林权所有者不愿签订界定书。部分山林无法界定，致使公益林补偿资金无法兑付。</w:t>
      </w:r>
    </w:p>
    <w:p w14:paraId="75290322">
      <w:pPr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六是获得补助公益林面积误差。我县根据前一年度建档数据提取生态公益林面积，并按照实有的公益林进行补助、管护。</w:t>
      </w:r>
    </w:p>
    <w:p w14:paraId="5A5C7716">
      <w:pPr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2、项目改进措施</w:t>
      </w:r>
    </w:p>
    <w:p w14:paraId="1AB5A9E6"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一是增加生态公益林投入，推动生态公益林改革，提高生态公益林补偿，保障林农利益。</w:t>
      </w:r>
    </w:p>
    <w:p w14:paraId="30DB9B67"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二是应在公益林管理方面，针对林下种植等生态公益林林下经济项目，需要上级适当放宽疏伐生态公益林。</w:t>
      </w:r>
    </w:p>
    <w:p w14:paraId="73182268"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三是要根据区位调整优化布局，根据重点区位调出零星生态公益林，以及将无法界定的公益林调出。</w:t>
      </w:r>
    </w:p>
    <w:p w14:paraId="1CB68EB9">
      <w:pPr>
        <w:spacing w:line="600" w:lineRule="exact"/>
        <w:rPr>
          <w:rFonts w:hint="eastAsia" w:ascii="仿宋" w:hAnsi="仿宋" w:eastAsia="仿宋"/>
          <w:sz w:val="32"/>
          <w:szCs w:val="32"/>
        </w:rPr>
      </w:pPr>
    </w:p>
    <w:p w14:paraId="10819ED1">
      <w:pPr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 w14:paraId="276FCAEE">
      <w:pPr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 w14:paraId="5216E283">
      <w:pPr>
        <w:ind w:left="2250" w:hanging="2400" w:hangingChars="75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  </w:t>
      </w:r>
      <w:r>
        <w:rPr>
          <w:rFonts w:hint="eastAsia" w:ascii="仿宋_GB2312" w:eastAsia="仿宋_GB2312"/>
          <w:sz w:val="30"/>
          <w:szCs w:val="30"/>
        </w:rPr>
        <w:t>漳平市林业局</w:t>
      </w:r>
    </w:p>
    <w:p w14:paraId="56488646">
      <w:pPr>
        <w:ind w:left="2386" w:leftChars="1136" w:firstLine="2550" w:firstLineChars="85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202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6</w:t>
      </w:r>
      <w:r>
        <w:rPr>
          <w:rFonts w:hint="eastAsia" w:ascii="仿宋_GB2312" w:eastAsia="仿宋_GB2312"/>
          <w:sz w:val="30"/>
          <w:szCs w:val="30"/>
        </w:rPr>
        <w:t>年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3</w:t>
      </w:r>
      <w:r>
        <w:rPr>
          <w:rFonts w:hint="eastAsia" w:ascii="仿宋_GB2312" w:eastAsia="仿宋_GB2312"/>
          <w:sz w:val="30"/>
          <w:szCs w:val="30"/>
        </w:rPr>
        <w:t>月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20</w:t>
      </w:r>
      <w:r>
        <w:rPr>
          <w:rFonts w:hint="eastAsia" w:ascii="仿宋_GB2312" w:eastAsia="仿宋_GB2312"/>
          <w:sz w:val="30"/>
          <w:szCs w:val="30"/>
        </w:rPr>
        <w:t>日</w:t>
      </w:r>
    </w:p>
    <w:p w14:paraId="20548AC6">
      <w:pPr>
        <w:ind w:firstLine="640" w:firstLineChars="200"/>
        <w:jc w:val="lef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720" w:footer="72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74F6B34"/>
    <w:multiLevelType w:val="singleLevel"/>
    <w:tmpl w:val="474F6B34"/>
    <w:lvl w:ilvl="0" w:tentative="0">
      <w:start w:val="3"/>
      <w:numFmt w:val="chineseCounting"/>
      <w:lvlText w:val="(%1)"/>
      <w:lvlJc w:val="left"/>
      <w:pPr>
        <w:tabs>
          <w:tab w:val="left" w:pos="312"/>
        </w:tabs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characterSpacingControl w:val="doNotCompress"/>
  <w:compat>
    <w:useFELayout/>
    <w:splitPgBreakAndParaMark/>
    <w:compatSetting w:name="compatibilityMode" w:uri="http://schemas.microsoft.com/office/word" w:val="12"/>
  </w:compat>
  <w:docVars>
    <w:docVar w:name="commondata" w:val="eyJoZGlkIjoiMGMzOTgxZGY2MTkwYzFiYjI3NDQ5NTJlYTE2NjU3ZDkifQ=="/>
  </w:docVars>
  <w:rsids>
    <w:rsidRoot w:val="00FC7795"/>
    <w:rsid w:val="000058E2"/>
    <w:rsid w:val="000F7BB6"/>
    <w:rsid w:val="0031344F"/>
    <w:rsid w:val="003335A9"/>
    <w:rsid w:val="00406AA8"/>
    <w:rsid w:val="006540B1"/>
    <w:rsid w:val="007D74BC"/>
    <w:rsid w:val="007E1C92"/>
    <w:rsid w:val="008301AE"/>
    <w:rsid w:val="008E072B"/>
    <w:rsid w:val="00961684"/>
    <w:rsid w:val="0098246A"/>
    <w:rsid w:val="00D35E41"/>
    <w:rsid w:val="00FC7795"/>
    <w:rsid w:val="081445A4"/>
    <w:rsid w:val="09654B91"/>
    <w:rsid w:val="0AA93811"/>
    <w:rsid w:val="0D687620"/>
    <w:rsid w:val="0EB4456E"/>
    <w:rsid w:val="106B45D8"/>
    <w:rsid w:val="1352573F"/>
    <w:rsid w:val="145A7B31"/>
    <w:rsid w:val="166374B9"/>
    <w:rsid w:val="1ACD249F"/>
    <w:rsid w:val="1D842C96"/>
    <w:rsid w:val="1E7C04CA"/>
    <w:rsid w:val="1FBE99DD"/>
    <w:rsid w:val="23A73351"/>
    <w:rsid w:val="27D11497"/>
    <w:rsid w:val="2D7971B0"/>
    <w:rsid w:val="30986E0D"/>
    <w:rsid w:val="30EC5EE8"/>
    <w:rsid w:val="3E606F0D"/>
    <w:rsid w:val="3EF80539"/>
    <w:rsid w:val="3F2F49B4"/>
    <w:rsid w:val="40C04960"/>
    <w:rsid w:val="4A765644"/>
    <w:rsid w:val="4ABC3110"/>
    <w:rsid w:val="4C794B15"/>
    <w:rsid w:val="52BA2D4E"/>
    <w:rsid w:val="53BD416B"/>
    <w:rsid w:val="57B5690B"/>
    <w:rsid w:val="58BD266F"/>
    <w:rsid w:val="5DDD4D56"/>
    <w:rsid w:val="62834B5D"/>
    <w:rsid w:val="643F5539"/>
    <w:rsid w:val="66AD5521"/>
    <w:rsid w:val="68393307"/>
    <w:rsid w:val="69E83787"/>
    <w:rsid w:val="743D707D"/>
    <w:rsid w:val="77CD1BCB"/>
    <w:rsid w:val="7C0F7A91"/>
    <w:rsid w:val="7F7C241B"/>
    <w:rsid w:val="7FE597FD"/>
    <w:rsid w:val="E7DDBE4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autoRedefine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sz w:val="24"/>
      <w:szCs w:val="24"/>
    </w:rPr>
  </w:style>
  <w:style w:type="character" w:customStyle="1" w:styleId="7">
    <w:name w:val="页眉 Char"/>
    <w:basedOn w:val="6"/>
    <w:link w:val="3"/>
    <w:autoRedefine/>
    <w:qFormat/>
    <w:uiPriority w:val="0"/>
    <w:rPr>
      <w:sz w:val="18"/>
      <w:szCs w:val="18"/>
    </w:rPr>
  </w:style>
  <w:style w:type="character" w:customStyle="1" w:styleId="8">
    <w:name w:val="页脚 Char"/>
    <w:basedOn w:val="6"/>
    <w:link w:val="2"/>
    <w:autoRedefine/>
    <w:qFormat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5</Pages>
  <Words>1897</Words>
  <Characters>1994</Characters>
  <Lines>25</Lines>
  <Paragraphs>7</Paragraphs>
  <TotalTime>6</TotalTime>
  <ScaleCrop>false</ScaleCrop>
  <LinksUpToDate>false</LinksUpToDate>
  <CharactersWithSpaces>2045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2024-01-12T03:22:00Z</dcterms:created>
  <dc:creator>Apache POI</dc:creator>
  <cp:lastModifiedBy>摆渡人</cp:lastModifiedBy>
  <dcterms:modified xsi:type="dcterms:W3CDTF">2026-07-23T09:34:21Z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84929096AF7B49F8A8922754CA067A84_12</vt:lpwstr>
  </property>
  <property fmtid="{D5CDD505-2E9C-101B-9397-08002B2CF9AE}" pid="4" name="KSOTemplateDocerSaveRecord">
    <vt:lpwstr>eyJoZGlkIjoiMDVkZWQ2MzI1MDRiNTc3ZDVmZDJmMDczMTFjZDI2ZDIiLCJ1c2VySWQiOiI2MDQ0MzMzNzMifQ==</vt:lpwstr>
  </property>
</Properties>
</file>