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9C4DE">
      <w:pPr>
        <w:ind w:firstLine="181" w:firstLineChars="50"/>
        <w:jc w:val="center"/>
        <w:rPr>
          <w:rFonts w:hint="eastAsia" w:ascii="仿宋_GB2312" w:hAnsi="仿宋_GB2312" w:eastAsia="仿宋_GB2312" w:cs="仿宋_GB2312"/>
          <w:sz w:val="32"/>
          <w:szCs w:val="32"/>
        </w:rPr>
      </w:pPr>
      <w:r>
        <w:rPr>
          <w:rFonts w:hint="eastAsia" w:ascii="宋体" w:hAnsi="宋体" w:eastAsia="宋体" w:cs="宋体"/>
          <w:b/>
          <w:bCs/>
          <w:kern w:val="2"/>
          <w:sz w:val="36"/>
          <w:szCs w:val="36"/>
          <w:lang w:val="en-US" w:eastAsia="zh-CN" w:bidi="ar-SA"/>
        </w:rPr>
        <w:t>2025年度林业生态保护专项资金绩效自评表报告</w:t>
      </w:r>
    </w:p>
    <w:p w14:paraId="14A9E928">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为提高林业专项资金使用绩效，漳平市林业局对2025年度林业生态保护专项资金开展绩效评价。</w:t>
      </w:r>
    </w:p>
    <w:p w14:paraId="6E6BF291">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一、项目基本情况</w:t>
      </w:r>
    </w:p>
    <w:p w14:paraId="7FD70BF8">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（一）基本情况。</w:t>
      </w:r>
    </w:p>
    <w:p w14:paraId="4D5C3EB6">
      <w:pPr>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eastAsia="zh-CN"/>
        </w:rPr>
        <w:t>共下达林业生态保护资金</w:t>
      </w:r>
      <w:r>
        <w:rPr>
          <w:rFonts w:hint="eastAsia" w:ascii="仿宋_GB2312" w:hAnsi="仿宋_GB2312" w:eastAsia="仿宋_GB2312" w:cs="仿宋_GB2312"/>
          <w:sz w:val="30"/>
          <w:szCs w:val="30"/>
          <w:lang w:val="en-US" w:eastAsia="zh-CN"/>
        </w:rPr>
        <w:t>125.65万元。其中古树名木保护24.9万元，林业有害生物防治48万元，林业执法改革试点补助52.75万元，已全部到位。截至2025年12月已支付林业执法改革试点补助33.29万元。</w:t>
      </w:r>
    </w:p>
    <w:p w14:paraId="4C4D1266">
      <w:pPr>
        <w:numPr>
          <w:ilvl w:val="0"/>
          <w:numId w:val="1"/>
        </w:numPr>
        <w:ind w:firstLine="645"/>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sz w:val="30"/>
          <w:szCs w:val="30"/>
          <w:lang w:val="en-US" w:eastAsia="zh-CN"/>
        </w:rPr>
        <w:t>项目绩效目标。</w:t>
      </w:r>
    </w:p>
    <w:p w14:paraId="60B1A41C">
      <w:pPr>
        <w:ind w:firstLine="600" w:firstLineChars="200"/>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总体目标：松材线虫病疫情监测普查97万亩，松林除治性采伐0.5万亩，古树名木保护株数1株，古树名木保护片数1片。</w:t>
      </w:r>
    </w:p>
    <w:p w14:paraId="4CEF5FCF">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二、绩效评价工作开展情况</w:t>
      </w:r>
    </w:p>
    <w:p w14:paraId="2C38FD96">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1.绩效评价目的、对象和范围。</w:t>
      </w:r>
    </w:p>
    <w:p w14:paraId="5962732A">
      <w:pPr>
        <w:ind w:firstLine="640" w:firstLineChars="200"/>
        <w:rPr>
          <w:rFonts w:hint="eastAsia" w:ascii="仿宋_GB2312" w:hAnsi="宋体" w:eastAsia="仿宋_GB2312"/>
          <w:sz w:val="32"/>
          <w:szCs w:val="32"/>
        </w:rPr>
      </w:pPr>
      <w:r>
        <w:rPr>
          <w:rFonts w:hint="eastAsia" w:ascii="仿宋_GB2312" w:hAnsi="宋体" w:eastAsia="仿宋_GB2312"/>
          <w:sz w:val="32"/>
          <w:szCs w:val="32"/>
        </w:rPr>
        <w:t>通过对202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w:t>
      </w:r>
      <w:r>
        <w:rPr>
          <w:rFonts w:hint="eastAsia" w:ascii="仿宋_GB2312" w:hAnsi="宋体" w:eastAsia="仿宋_GB2312"/>
          <w:sz w:val="32"/>
          <w:szCs w:val="32"/>
          <w:lang w:eastAsia="zh-CN"/>
        </w:rPr>
        <w:t>林业生态保护</w:t>
      </w:r>
      <w:r>
        <w:rPr>
          <w:rFonts w:hint="eastAsia" w:ascii="仿宋_GB2312" w:hAnsi="宋体" w:eastAsia="仿宋_GB2312"/>
          <w:sz w:val="32"/>
          <w:szCs w:val="32"/>
        </w:rPr>
        <w:t>项目资金进行绩效评价，核实每个项目实施进展、资金使用、制度建设及执行情况取得的成效，同时对每个项目实施情况进行总结，保证了项目资金使用管理的规范性、安全性和有效性，为指导一下步预算编制，申报绩效目标，优化财政支出结构，提高公共服务水平提供决策依据。</w:t>
      </w:r>
    </w:p>
    <w:p w14:paraId="252AF646">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2.绩效评价原则、评价指标体系、评价方法、评价标准等。</w:t>
      </w:r>
    </w:p>
    <w:p w14:paraId="529056DF">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 xml:space="preserve"> 严格执行绩效评价报告的编报要求，相关业务股室对林业生态保护项目资金绩效目标完成情况进行自评并提出绩效报告，再对项目绩效目标完成情况进行初核，按照有关规定组织绩效评价，编写项目绩效评价报告。 绩效评价等级一般划分为四档：90分（含）—100分为优，80分（含）—90分为良，60分（含）—80分为中，60分以下为差。自我评价为90-100分之间。</w:t>
      </w:r>
    </w:p>
    <w:p w14:paraId="00AA708B">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3.绩效评价工作过程。</w:t>
      </w:r>
    </w:p>
    <w:p w14:paraId="3B799862">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本单位成立了相应的工作组认真开展各项工作，不定期召开办公会和专项工作会议，研究分析编制项目的有关推进及绩效评价工作。逐项开展核实项目管理、资金使用、资金监管情况，对各项目实施结果进行评价分析，以产出指标、效益指标、满意度指标相结合的评价方法完成指标打分，形成自评结论。林业生态保护项目自评总体评分92.65分，绩效等级为优，达成年度绩效评价等级指标。</w:t>
      </w:r>
    </w:p>
    <w:p w14:paraId="73B01A05">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三、综合评价情况及评价结论(附相关评分表)</w:t>
      </w:r>
    </w:p>
    <w:p w14:paraId="617E6D4C">
      <w:pPr>
        <w:ind w:firstLine="600" w:firstLineChars="2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 xml:space="preserve">    见附件。</w:t>
      </w:r>
    </w:p>
    <w:p w14:paraId="68C97D2D">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四、绩效评价指标分析</w:t>
      </w:r>
    </w:p>
    <w:p w14:paraId="0C2B5A43">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(一)项目决策情况。</w:t>
      </w:r>
    </w:p>
    <w:p w14:paraId="4C2ED2EC">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根据上级文件要求完成各项工程建设。</w:t>
      </w:r>
    </w:p>
    <w:p w14:paraId="5C17F521">
      <w:pPr>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（二）项目过程情况。</w:t>
      </w:r>
    </w:p>
    <w:p w14:paraId="2C444486">
      <w:pPr>
        <w:ind w:firstLine="640" w:firstLineChars="200"/>
        <w:rPr>
          <w:rFonts w:hint="default"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sz w:val="32"/>
          <w:szCs w:val="32"/>
          <w:lang w:val="en-US" w:eastAsia="zh-CN"/>
        </w:rPr>
        <w:t>所有项目于2025年1月开始，至年底完成</w:t>
      </w:r>
      <w:r>
        <w:rPr>
          <w:rFonts w:hint="eastAsia" w:ascii="仿宋_GB2312" w:hAnsi="仿宋_GB2312" w:eastAsia="仿宋_GB2312" w:cs="仿宋_GB2312"/>
          <w:color w:val="auto"/>
          <w:kern w:val="2"/>
          <w:sz w:val="30"/>
          <w:szCs w:val="30"/>
          <w:lang w:val="en-US" w:eastAsia="zh-CN" w:bidi="ar-SA"/>
        </w:rPr>
        <w:t>松材线虫病疫情监测普查131.81万亩，松林除治性采伐0.7万亩，古树名木保护株数1株，古树名木保护片数1片。</w:t>
      </w:r>
    </w:p>
    <w:p w14:paraId="402BAFA6">
      <w:pPr>
        <w:numPr>
          <w:ilvl w:val="0"/>
          <w:numId w:val="0"/>
        </w:numPr>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项目产出情况</w:t>
      </w:r>
      <w:r>
        <w:rPr>
          <w:rFonts w:hint="eastAsia" w:ascii="仿宋_GB2312" w:hAnsi="仿宋_GB2312" w:eastAsia="仿宋_GB2312" w:cs="仿宋_GB2312"/>
          <w:color w:val="auto"/>
          <w:sz w:val="32"/>
          <w:szCs w:val="32"/>
          <w:lang w:eastAsia="zh-CN"/>
        </w:rPr>
        <w:t>。</w:t>
      </w:r>
    </w:p>
    <w:p w14:paraId="6C35BDC0">
      <w:pPr>
        <w:ind w:firstLine="600" w:firstLineChars="200"/>
        <w:rPr>
          <w:rFonts w:hint="default"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000000" w:themeColor="text1"/>
          <w:sz w:val="30"/>
          <w:szCs w:val="30"/>
        </w:rPr>
        <w:t>数量指标</w:t>
      </w:r>
      <w:r>
        <w:rPr>
          <w:rFonts w:hint="eastAsia" w:ascii="仿宋_GB2312" w:hAnsi="仿宋_GB2312" w:eastAsia="仿宋_GB2312" w:cs="仿宋_GB2312"/>
          <w:color w:val="000000" w:themeColor="text1"/>
          <w:sz w:val="30"/>
          <w:szCs w:val="30"/>
          <w:lang w:val="en-US" w:eastAsia="zh-CN"/>
        </w:rPr>
        <w:t>5个，均完成年度目标值。</w:t>
      </w:r>
      <w:r>
        <w:rPr>
          <w:rFonts w:hint="eastAsia" w:ascii="仿宋_GB2312" w:hAnsi="仿宋_GB2312" w:eastAsia="仿宋_GB2312" w:cs="仿宋_GB2312"/>
          <w:color w:val="auto"/>
          <w:kern w:val="2"/>
          <w:sz w:val="30"/>
          <w:szCs w:val="30"/>
          <w:lang w:val="en-US" w:eastAsia="zh-CN" w:bidi="ar-SA"/>
        </w:rPr>
        <w:t>松材线虫病疫情监测普查131.81万亩，松林除</w:t>
      </w:r>
      <w:bookmarkStart w:id="0" w:name="_GoBack"/>
      <w:bookmarkEnd w:id="0"/>
      <w:r>
        <w:rPr>
          <w:rFonts w:hint="eastAsia" w:ascii="仿宋_GB2312" w:hAnsi="仿宋_GB2312" w:eastAsia="仿宋_GB2312" w:cs="仿宋_GB2312"/>
          <w:color w:val="auto"/>
          <w:kern w:val="2"/>
          <w:sz w:val="30"/>
          <w:szCs w:val="30"/>
          <w:lang w:val="en-US" w:eastAsia="zh-CN" w:bidi="ar-SA"/>
        </w:rPr>
        <w:t>治性采伐0.7万亩，古树名木保护株数1株，古树名木保护片数1片。</w:t>
      </w:r>
    </w:p>
    <w:p w14:paraId="1601F516">
      <w:pPr>
        <w:spacing w:line="560" w:lineRule="exact"/>
        <w:ind w:firstLine="600" w:firstLineChars="200"/>
        <w:jc w:val="left"/>
        <w:rPr>
          <w:rFonts w:hint="default" w:ascii="仿宋_GB2312" w:hAnsi="仿宋_GB2312" w:eastAsia="仿宋_GB2312" w:cs="仿宋_GB2312"/>
          <w:color w:val="000000" w:themeColor="text1"/>
          <w:sz w:val="30"/>
          <w:szCs w:val="30"/>
          <w:lang w:val="en-US" w:eastAsia="zh-CN"/>
        </w:rPr>
      </w:pPr>
      <w:r>
        <w:rPr>
          <w:rFonts w:hint="eastAsia" w:ascii="仿宋_GB2312" w:hAnsi="仿宋_GB2312" w:eastAsia="仿宋_GB2312" w:cs="仿宋_GB2312"/>
          <w:color w:val="000000" w:themeColor="text1"/>
          <w:sz w:val="30"/>
          <w:szCs w:val="30"/>
          <w:lang w:eastAsia="zh-CN"/>
        </w:rPr>
        <w:t>质量指标</w:t>
      </w:r>
      <w:r>
        <w:rPr>
          <w:rFonts w:hint="eastAsia" w:ascii="仿宋_GB2312" w:hAnsi="仿宋_GB2312" w:eastAsia="仿宋_GB2312" w:cs="仿宋_GB2312"/>
          <w:color w:val="000000" w:themeColor="text1"/>
          <w:sz w:val="30"/>
          <w:szCs w:val="30"/>
          <w:lang w:val="en-US" w:eastAsia="zh-CN"/>
        </w:rPr>
        <w:t>4个，均完成年度目标值。</w:t>
      </w:r>
      <w:r>
        <w:rPr>
          <w:rFonts w:hint="eastAsia" w:ascii="仿宋_GB2312" w:hAnsi="仿宋_GB2312" w:eastAsia="仿宋_GB2312" w:cs="仿宋_GB2312"/>
          <w:color w:val="000000" w:themeColor="text1"/>
          <w:sz w:val="30"/>
          <w:szCs w:val="30"/>
        </w:rPr>
        <w:t>验收合格率</w:t>
      </w:r>
      <w:r>
        <w:rPr>
          <w:rFonts w:hint="eastAsia" w:ascii="仿宋_GB2312" w:hAnsi="仿宋_GB2312" w:eastAsia="仿宋_GB2312" w:cs="仿宋_GB2312"/>
          <w:color w:val="000000" w:themeColor="text1"/>
          <w:sz w:val="30"/>
          <w:szCs w:val="30"/>
          <w:lang w:val="en-US" w:eastAsia="zh-CN"/>
        </w:rPr>
        <w:t>90%，林业有害生物无公害防治率100%，森林火灾受害率小于＜0.8‰，古树名木成活率90%。</w:t>
      </w:r>
    </w:p>
    <w:p w14:paraId="3C36E6E6">
      <w:pPr>
        <w:spacing w:line="560" w:lineRule="exact"/>
        <w:ind w:firstLine="600" w:firstLineChars="200"/>
        <w:jc w:val="left"/>
        <w:rPr>
          <w:rFonts w:hint="eastAsia" w:ascii="仿宋_GB2312" w:hAnsi="仿宋_GB2312" w:eastAsia="仿宋_GB2312" w:cs="仿宋_GB2312"/>
          <w:color w:val="000000" w:themeColor="text1"/>
          <w:sz w:val="30"/>
          <w:szCs w:val="30"/>
          <w:lang w:val="en-US" w:eastAsia="zh-CN"/>
        </w:rPr>
      </w:pPr>
      <w:r>
        <w:rPr>
          <w:rFonts w:hint="eastAsia" w:ascii="仿宋_GB2312" w:hAnsi="仿宋_GB2312" w:eastAsia="仿宋_GB2312" w:cs="仿宋_GB2312"/>
          <w:color w:val="000000" w:themeColor="text1"/>
          <w:sz w:val="30"/>
          <w:szCs w:val="30"/>
          <w:lang w:val="en-US" w:eastAsia="zh-CN"/>
        </w:rPr>
        <w:t>时效指标1个，完成年度目标值。</w:t>
      </w:r>
      <w:r>
        <w:rPr>
          <w:rFonts w:hint="eastAsia" w:ascii="仿宋_GB2312" w:hAnsi="仿宋_GB2312" w:eastAsia="仿宋_GB2312" w:cs="仿宋_GB2312"/>
          <w:color w:val="000000" w:themeColor="text1"/>
          <w:sz w:val="30"/>
          <w:szCs w:val="30"/>
          <w:lang w:eastAsia="zh-CN"/>
        </w:rPr>
        <w:t>项目任务完成率</w:t>
      </w:r>
      <w:r>
        <w:rPr>
          <w:rFonts w:hint="eastAsia" w:ascii="仿宋_GB2312" w:hAnsi="仿宋_GB2312" w:eastAsia="仿宋_GB2312" w:cs="仿宋_GB2312"/>
          <w:color w:val="000000" w:themeColor="text1"/>
          <w:sz w:val="30"/>
          <w:szCs w:val="30"/>
          <w:lang w:val="en-US" w:eastAsia="zh-CN"/>
        </w:rPr>
        <w:t>90%。</w:t>
      </w:r>
    </w:p>
    <w:p w14:paraId="3E2EB237">
      <w:pPr>
        <w:spacing w:line="560" w:lineRule="exact"/>
        <w:ind w:firstLine="600" w:firstLineChars="200"/>
        <w:jc w:val="left"/>
        <w:rPr>
          <w:rFonts w:hint="eastAsia"/>
          <w:lang w:eastAsia="zh-CN"/>
        </w:rPr>
      </w:pPr>
      <w:r>
        <w:rPr>
          <w:rFonts w:hint="eastAsia" w:ascii="仿宋_GB2312" w:hAnsi="仿宋_GB2312" w:eastAsia="仿宋_GB2312" w:cs="仿宋_GB2312"/>
          <w:color w:val="000000" w:themeColor="text1"/>
          <w:sz w:val="30"/>
          <w:szCs w:val="30"/>
        </w:rPr>
        <w:t>满意度指标</w:t>
      </w:r>
      <w:r>
        <w:rPr>
          <w:rFonts w:hint="eastAsia" w:ascii="仿宋_GB2312" w:hAnsi="仿宋_GB2312" w:eastAsia="仿宋_GB2312" w:cs="仿宋_GB2312"/>
          <w:color w:val="000000" w:themeColor="text1"/>
          <w:sz w:val="30"/>
          <w:szCs w:val="30"/>
          <w:lang w:val="en-US" w:eastAsia="zh-CN"/>
        </w:rPr>
        <w:t>2个，均完成年度目标值。</w:t>
      </w:r>
      <w:r>
        <w:rPr>
          <w:rFonts w:hint="eastAsia" w:ascii="仿宋_GB2312" w:hAnsi="仿宋_GB2312" w:eastAsia="仿宋_GB2312" w:cs="仿宋_GB2312"/>
          <w:color w:val="000000" w:themeColor="text1"/>
          <w:sz w:val="30"/>
          <w:szCs w:val="30"/>
          <w:lang w:eastAsia="zh-CN"/>
        </w:rPr>
        <w:t>社会公众满意度90%，林农满意度90%。</w:t>
      </w:r>
    </w:p>
    <w:p w14:paraId="0D615A27">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主要经验及做法、存在的问题及原因分析</w:t>
      </w:r>
    </w:p>
    <w:p w14:paraId="1A1FAA18">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主要经验及做法：对古树进行复壮抢救，是延缓树势衰老速度、提高树体生理机能、发挥其应有作用的重要技术措施和必要手段。但古树日常养护管理更重要，要加强古树平时养护管理，才能有效的保护古树正常生长。</w:t>
      </w:r>
    </w:p>
    <w:p w14:paraId="02B28AB4">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存在的问题及原因：资源档案数据有待完善。有些小班还存在档案数据与现状不相符的现象，直接影响生产经营，同时资源建档工作还不够规范，建档人员业务水平有待进一步提高。</w:t>
      </w:r>
    </w:p>
    <w:p w14:paraId="5FA1063F">
      <w:pPr>
        <w:ind w:firstLine="600" w:firstLineChars="200"/>
        <w:rPr>
          <w:rFonts w:hint="default" w:ascii="仿宋_GB2312" w:hAnsi="仿宋_GB2312" w:eastAsia="仿宋_GB2312" w:cs="仿宋_GB2312"/>
          <w:kern w:val="2"/>
          <w:sz w:val="30"/>
          <w:szCs w:val="30"/>
          <w:lang w:val="en-US" w:eastAsia="zh-CN" w:bidi="ar-SA"/>
        </w:rPr>
      </w:pPr>
    </w:p>
    <w:p w14:paraId="70BBEAEA">
      <w:pPr>
        <w:ind w:firstLine="600" w:firstLineChars="200"/>
        <w:rPr>
          <w:rFonts w:hint="default" w:ascii="仿宋_GB2312" w:hAnsi="仿宋_GB2312" w:eastAsia="仿宋_GB2312" w:cs="仿宋_GB2312"/>
          <w:kern w:val="2"/>
          <w:sz w:val="30"/>
          <w:szCs w:val="30"/>
          <w:lang w:val="en-US" w:eastAsia="zh-CN" w:bidi="ar-SA"/>
        </w:rPr>
      </w:pPr>
    </w:p>
    <w:p w14:paraId="0CDD039E">
      <w:pPr>
        <w:ind w:firstLine="600" w:firstLineChars="200"/>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 xml:space="preserve">                                 漳平市林业局</w:t>
      </w:r>
    </w:p>
    <w:p w14:paraId="66D29946">
      <w:pPr>
        <w:ind w:firstLine="600" w:firstLineChars="200"/>
        <w:rPr>
          <w:rFonts w:hint="default"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 xml:space="preserve">                                2026年3月20日</w:t>
      </w:r>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2B4314"/>
    <w:multiLevelType w:val="singleLevel"/>
    <w:tmpl w:val="4D2B431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splitPgBreakAndParaMark/>
    <w:compatSetting w:name="compatibilityMode" w:uri="http://schemas.microsoft.com/office/word" w:val="12"/>
  </w:compat>
  <w:docVars>
    <w:docVar w:name="commondata" w:val="eyJoZGlkIjoiMGMzOTgxZGY2MTkwYzFiYjI3NDQ5NTJlYTE2NjU3ZDkifQ=="/>
  </w:docVars>
  <w:rsids>
    <w:rsidRoot w:val="00000000"/>
    <w:rsid w:val="09654B91"/>
    <w:rsid w:val="0D687620"/>
    <w:rsid w:val="0D6D26E6"/>
    <w:rsid w:val="10030A78"/>
    <w:rsid w:val="106B45D8"/>
    <w:rsid w:val="1352573F"/>
    <w:rsid w:val="18330BA6"/>
    <w:rsid w:val="1A205957"/>
    <w:rsid w:val="1D842C96"/>
    <w:rsid w:val="1DB573D4"/>
    <w:rsid w:val="1E7C04CA"/>
    <w:rsid w:val="23A73351"/>
    <w:rsid w:val="27D11497"/>
    <w:rsid w:val="30C03154"/>
    <w:rsid w:val="30EC5EE8"/>
    <w:rsid w:val="31981643"/>
    <w:rsid w:val="34B45CE8"/>
    <w:rsid w:val="3EF80539"/>
    <w:rsid w:val="48DC31CC"/>
    <w:rsid w:val="4A765644"/>
    <w:rsid w:val="4ABC3110"/>
    <w:rsid w:val="4C794B15"/>
    <w:rsid w:val="5245305F"/>
    <w:rsid w:val="52A33B35"/>
    <w:rsid w:val="52BA2D4E"/>
    <w:rsid w:val="53BD416B"/>
    <w:rsid w:val="5B0D55FD"/>
    <w:rsid w:val="5F182AE5"/>
    <w:rsid w:val="63A221AC"/>
    <w:rsid w:val="63D25BB7"/>
    <w:rsid w:val="653C16F1"/>
    <w:rsid w:val="68393307"/>
    <w:rsid w:val="69E83787"/>
    <w:rsid w:val="6B79365F"/>
    <w:rsid w:val="6BD94605"/>
    <w:rsid w:val="728B4AD9"/>
    <w:rsid w:val="791F0052"/>
    <w:rsid w:val="FE5405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0"/>
    </w:rPr>
  </w:style>
  <w:style w:type="paragraph" w:styleId="3">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1275</Words>
  <Characters>1362</Characters>
  <TotalTime>0</TotalTime>
  <ScaleCrop>false</ScaleCrop>
  <LinksUpToDate>false</LinksUpToDate>
  <CharactersWithSpaces>1432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2021-04-16T08:15:00Z</dcterms:created>
  <dc:creator>Apache POI</dc:creator>
  <cp:lastModifiedBy>幸运鹅</cp:lastModifiedBy>
  <dcterms:modified xsi:type="dcterms:W3CDTF">2026-05-14T03:45:30Z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7B03445933C04C4F886717F307922F71_12</vt:lpwstr>
  </property>
  <property fmtid="{D5CDD505-2E9C-101B-9397-08002B2CF9AE}" pid="4" name="KSOTemplateDocerSaveRecord">
    <vt:lpwstr>eyJoZGlkIjoiMGMzOTgxZGY2MTkwYzFiYjI3NDQ5NTJlYTE2NjU3ZDkiLCJ1c2VySWQiOiIxMTAzMTYxNTQ5In0=</vt:lpwstr>
  </property>
</Properties>
</file>