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578D3">
      <w:pPr>
        <w:spacing w:line="540" w:lineRule="exact"/>
        <w:jc w:val="left"/>
        <w:rPr>
          <w:rFonts w:ascii="仿宋" w:hAnsi="仿宋" w:eastAsia="仿宋"/>
          <w:color w:val="000000" w:themeColor="text1"/>
          <w:sz w:val="32"/>
          <w:szCs w:val="32"/>
        </w:rPr>
      </w:pPr>
      <w:r>
        <w:rPr>
          <w:rFonts w:hint="eastAsia" w:ascii="仿宋" w:hAnsi="仿宋" w:eastAsia="仿宋" w:cs="新宋体"/>
          <w:bCs/>
          <w:sz w:val="32"/>
          <w:szCs w:val="32"/>
        </w:rPr>
        <w:t>附件１：</w:t>
      </w:r>
    </w:p>
    <w:p w14:paraId="35B01B34">
      <w:pPr>
        <w:jc w:val="center"/>
        <w:rPr>
          <w:rFonts w:asciiTheme="minorEastAsia" w:hAnsiTheme="minorEastAsia"/>
          <w:b/>
          <w:color w:val="000000" w:themeColor="text1"/>
          <w:sz w:val="44"/>
          <w:szCs w:val="44"/>
        </w:rPr>
      </w:pPr>
      <w:bookmarkStart w:id="0" w:name="_GoBack"/>
      <w:r>
        <w:rPr>
          <w:rFonts w:hint="eastAsia" w:asciiTheme="minorEastAsia" w:hAnsiTheme="minorEastAsia"/>
          <w:b/>
          <w:color w:val="000000" w:themeColor="text1"/>
          <w:sz w:val="44"/>
          <w:szCs w:val="44"/>
        </w:rPr>
        <w:t>202</w:t>
      </w:r>
      <w:r>
        <w:rPr>
          <w:rFonts w:hint="eastAsia" w:asciiTheme="minorEastAsia" w:hAnsiTheme="minorEastAsia"/>
          <w:b/>
          <w:color w:val="000000" w:themeColor="text1"/>
          <w:sz w:val="44"/>
          <w:szCs w:val="44"/>
          <w:lang w:val="en-US" w:eastAsia="zh-CN"/>
        </w:rPr>
        <w:t>6</w:t>
      </w:r>
      <w:r>
        <w:rPr>
          <w:rFonts w:hint="eastAsia" w:asciiTheme="minorEastAsia" w:hAnsiTheme="minorEastAsia"/>
          <w:b/>
          <w:color w:val="000000" w:themeColor="text1"/>
          <w:sz w:val="44"/>
          <w:szCs w:val="44"/>
        </w:rPr>
        <w:t>年漳平市财政局普法责任清单</w:t>
      </w:r>
    </w:p>
    <w:bookmarkEnd w:id="0"/>
    <w:p w14:paraId="113109E8">
      <w:pPr>
        <w:rPr>
          <w:rFonts w:asciiTheme="minorEastAsia" w:hAnsiTheme="minorEastAsia"/>
          <w:b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/>
          <w:color w:val="000000" w:themeColor="text1"/>
          <w:sz w:val="24"/>
          <w:szCs w:val="24"/>
        </w:rPr>
        <w:t>单位（盖章）：</w:t>
      </w:r>
    </w:p>
    <w:tbl>
      <w:tblPr>
        <w:tblStyle w:val="8"/>
        <w:tblW w:w="1416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1"/>
        <w:gridCol w:w="3219"/>
        <w:gridCol w:w="2111"/>
        <w:gridCol w:w="7789"/>
      </w:tblGrid>
      <w:tr w14:paraId="753F35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041" w:type="dxa"/>
            <w:vAlign w:val="center"/>
          </w:tcPr>
          <w:p w14:paraId="1A091D26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单位</w:t>
            </w:r>
          </w:p>
        </w:tc>
        <w:tc>
          <w:tcPr>
            <w:tcW w:w="3219" w:type="dxa"/>
            <w:vAlign w:val="center"/>
          </w:tcPr>
          <w:p w14:paraId="7FB618F2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法律法规</w:t>
            </w:r>
          </w:p>
        </w:tc>
        <w:tc>
          <w:tcPr>
            <w:tcW w:w="2111" w:type="dxa"/>
            <w:vAlign w:val="center"/>
          </w:tcPr>
          <w:p w14:paraId="65E7B6E8"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普法对象</w:t>
            </w:r>
          </w:p>
        </w:tc>
        <w:tc>
          <w:tcPr>
            <w:tcW w:w="7789" w:type="dxa"/>
            <w:vAlign w:val="center"/>
          </w:tcPr>
          <w:p w14:paraId="3303C84E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重点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任务及实施时间</w:t>
            </w:r>
          </w:p>
        </w:tc>
      </w:tr>
      <w:tr w14:paraId="283DE8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041" w:type="dxa"/>
            <w:vMerge w:val="restart"/>
            <w:vAlign w:val="center"/>
          </w:tcPr>
          <w:p w14:paraId="224125E2">
            <w:pPr>
              <w:rPr>
                <w:rFonts w:ascii="仿宋" w:hAnsi="仿宋" w:eastAsia="仿宋"/>
                <w:color w:val="000000" w:themeColor="text1"/>
                <w:sz w:val="30"/>
                <w:szCs w:val="30"/>
              </w:rPr>
            </w:pPr>
          </w:p>
        </w:tc>
        <w:tc>
          <w:tcPr>
            <w:tcW w:w="3219" w:type="dxa"/>
            <w:vAlign w:val="center"/>
          </w:tcPr>
          <w:p w14:paraId="55530BF6">
            <w:pPr>
              <w:spacing w:line="260" w:lineRule="exact"/>
              <w:jc w:val="center"/>
              <w:rPr>
                <w:rFonts w:cs="宋体" w:asciiTheme="minorEastAsia" w:hAnsi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sz w:val="20"/>
                <w:szCs w:val="18"/>
                <w:lang w:eastAsia="zh-CN"/>
              </w:rPr>
              <w:t>中华人民共和国</w:t>
            </w:r>
            <w:r>
              <w:rPr>
                <w:rFonts w:hint="eastAsia" w:cs="宋体" w:asciiTheme="minorEastAsia" w:hAnsiTheme="minorEastAsia"/>
                <w:bCs/>
                <w:sz w:val="20"/>
                <w:szCs w:val="18"/>
              </w:rPr>
              <w:t>预算法</w:t>
            </w:r>
          </w:p>
        </w:tc>
        <w:tc>
          <w:tcPr>
            <w:tcW w:w="2111" w:type="dxa"/>
            <w:vAlign w:val="center"/>
          </w:tcPr>
          <w:p w14:paraId="05CECBC5">
            <w:pPr>
              <w:spacing w:line="260" w:lineRule="exact"/>
              <w:jc w:val="center"/>
              <w:rPr>
                <w:rFonts w:cs="宋体" w:asciiTheme="minorEastAsia" w:hAnsi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sz w:val="20"/>
                <w:szCs w:val="18"/>
              </w:rPr>
              <w:t>全市会计从业人员</w:t>
            </w:r>
          </w:p>
        </w:tc>
        <w:tc>
          <w:tcPr>
            <w:tcW w:w="7789" w:type="dxa"/>
            <w:vAlign w:val="center"/>
          </w:tcPr>
          <w:p w14:paraId="205F10E7">
            <w:pPr>
              <w:spacing w:line="260" w:lineRule="exact"/>
              <w:ind w:firstLine="100" w:firstLineChars="50"/>
              <w:jc w:val="left"/>
              <w:rPr>
                <w:rFonts w:hint="default" w:cs="宋体" w:asciiTheme="minorEastAsia" w:hAnsiTheme="minorEastAsia" w:eastAsiaTheme="minorEastAsia"/>
                <w:bCs/>
                <w:color w:val="FF0000"/>
                <w:sz w:val="20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bCs/>
                <w:sz w:val="20"/>
                <w:szCs w:val="18"/>
              </w:rPr>
              <w:t>开展《预算法》《预算法实施条例》业务知识培训</w:t>
            </w:r>
            <w:r>
              <w:rPr>
                <w:rFonts w:hint="eastAsia" w:cs="宋体" w:asciiTheme="minorEastAsia" w:hAnsiTheme="minorEastAsia"/>
                <w:bCs/>
                <w:sz w:val="20"/>
                <w:szCs w:val="18"/>
                <w:lang w:eastAsia="zh-CN"/>
              </w:rPr>
              <w:t>（</w:t>
            </w:r>
            <w:r>
              <w:rPr>
                <w:rFonts w:hint="eastAsia" w:cs="宋体" w:asciiTheme="minorEastAsia" w:hAnsiTheme="minorEastAsia"/>
                <w:bCs/>
                <w:sz w:val="20"/>
                <w:szCs w:val="18"/>
                <w:lang w:val="en-US" w:eastAsia="zh-CN"/>
              </w:rPr>
              <w:t>1-12月）</w:t>
            </w:r>
          </w:p>
        </w:tc>
      </w:tr>
      <w:tr w14:paraId="680D04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041" w:type="dxa"/>
            <w:vMerge w:val="continue"/>
            <w:vAlign w:val="center"/>
          </w:tcPr>
          <w:p w14:paraId="1F9850A2">
            <w:pPr>
              <w:rPr>
                <w:rFonts w:ascii="仿宋" w:hAnsi="仿宋" w:eastAsia="仿宋"/>
                <w:color w:val="000000" w:themeColor="text1"/>
                <w:sz w:val="30"/>
                <w:szCs w:val="30"/>
              </w:rPr>
            </w:pPr>
          </w:p>
        </w:tc>
        <w:tc>
          <w:tcPr>
            <w:tcW w:w="3219" w:type="dxa"/>
            <w:vAlign w:val="center"/>
          </w:tcPr>
          <w:p w14:paraId="6141AC4A">
            <w:pPr>
              <w:spacing w:line="260" w:lineRule="exact"/>
              <w:jc w:val="center"/>
              <w:rPr>
                <w:rFonts w:cs="宋体" w:asciiTheme="minorEastAsia" w:hAnsi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sz w:val="20"/>
                <w:szCs w:val="18"/>
                <w:lang w:eastAsia="zh-CN"/>
              </w:rPr>
              <w:t>中华人民共和国</w:t>
            </w:r>
            <w:r>
              <w:rPr>
                <w:rFonts w:hint="eastAsia" w:cs="宋体" w:asciiTheme="minorEastAsia" w:hAnsiTheme="minorEastAsia"/>
                <w:bCs/>
                <w:sz w:val="20"/>
                <w:szCs w:val="18"/>
              </w:rPr>
              <w:t>会计法</w:t>
            </w:r>
          </w:p>
        </w:tc>
        <w:tc>
          <w:tcPr>
            <w:tcW w:w="2111" w:type="dxa"/>
            <w:vAlign w:val="center"/>
          </w:tcPr>
          <w:p w14:paraId="3A1DBD66">
            <w:pPr>
              <w:spacing w:line="260" w:lineRule="exact"/>
              <w:jc w:val="center"/>
              <w:rPr>
                <w:rFonts w:cs="宋体" w:asciiTheme="minorEastAsia" w:hAnsi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sz w:val="20"/>
                <w:szCs w:val="18"/>
              </w:rPr>
              <w:t>全市会计从业人员</w:t>
            </w:r>
          </w:p>
        </w:tc>
        <w:tc>
          <w:tcPr>
            <w:tcW w:w="7789" w:type="dxa"/>
            <w:vAlign w:val="center"/>
          </w:tcPr>
          <w:p w14:paraId="731BFF38">
            <w:pPr>
              <w:spacing w:line="260" w:lineRule="exact"/>
              <w:ind w:firstLine="200" w:firstLineChars="100"/>
              <w:jc w:val="left"/>
              <w:rPr>
                <w:rFonts w:cs="宋体" w:asciiTheme="minorEastAsia" w:hAnsi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sz w:val="20"/>
                <w:szCs w:val="18"/>
              </w:rPr>
              <w:t>福建省会计人员继续教育网络培训平台网上学法</w:t>
            </w:r>
            <w:r>
              <w:rPr>
                <w:rFonts w:hint="eastAsia" w:cs="宋体" w:asciiTheme="minorEastAsia" w:hAnsiTheme="minorEastAsia"/>
                <w:bCs/>
                <w:sz w:val="20"/>
                <w:szCs w:val="18"/>
                <w:lang w:eastAsia="zh-CN"/>
              </w:rPr>
              <w:t>（</w:t>
            </w:r>
            <w:r>
              <w:rPr>
                <w:rFonts w:hint="eastAsia" w:cs="宋体" w:asciiTheme="minorEastAsia" w:hAnsiTheme="minorEastAsia"/>
                <w:bCs/>
                <w:sz w:val="20"/>
                <w:szCs w:val="18"/>
                <w:lang w:val="en-US" w:eastAsia="zh-CN"/>
              </w:rPr>
              <w:t>1-12月）</w:t>
            </w:r>
          </w:p>
        </w:tc>
      </w:tr>
      <w:tr w14:paraId="7CCA06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041" w:type="dxa"/>
            <w:vMerge w:val="continue"/>
            <w:vAlign w:val="center"/>
          </w:tcPr>
          <w:p w14:paraId="66D9B730">
            <w:pPr>
              <w:rPr>
                <w:rFonts w:ascii="仿宋" w:hAnsi="仿宋" w:eastAsia="仿宋"/>
                <w:color w:val="000000" w:themeColor="text1"/>
                <w:sz w:val="30"/>
                <w:szCs w:val="30"/>
              </w:rPr>
            </w:pPr>
          </w:p>
        </w:tc>
        <w:tc>
          <w:tcPr>
            <w:tcW w:w="3219" w:type="dxa"/>
            <w:vAlign w:val="center"/>
          </w:tcPr>
          <w:p w14:paraId="30461429">
            <w:pPr>
              <w:spacing w:line="260" w:lineRule="exact"/>
              <w:jc w:val="center"/>
              <w:rPr>
                <w:rFonts w:cs="宋体" w:asciiTheme="minorEastAsia" w:hAnsi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sz w:val="20"/>
                <w:szCs w:val="18"/>
                <w:lang w:eastAsia="zh-CN"/>
              </w:rPr>
              <w:t>中华人民共和国</w:t>
            </w:r>
            <w:r>
              <w:rPr>
                <w:rFonts w:hint="eastAsia" w:cs="宋体" w:asciiTheme="minorEastAsia" w:hAnsiTheme="minorEastAsia"/>
                <w:bCs/>
                <w:sz w:val="20"/>
                <w:szCs w:val="18"/>
              </w:rPr>
              <w:t>政府采购法</w:t>
            </w:r>
          </w:p>
        </w:tc>
        <w:tc>
          <w:tcPr>
            <w:tcW w:w="2111" w:type="dxa"/>
            <w:vAlign w:val="center"/>
          </w:tcPr>
          <w:p w14:paraId="39BE4D1D">
            <w:pPr>
              <w:spacing w:line="260" w:lineRule="exact"/>
              <w:jc w:val="center"/>
              <w:rPr>
                <w:rFonts w:cs="宋体" w:asciiTheme="minorEastAsia" w:hAnsi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sz w:val="20"/>
                <w:szCs w:val="18"/>
              </w:rPr>
              <w:t>采购人、代理机构</w:t>
            </w:r>
          </w:p>
        </w:tc>
        <w:tc>
          <w:tcPr>
            <w:tcW w:w="7789" w:type="dxa"/>
            <w:vAlign w:val="center"/>
          </w:tcPr>
          <w:p w14:paraId="0326751C">
            <w:pPr>
              <w:spacing w:line="260" w:lineRule="exact"/>
              <w:ind w:firstLine="200" w:firstLineChars="100"/>
              <w:jc w:val="left"/>
              <w:rPr>
                <w:rFonts w:cs="宋体" w:asciiTheme="minorEastAsia" w:hAnsi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sz w:val="20"/>
                <w:szCs w:val="18"/>
              </w:rPr>
              <w:t>开展《政府采购法》《采购法实施条例》等法律法规培训</w:t>
            </w:r>
            <w:r>
              <w:rPr>
                <w:rFonts w:hint="eastAsia" w:cs="宋体" w:asciiTheme="minorEastAsia" w:hAnsiTheme="minorEastAsia"/>
                <w:bCs/>
                <w:sz w:val="20"/>
                <w:szCs w:val="18"/>
                <w:lang w:eastAsia="zh-CN"/>
              </w:rPr>
              <w:t>（</w:t>
            </w:r>
            <w:r>
              <w:rPr>
                <w:rFonts w:hint="eastAsia" w:cs="宋体" w:asciiTheme="minorEastAsia" w:hAnsiTheme="minorEastAsia"/>
                <w:bCs/>
                <w:sz w:val="20"/>
                <w:szCs w:val="18"/>
                <w:lang w:val="en-US" w:eastAsia="zh-CN"/>
              </w:rPr>
              <w:t>1-12月）</w:t>
            </w:r>
          </w:p>
        </w:tc>
      </w:tr>
      <w:tr w14:paraId="2DD1ED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041" w:type="dxa"/>
            <w:vMerge w:val="continue"/>
            <w:vAlign w:val="center"/>
          </w:tcPr>
          <w:p w14:paraId="7BBBC4D5">
            <w:pPr>
              <w:rPr>
                <w:rFonts w:ascii="仿宋" w:hAnsi="仿宋" w:eastAsia="仿宋"/>
                <w:color w:val="000000" w:themeColor="text1"/>
                <w:sz w:val="30"/>
                <w:szCs w:val="30"/>
              </w:rPr>
            </w:pPr>
          </w:p>
        </w:tc>
        <w:tc>
          <w:tcPr>
            <w:tcW w:w="3219" w:type="dxa"/>
            <w:vAlign w:val="center"/>
          </w:tcPr>
          <w:p w14:paraId="4B675223">
            <w:pPr>
              <w:spacing w:line="260" w:lineRule="exact"/>
              <w:jc w:val="center"/>
              <w:rPr>
                <w:rFonts w:cs="宋体" w:asciiTheme="minorEastAsia" w:hAnsi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sz w:val="20"/>
                <w:szCs w:val="18"/>
              </w:rPr>
              <w:t>财政部门监督办法</w:t>
            </w:r>
          </w:p>
        </w:tc>
        <w:tc>
          <w:tcPr>
            <w:tcW w:w="2111" w:type="dxa"/>
            <w:vAlign w:val="center"/>
          </w:tcPr>
          <w:p w14:paraId="34DAC2D8">
            <w:pPr>
              <w:spacing w:line="260" w:lineRule="exact"/>
              <w:jc w:val="center"/>
              <w:rPr>
                <w:rFonts w:cs="宋体" w:asciiTheme="minorEastAsia" w:hAnsi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sz w:val="20"/>
                <w:szCs w:val="18"/>
              </w:rPr>
              <w:t>全局干部职工</w:t>
            </w:r>
          </w:p>
        </w:tc>
        <w:tc>
          <w:tcPr>
            <w:tcW w:w="7789" w:type="dxa"/>
            <w:vAlign w:val="center"/>
          </w:tcPr>
          <w:p w14:paraId="1C683052">
            <w:pPr>
              <w:spacing w:line="260" w:lineRule="exact"/>
              <w:ind w:firstLine="200" w:firstLineChars="100"/>
              <w:jc w:val="left"/>
              <w:rPr>
                <w:rFonts w:cs="宋体" w:asciiTheme="minorEastAsia" w:hAnsiTheme="minorEastAsia"/>
                <w:bCs/>
                <w:color w:val="FF0000"/>
                <w:sz w:val="20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sz w:val="20"/>
                <w:szCs w:val="18"/>
              </w:rPr>
              <w:t>开展以案说法法治讲座</w:t>
            </w:r>
            <w:r>
              <w:rPr>
                <w:rFonts w:hint="eastAsia" w:cs="宋体" w:asciiTheme="minorEastAsia" w:hAnsiTheme="minorEastAsia"/>
                <w:bCs/>
                <w:sz w:val="20"/>
                <w:szCs w:val="18"/>
                <w:lang w:eastAsia="zh-CN"/>
              </w:rPr>
              <w:t>（</w:t>
            </w:r>
            <w:r>
              <w:rPr>
                <w:rFonts w:hint="eastAsia" w:cs="宋体" w:asciiTheme="minorEastAsia" w:hAnsiTheme="minorEastAsia"/>
                <w:bCs/>
                <w:sz w:val="20"/>
                <w:szCs w:val="18"/>
                <w:lang w:val="en-US" w:eastAsia="zh-CN"/>
              </w:rPr>
              <w:t>1-12月）</w:t>
            </w:r>
          </w:p>
        </w:tc>
      </w:tr>
      <w:tr w14:paraId="3DBAA6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041" w:type="dxa"/>
            <w:vMerge w:val="continue"/>
            <w:vAlign w:val="center"/>
          </w:tcPr>
          <w:p w14:paraId="74F12E27">
            <w:pPr>
              <w:rPr>
                <w:rFonts w:ascii="仿宋" w:hAnsi="仿宋" w:eastAsia="仿宋"/>
                <w:color w:val="000000" w:themeColor="text1"/>
                <w:sz w:val="30"/>
                <w:szCs w:val="30"/>
              </w:rPr>
            </w:pPr>
          </w:p>
        </w:tc>
        <w:tc>
          <w:tcPr>
            <w:tcW w:w="3219" w:type="dxa"/>
            <w:vAlign w:val="center"/>
          </w:tcPr>
          <w:p w14:paraId="6280962C">
            <w:pPr>
              <w:spacing w:line="260" w:lineRule="exact"/>
              <w:jc w:val="center"/>
              <w:rPr>
                <w:rFonts w:cs="宋体" w:asciiTheme="minorEastAsia" w:hAnsi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sz w:val="20"/>
                <w:szCs w:val="18"/>
              </w:rPr>
              <w:t>行政事业性国有资产管理条例</w:t>
            </w:r>
          </w:p>
        </w:tc>
        <w:tc>
          <w:tcPr>
            <w:tcW w:w="2111" w:type="dxa"/>
            <w:vAlign w:val="center"/>
          </w:tcPr>
          <w:p w14:paraId="67498CE2">
            <w:pPr>
              <w:spacing w:line="260" w:lineRule="exact"/>
              <w:jc w:val="center"/>
              <w:rPr>
                <w:rFonts w:cs="宋体" w:asciiTheme="minorEastAsia" w:hAnsi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sz w:val="20"/>
                <w:szCs w:val="18"/>
              </w:rPr>
              <w:t>全市行政事业单位相关人员</w:t>
            </w:r>
          </w:p>
        </w:tc>
        <w:tc>
          <w:tcPr>
            <w:tcW w:w="7789" w:type="dxa"/>
            <w:vAlign w:val="center"/>
          </w:tcPr>
          <w:p w14:paraId="3E18E781">
            <w:pPr>
              <w:spacing w:line="260" w:lineRule="exact"/>
              <w:ind w:firstLine="200" w:firstLineChars="100"/>
              <w:jc w:val="left"/>
              <w:rPr>
                <w:rFonts w:cs="宋体" w:asciiTheme="minorEastAsia" w:hAnsi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sz w:val="20"/>
                <w:szCs w:val="18"/>
              </w:rPr>
              <w:t>开展《行政事业性国有资产管理条例》知识学习</w:t>
            </w:r>
            <w:r>
              <w:rPr>
                <w:rFonts w:hint="eastAsia" w:cs="宋体" w:asciiTheme="minorEastAsia" w:hAnsiTheme="minorEastAsia"/>
                <w:bCs/>
                <w:sz w:val="20"/>
                <w:szCs w:val="18"/>
                <w:lang w:eastAsia="zh-CN"/>
              </w:rPr>
              <w:t>（</w:t>
            </w:r>
            <w:r>
              <w:rPr>
                <w:rFonts w:hint="eastAsia" w:cs="宋体" w:asciiTheme="minorEastAsia" w:hAnsiTheme="minorEastAsia"/>
                <w:bCs/>
                <w:sz w:val="20"/>
                <w:szCs w:val="18"/>
                <w:lang w:val="en-US" w:eastAsia="zh-CN"/>
              </w:rPr>
              <w:t>1-12月）</w:t>
            </w:r>
          </w:p>
        </w:tc>
      </w:tr>
      <w:tr w14:paraId="5E96AD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041" w:type="dxa"/>
            <w:vMerge w:val="continue"/>
            <w:vAlign w:val="center"/>
          </w:tcPr>
          <w:p w14:paraId="0A10C980">
            <w:pPr>
              <w:rPr>
                <w:rFonts w:ascii="仿宋" w:hAnsi="仿宋" w:eastAsia="仿宋"/>
                <w:color w:val="000000" w:themeColor="text1"/>
                <w:sz w:val="30"/>
                <w:szCs w:val="30"/>
              </w:rPr>
            </w:pPr>
          </w:p>
        </w:tc>
        <w:tc>
          <w:tcPr>
            <w:tcW w:w="3219" w:type="dxa"/>
            <w:vAlign w:val="center"/>
          </w:tcPr>
          <w:p w14:paraId="664BDFEB">
            <w:pPr>
              <w:spacing w:line="260" w:lineRule="exact"/>
              <w:jc w:val="center"/>
              <w:rPr>
                <w:rFonts w:cs="宋体" w:asciiTheme="minorEastAsia" w:hAnsi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sz w:val="20"/>
                <w:szCs w:val="18"/>
              </w:rPr>
              <w:t>福建省非税收入管理办法</w:t>
            </w:r>
          </w:p>
        </w:tc>
        <w:tc>
          <w:tcPr>
            <w:tcW w:w="2111" w:type="dxa"/>
            <w:vAlign w:val="center"/>
          </w:tcPr>
          <w:p w14:paraId="73C62EF0">
            <w:pPr>
              <w:spacing w:line="260" w:lineRule="exact"/>
              <w:jc w:val="center"/>
              <w:rPr>
                <w:rFonts w:cs="宋体" w:asciiTheme="minorEastAsia" w:hAnsi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sz w:val="20"/>
                <w:szCs w:val="18"/>
              </w:rPr>
              <w:t>各执收单位相关人员</w:t>
            </w:r>
          </w:p>
        </w:tc>
        <w:tc>
          <w:tcPr>
            <w:tcW w:w="7789" w:type="dxa"/>
            <w:vAlign w:val="center"/>
          </w:tcPr>
          <w:p w14:paraId="5C032F9D">
            <w:pPr>
              <w:spacing w:line="260" w:lineRule="exact"/>
              <w:ind w:firstLine="200" w:firstLineChars="100"/>
              <w:jc w:val="left"/>
              <w:rPr>
                <w:rFonts w:cs="宋体" w:asciiTheme="minorEastAsia" w:hAnsi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sz w:val="20"/>
                <w:szCs w:val="18"/>
              </w:rPr>
              <w:t>政府信息网、微信等新媒体公开非税收入调整政策</w:t>
            </w:r>
            <w:r>
              <w:rPr>
                <w:rFonts w:hint="eastAsia" w:cs="宋体" w:asciiTheme="minorEastAsia" w:hAnsiTheme="minorEastAsia"/>
                <w:bCs/>
                <w:sz w:val="20"/>
                <w:szCs w:val="18"/>
                <w:lang w:eastAsia="zh-CN"/>
              </w:rPr>
              <w:t>（</w:t>
            </w:r>
            <w:r>
              <w:rPr>
                <w:rFonts w:hint="eastAsia" w:cs="宋体" w:asciiTheme="minorEastAsia" w:hAnsiTheme="minorEastAsia"/>
                <w:bCs/>
                <w:sz w:val="20"/>
                <w:szCs w:val="18"/>
                <w:lang w:val="en-US" w:eastAsia="zh-CN"/>
              </w:rPr>
              <w:t>1-12月）</w:t>
            </w:r>
          </w:p>
        </w:tc>
      </w:tr>
      <w:tr w14:paraId="2767F7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041" w:type="dxa"/>
            <w:vMerge w:val="continue"/>
            <w:vAlign w:val="center"/>
          </w:tcPr>
          <w:p w14:paraId="665EFB7F">
            <w:pPr>
              <w:rPr>
                <w:rFonts w:ascii="仿宋" w:hAnsi="仿宋" w:eastAsia="仿宋"/>
                <w:color w:val="000000" w:themeColor="text1"/>
                <w:sz w:val="30"/>
                <w:szCs w:val="30"/>
              </w:rPr>
            </w:pPr>
          </w:p>
        </w:tc>
        <w:tc>
          <w:tcPr>
            <w:tcW w:w="3219" w:type="dxa"/>
            <w:vAlign w:val="center"/>
          </w:tcPr>
          <w:p w14:paraId="42A12047">
            <w:pPr>
              <w:spacing w:line="260" w:lineRule="exact"/>
              <w:jc w:val="center"/>
              <w:rPr>
                <w:rFonts w:cs="宋体" w:asciiTheme="minorEastAsia" w:hAnsi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sz w:val="20"/>
                <w:szCs w:val="18"/>
              </w:rPr>
              <w:t>防范和处置非法集资条例</w:t>
            </w:r>
          </w:p>
        </w:tc>
        <w:tc>
          <w:tcPr>
            <w:tcW w:w="2111" w:type="dxa"/>
            <w:vAlign w:val="center"/>
          </w:tcPr>
          <w:p w14:paraId="1BB6E625">
            <w:pPr>
              <w:spacing w:line="260" w:lineRule="exact"/>
              <w:jc w:val="center"/>
              <w:rPr>
                <w:rFonts w:cs="宋体" w:asciiTheme="minorEastAsia" w:hAnsiTheme="minorEastAsia"/>
                <w:bCs/>
                <w:sz w:val="20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sz w:val="20"/>
                <w:szCs w:val="18"/>
              </w:rPr>
              <w:t>群众</w:t>
            </w:r>
          </w:p>
        </w:tc>
        <w:tc>
          <w:tcPr>
            <w:tcW w:w="7789" w:type="dxa"/>
            <w:vAlign w:val="center"/>
          </w:tcPr>
          <w:p w14:paraId="0835872C">
            <w:pPr>
              <w:spacing w:line="260" w:lineRule="exact"/>
              <w:ind w:firstLine="200" w:firstLineChars="100"/>
              <w:jc w:val="left"/>
              <w:rPr>
                <w:rFonts w:cs="宋体" w:asciiTheme="minorEastAsia" w:hAnsiTheme="minorEastAsia"/>
                <w:bCs/>
                <w:color w:val="000000" w:themeColor="text1"/>
                <w:sz w:val="20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sz w:val="20"/>
                <w:szCs w:val="18"/>
              </w:rPr>
              <w:t>开展集中宣传、分发宣传材料</w:t>
            </w:r>
            <w:r>
              <w:rPr>
                <w:rFonts w:hint="eastAsia" w:cs="宋体" w:asciiTheme="minorEastAsia" w:hAnsiTheme="minorEastAsia"/>
                <w:bCs/>
                <w:sz w:val="20"/>
                <w:szCs w:val="18"/>
                <w:lang w:eastAsia="zh-CN"/>
              </w:rPr>
              <w:t>（</w:t>
            </w:r>
            <w:r>
              <w:rPr>
                <w:rFonts w:hint="eastAsia" w:cs="宋体" w:asciiTheme="minorEastAsia" w:hAnsiTheme="minorEastAsia"/>
                <w:bCs/>
                <w:sz w:val="20"/>
                <w:szCs w:val="18"/>
                <w:lang w:val="en-US" w:eastAsia="zh-CN"/>
              </w:rPr>
              <w:t>1-12月）</w:t>
            </w:r>
          </w:p>
        </w:tc>
      </w:tr>
    </w:tbl>
    <w:p w14:paraId="655F2125">
      <w:pPr>
        <w:ind w:firstLine="735" w:firstLineChars="350"/>
        <w:rPr>
          <w:rFonts w:hint="default" w:ascii="仿宋" w:hAnsi="仿宋" w:eastAsiaTheme="minorEastAsia"/>
          <w:color w:val="FF0000"/>
          <w:szCs w:val="21"/>
          <w:lang w:val="en-US" w:eastAsia="zh-CN"/>
        </w:rPr>
      </w:pPr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E20D2A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c4ZGI2MzZmMjZlMDQ5NGM0NTA1ZGI0MmI2ZWQxM2YifQ=="/>
  </w:docVars>
  <w:rsids>
    <w:rsidRoot w:val="00562FCC"/>
    <w:rsid w:val="00056260"/>
    <w:rsid w:val="00243143"/>
    <w:rsid w:val="002E59E8"/>
    <w:rsid w:val="003303E1"/>
    <w:rsid w:val="003633BB"/>
    <w:rsid w:val="003E25DF"/>
    <w:rsid w:val="00404ACC"/>
    <w:rsid w:val="0046164F"/>
    <w:rsid w:val="00472610"/>
    <w:rsid w:val="004B0A74"/>
    <w:rsid w:val="004D77D5"/>
    <w:rsid w:val="00525B24"/>
    <w:rsid w:val="00562FCC"/>
    <w:rsid w:val="00567C52"/>
    <w:rsid w:val="0063536C"/>
    <w:rsid w:val="0066628C"/>
    <w:rsid w:val="00671FED"/>
    <w:rsid w:val="006B0465"/>
    <w:rsid w:val="006D2A5B"/>
    <w:rsid w:val="00797284"/>
    <w:rsid w:val="007A065B"/>
    <w:rsid w:val="008761C0"/>
    <w:rsid w:val="0094243B"/>
    <w:rsid w:val="00A0650E"/>
    <w:rsid w:val="00A67F49"/>
    <w:rsid w:val="00AA4BE7"/>
    <w:rsid w:val="00AD3EBA"/>
    <w:rsid w:val="00B05953"/>
    <w:rsid w:val="00B46E0B"/>
    <w:rsid w:val="00B708DD"/>
    <w:rsid w:val="00BA1A62"/>
    <w:rsid w:val="00D30A24"/>
    <w:rsid w:val="00D461C8"/>
    <w:rsid w:val="00DF3809"/>
    <w:rsid w:val="00ED248A"/>
    <w:rsid w:val="00F57221"/>
    <w:rsid w:val="00F65B96"/>
    <w:rsid w:val="00F90C4A"/>
    <w:rsid w:val="00FB4929"/>
    <w:rsid w:val="00FD4CE0"/>
    <w:rsid w:val="00FE67FB"/>
    <w:rsid w:val="0F197D07"/>
    <w:rsid w:val="10E44612"/>
    <w:rsid w:val="18D42BA7"/>
    <w:rsid w:val="24327F85"/>
    <w:rsid w:val="2B484344"/>
    <w:rsid w:val="315E0057"/>
    <w:rsid w:val="43054408"/>
    <w:rsid w:val="47D049EE"/>
    <w:rsid w:val="514D1AB6"/>
    <w:rsid w:val="629A2F8A"/>
    <w:rsid w:val="6C736249"/>
    <w:rsid w:val="FF8EA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autoRedefine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Title"/>
    <w:basedOn w:val="1"/>
    <w:next w:val="1"/>
    <w:link w:val="12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8">
    <w:name w:val="Table Grid"/>
    <w:basedOn w:val="7"/>
    <w:autoRedefine/>
    <w:qFormat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标题 1 Char"/>
    <w:basedOn w:val="9"/>
    <w:link w:val="2"/>
    <w:autoRedefine/>
    <w:qFormat/>
    <w:uiPriority w:val="0"/>
    <w:rPr>
      <w:b/>
      <w:bCs/>
      <w:kern w:val="44"/>
      <w:sz w:val="44"/>
      <w:szCs w:val="44"/>
    </w:rPr>
  </w:style>
  <w:style w:type="character" w:customStyle="1" w:styleId="11">
    <w:name w:val="标题 2 Char"/>
    <w:basedOn w:val="9"/>
    <w:link w:val="3"/>
    <w:autoRedefine/>
    <w:qFormat/>
    <w:uiPriority w:val="9"/>
    <w:rPr>
      <w:rFonts w:ascii="宋体" w:hAnsi="宋体" w:cs="宋体"/>
      <w:b/>
      <w:bCs/>
      <w:sz w:val="36"/>
      <w:szCs w:val="36"/>
    </w:rPr>
  </w:style>
  <w:style w:type="character" w:customStyle="1" w:styleId="12">
    <w:name w:val="标题 Char"/>
    <w:basedOn w:val="9"/>
    <w:link w:val="6"/>
    <w:qFormat/>
    <w:uiPriority w:val="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13">
    <w:name w:val="页眉 Char"/>
    <w:basedOn w:val="9"/>
    <w:link w:val="5"/>
    <w:semiHidden/>
    <w:qFormat/>
    <w:uiPriority w:val="99"/>
    <w:rPr>
      <w:kern w:val="2"/>
      <w:sz w:val="18"/>
      <w:szCs w:val="18"/>
    </w:rPr>
  </w:style>
  <w:style w:type="character" w:customStyle="1" w:styleId="14">
    <w:name w:val="页脚 Char"/>
    <w:basedOn w:val="9"/>
    <w:link w:val="4"/>
    <w:semiHidden/>
    <w:qFormat/>
    <w:uiPriority w:val="99"/>
    <w:rPr>
      <w:kern w:val="2"/>
      <w:sz w:val="18"/>
      <w:szCs w:val="18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347</Words>
  <Characters>377</Characters>
  <Lines>2</Lines>
  <Paragraphs>1</Paragraphs>
  <TotalTime>11</TotalTime>
  <ScaleCrop>false</ScaleCrop>
  <LinksUpToDate>false</LinksUpToDate>
  <CharactersWithSpaces>414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2023-03-24T16:12:00Z</dcterms:created>
  <dc:creator>user002</dc:creator>
  <cp:lastModifiedBy>zpcz</cp:lastModifiedBy>
  <cp:lastPrinted>2026-03-02T16:13:00Z</cp:lastPrinted>
  <dcterms:modified xsi:type="dcterms:W3CDTF">2026-04-01T11:53:20Z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E551233D5C654380832DF4B78102A468_12</vt:lpwstr>
  </property>
  <property fmtid="{D5CDD505-2E9C-101B-9397-08002B2CF9AE}" pid="4" name="KSOTemplateDocerSaveRecord">
    <vt:lpwstr>eyJoZGlkIjoiZTc4ZGI2MzZmMjZlMDQ5NGM0NTA1ZGI0MmI2ZWQxM2YiLCJ1c2VySWQiOiI0NDY5MTc1MzEifQ==</vt:lpwstr>
  </property>
</Properties>
</file>