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0" w:line="600" w:lineRule="exact"/>
        <w:ind w:left="0" w:leftChars="0" w:firstLine="0" w:firstLineChars="0"/>
        <w:rPr>
          <w:rFonts w:hint="eastAsia" w:ascii="宋体" w:hAnsi="宋体" w:eastAsia="宋体" w:cs="宋体"/>
          <w:bCs/>
          <w:kern w:val="0"/>
          <w:sz w:val="32"/>
          <w:szCs w:val="32"/>
          <w:lang w:val="en-US" w:eastAsia="zh-CN" w:bidi="ar"/>
        </w:rPr>
      </w:pPr>
      <w:r>
        <w:rPr>
          <w:rFonts w:hint="eastAsia" w:ascii="宋体" w:hAnsi="宋体" w:eastAsia="宋体" w:cs="宋体"/>
          <w:sz w:val="32"/>
          <w:szCs w:val="32"/>
        </w:rPr>
        <w:t>附件</w:t>
      </w:r>
      <w:r>
        <w:rPr>
          <w:rFonts w:hint="eastAsia" w:ascii="宋体" w:hAnsi="宋体" w:eastAsia="宋体" w:cs="宋体"/>
          <w:sz w:val="32"/>
          <w:szCs w:val="32"/>
          <w:lang w:val="en-US" w:eastAsia="zh-CN"/>
        </w:rPr>
        <w:t>6</w:t>
      </w:r>
    </w:p>
    <w:p>
      <w:pPr>
        <w:pStyle w:val="1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轻工重点企业有限空间作业检查表</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456" w:firstLineChars="200"/>
        <w:jc w:val="both"/>
        <w:textAlignment w:val="auto"/>
        <w:rPr>
          <w:rFonts w:hint="eastAsia" w:ascii="仿宋_GB2312" w:hAnsi="仿宋_GB2312" w:eastAsia="宋体" w:cs="仿宋_GB2312"/>
          <w:spacing w:val="-6"/>
          <w:kern w:val="0"/>
          <w:sz w:val="24"/>
          <w:szCs w:val="24"/>
          <w:u w:val="single"/>
          <w:lang w:val="en-US" w:eastAsia="zh-CN" w:bidi="ar-SA"/>
        </w:rPr>
      </w:pPr>
      <w:r>
        <w:rPr>
          <w:rFonts w:hint="eastAsia" w:ascii="仿宋_GB2312" w:hAnsi="仿宋_GB2312" w:eastAsia="宋体" w:cs="仿宋_GB2312"/>
          <w:spacing w:val="-6"/>
          <w:kern w:val="0"/>
          <w:sz w:val="24"/>
          <w:szCs w:val="24"/>
          <w:lang w:val="en-US" w:eastAsia="zh-CN" w:bidi="ar-SA"/>
        </w:rPr>
        <w:t xml:space="preserve">被检查地区：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lang w:val="en-US" w:eastAsia="zh-CN" w:bidi="ar-SA"/>
        </w:rPr>
        <w:t xml:space="preserve"> </w:t>
      </w:r>
      <w:r>
        <w:rPr>
          <w:rFonts w:hint="eastAsia" w:ascii="仿宋_GB2312" w:hAnsi="仿宋_GB2312" w:cs="仿宋_GB2312"/>
          <w:spacing w:val="-6"/>
          <w:kern w:val="0"/>
          <w:sz w:val="24"/>
          <w:szCs w:val="24"/>
          <w:lang w:val="en-US" w:eastAsia="zh-CN" w:bidi="ar-SA"/>
        </w:rPr>
        <w:t xml:space="preserve">                        </w:t>
      </w:r>
      <w:r>
        <w:rPr>
          <w:rFonts w:hint="eastAsia" w:ascii="仿宋_GB2312" w:hAnsi="仿宋_GB2312" w:eastAsia="宋体" w:cs="仿宋_GB2312"/>
          <w:spacing w:val="-6"/>
          <w:kern w:val="0"/>
          <w:sz w:val="24"/>
          <w:szCs w:val="24"/>
          <w:lang w:val="en-US" w:eastAsia="zh-CN" w:bidi="ar-SA"/>
        </w:rPr>
        <w:t>被检查企业：</w:t>
      </w:r>
      <w:r>
        <w:rPr>
          <w:rFonts w:hint="eastAsia" w:ascii="仿宋_GB2312" w:hAnsi="仿宋_GB2312" w:eastAsia="宋体" w:cs="仿宋_GB2312"/>
          <w:spacing w:val="-6"/>
          <w:kern w:val="0"/>
          <w:sz w:val="24"/>
          <w:szCs w:val="24"/>
          <w:u w:val="single"/>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456" w:firstLineChars="200"/>
        <w:jc w:val="both"/>
        <w:textAlignment w:val="auto"/>
        <w:rPr>
          <w:rFonts w:hint="eastAsia" w:ascii="仿宋_GB2312" w:hAnsi="仿宋_GB2312" w:eastAsia="宋体" w:cs="仿宋_GB2312"/>
          <w:spacing w:val="-6"/>
          <w:kern w:val="0"/>
          <w:sz w:val="24"/>
          <w:szCs w:val="24"/>
          <w:lang w:val="en-US" w:eastAsia="zh-CN" w:bidi="ar-SA"/>
        </w:rPr>
      </w:pPr>
      <w:r>
        <w:rPr>
          <w:rFonts w:hint="eastAsia" w:ascii="仿宋_GB2312" w:hAnsi="仿宋_GB2312" w:eastAsia="宋体" w:cs="仿宋_GB2312"/>
          <w:spacing w:val="-6"/>
          <w:kern w:val="0"/>
          <w:sz w:val="24"/>
          <w:szCs w:val="24"/>
          <w:lang w:val="en-US" w:eastAsia="zh-CN" w:bidi="ar-SA"/>
        </w:rPr>
        <w:t xml:space="preserve">企业类型：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u w:val="none"/>
          <w:lang w:val="en-US" w:eastAsia="zh-CN" w:bidi="ar-SA"/>
        </w:rPr>
        <w:t xml:space="preserve">  </w:t>
      </w:r>
      <w:r>
        <w:rPr>
          <w:rFonts w:hint="eastAsia" w:ascii="仿宋_GB2312" w:hAnsi="仿宋_GB2312" w:cs="仿宋_GB2312"/>
          <w:spacing w:val="-6"/>
          <w:kern w:val="0"/>
          <w:sz w:val="24"/>
          <w:szCs w:val="24"/>
          <w:u w:val="none"/>
          <w:lang w:val="en-US" w:eastAsia="zh-CN" w:bidi="ar-SA"/>
        </w:rPr>
        <w:t xml:space="preserve">                       </w:t>
      </w:r>
      <w:r>
        <w:rPr>
          <w:rFonts w:hint="eastAsia" w:ascii="仿宋_GB2312" w:hAnsi="仿宋_GB2312" w:eastAsia="宋体" w:cs="仿宋_GB2312"/>
          <w:spacing w:val="-6"/>
          <w:kern w:val="0"/>
          <w:sz w:val="24"/>
          <w:szCs w:val="24"/>
          <w:lang w:val="en-US" w:eastAsia="zh-CN" w:bidi="ar-SA"/>
        </w:rPr>
        <w:t xml:space="preserve">检查时间：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lang w:val="en-US" w:eastAsia="zh-CN" w:bidi="ar-SA"/>
        </w:rPr>
        <w:t xml:space="preserve">年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lang w:val="en-US" w:eastAsia="zh-CN" w:bidi="ar-SA"/>
        </w:rPr>
        <w:t xml:space="preserve">月 </w:t>
      </w:r>
      <w:r>
        <w:rPr>
          <w:rFonts w:hint="eastAsia" w:ascii="仿宋_GB2312" w:hAnsi="仿宋_GB2312" w:eastAsia="宋体" w:cs="仿宋_GB2312"/>
          <w:spacing w:val="-6"/>
          <w:kern w:val="0"/>
          <w:sz w:val="24"/>
          <w:szCs w:val="24"/>
          <w:u w:val="single"/>
          <w:lang w:val="en-US" w:eastAsia="zh-CN" w:bidi="ar-SA"/>
        </w:rPr>
        <w:t xml:space="preserve">      </w:t>
      </w:r>
      <w:r>
        <w:rPr>
          <w:rFonts w:hint="eastAsia" w:ascii="仿宋_GB2312" w:hAnsi="仿宋_GB2312" w:eastAsia="宋体" w:cs="仿宋_GB2312"/>
          <w:spacing w:val="-6"/>
          <w:kern w:val="0"/>
          <w:sz w:val="24"/>
          <w:szCs w:val="24"/>
          <w:lang w:val="en-US" w:eastAsia="zh-CN" w:bidi="ar-SA"/>
        </w:rPr>
        <w:t>日</w:t>
      </w:r>
    </w:p>
    <w:p>
      <w:pPr>
        <w:pStyle w:val="10"/>
        <w:spacing w:after="0" w:line="1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p>
    <w:tbl>
      <w:tblPr>
        <w:tblStyle w:val="11"/>
        <w:tblW w:w="14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900"/>
        <w:gridCol w:w="6827"/>
        <w:gridCol w:w="273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770" w:type="dxa"/>
            <w:noWrap w:val="0"/>
            <w:vAlign w:val="center"/>
          </w:tcPr>
          <w:p>
            <w:pPr>
              <w:widowControl/>
              <w:spacing w:line="380" w:lineRule="exact"/>
              <w:jc w:val="center"/>
              <w:textAlignment w:val="baseline"/>
              <w:rPr>
                <w:rFonts w:hint="eastAsia" w:ascii="仿宋_GB2312" w:hAnsi="仿宋_GB2312" w:cs="仿宋_GB2312"/>
                <w:bCs/>
                <w:kern w:val="0"/>
                <w:sz w:val="24"/>
                <w:szCs w:val="24"/>
              </w:rPr>
            </w:pPr>
            <w:r>
              <w:rPr>
                <w:rFonts w:hint="eastAsia" w:ascii="仿宋_GB2312" w:hAnsi="仿宋_GB2312" w:cs="仿宋_GB2312"/>
                <w:bCs/>
                <w:kern w:val="0"/>
                <w:sz w:val="24"/>
                <w:szCs w:val="24"/>
              </w:rPr>
              <w:t>序号</w:t>
            </w:r>
          </w:p>
        </w:tc>
        <w:tc>
          <w:tcPr>
            <w:tcW w:w="1900" w:type="dxa"/>
            <w:noWrap w:val="0"/>
            <w:vAlign w:val="center"/>
          </w:tcPr>
          <w:p>
            <w:pPr>
              <w:widowControl/>
              <w:spacing w:line="380" w:lineRule="exact"/>
              <w:jc w:val="center"/>
              <w:textAlignment w:val="baseline"/>
              <w:rPr>
                <w:rFonts w:hint="eastAsia" w:ascii="仿宋_GB2312" w:hAnsi="仿宋_GB2312" w:cs="仿宋_GB2312"/>
                <w:bCs/>
                <w:kern w:val="0"/>
                <w:sz w:val="24"/>
                <w:szCs w:val="24"/>
              </w:rPr>
            </w:pPr>
            <w:r>
              <w:rPr>
                <w:rFonts w:hint="eastAsia" w:ascii="仿宋_GB2312" w:hAnsi="仿宋_GB2312" w:cs="仿宋_GB2312"/>
                <w:bCs/>
                <w:kern w:val="0"/>
                <w:sz w:val="24"/>
                <w:szCs w:val="24"/>
              </w:rPr>
              <w:t>项目</w:t>
            </w:r>
          </w:p>
        </w:tc>
        <w:tc>
          <w:tcPr>
            <w:tcW w:w="6827" w:type="dxa"/>
            <w:noWrap w:val="0"/>
            <w:vAlign w:val="center"/>
          </w:tcPr>
          <w:p>
            <w:pPr>
              <w:widowControl/>
              <w:spacing w:line="380" w:lineRule="exact"/>
              <w:jc w:val="center"/>
              <w:textAlignment w:val="baseline"/>
              <w:rPr>
                <w:rFonts w:hint="eastAsia" w:ascii="仿宋_GB2312" w:hAnsi="仿宋_GB2312" w:cs="仿宋_GB2312"/>
                <w:bCs/>
                <w:kern w:val="0"/>
                <w:sz w:val="24"/>
                <w:szCs w:val="24"/>
              </w:rPr>
            </w:pPr>
            <w:r>
              <w:rPr>
                <w:rFonts w:hint="eastAsia" w:ascii="仿宋_GB2312" w:hAnsi="仿宋_GB2312" w:cs="仿宋_GB2312"/>
                <w:bCs/>
                <w:kern w:val="0"/>
                <w:sz w:val="24"/>
                <w:szCs w:val="24"/>
              </w:rPr>
              <w:t>内容</w:t>
            </w:r>
          </w:p>
        </w:tc>
        <w:tc>
          <w:tcPr>
            <w:tcW w:w="2730" w:type="dxa"/>
            <w:noWrap w:val="0"/>
            <w:vAlign w:val="center"/>
          </w:tcPr>
          <w:p>
            <w:pPr>
              <w:widowControl/>
              <w:spacing w:line="380" w:lineRule="exact"/>
              <w:jc w:val="center"/>
              <w:textAlignment w:val="baseline"/>
              <w:rPr>
                <w:rFonts w:hint="eastAsia" w:ascii="仿宋_GB2312" w:hAnsi="仿宋_GB2312" w:cs="仿宋_GB2312"/>
                <w:bCs/>
                <w:kern w:val="0"/>
                <w:sz w:val="24"/>
                <w:szCs w:val="24"/>
              </w:rPr>
            </w:pPr>
            <w:r>
              <w:rPr>
                <w:rFonts w:hint="eastAsia" w:ascii="仿宋_GB2312" w:hAnsi="仿宋_GB2312" w:cs="仿宋_GB2312"/>
                <w:bCs/>
                <w:kern w:val="0"/>
                <w:sz w:val="24"/>
                <w:szCs w:val="24"/>
              </w:rPr>
              <w:t>问题描述</w:t>
            </w:r>
          </w:p>
        </w:tc>
        <w:tc>
          <w:tcPr>
            <w:tcW w:w="2188" w:type="dxa"/>
            <w:noWrap w:val="0"/>
            <w:vAlign w:val="center"/>
          </w:tcPr>
          <w:p>
            <w:pPr>
              <w:widowControl/>
              <w:spacing w:line="380" w:lineRule="exact"/>
              <w:jc w:val="center"/>
              <w:textAlignment w:val="baseline"/>
              <w:rPr>
                <w:rFonts w:hint="eastAsia" w:ascii="仿宋_GB2312" w:hAnsi="仿宋_GB2312" w:cs="仿宋_GB2312"/>
                <w:bCs/>
                <w:kern w:val="0"/>
                <w:sz w:val="24"/>
                <w:szCs w:val="24"/>
              </w:rPr>
            </w:pPr>
            <w:r>
              <w:rPr>
                <w:rFonts w:hint="eastAsia" w:ascii="仿宋_GB2312" w:hAnsi="仿宋_GB2312" w:cs="仿宋_GB2312"/>
                <w:bCs/>
                <w:kern w:val="0"/>
                <w:sz w:val="24"/>
                <w:szCs w:val="24"/>
              </w:rPr>
              <w:t>整改建议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70" w:type="dxa"/>
            <w:vMerge w:val="restart"/>
            <w:noWrap w:val="0"/>
            <w:vAlign w:val="center"/>
          </w:tcPr>
          <w:p>
            <w:pPr>
              <w:spacing w:line="380" w:lineRule="exact"/>
              <w:jc w:val="center"/>
              <w:rPr>
                <w:rFonts w:hint="eastAsia" w:ascii="仿宋_GB2312" w:hAnsi="仿宋_GB2312" w:cs="仿宋_GB2312"/>
                <w:kern w:val="0"/>
                <w:sz w:val="24"/>
                <w:szCs w:val="24"/>
              </w:rPr>
            </w:pPr>
            <w:r>
              <w:rPr>
                <w:rFonts w:hint="eastAsia" w:ascii="仿宋_GB2312" w:hAnsi="仿宋_GB2312" w:cs="仿宋_GB2312"/>
                <w:bCs/>
                <w:kern w:val="0"/>
                <w:sz w:val="24"/>
                <w:szCs w:val="24"/>
              </w:rPr>
              <w:t>1</w:t>
            </w:r>
          </w:p>
        </w:tc>
        <w:tc>
          <w:tcPr>
            <w:tcW w:w="1900" w:type="dxa"/>
            <w:vMerge w:val="restart"/>
            <w:noWrap w:val="0"/>
            <w:vAlign w:val="center"/>
          </w:tcPr>
          <w:p>
            <w:pPr>
              <w:pStyle w:val="9"/>
              <w:spacing w:before="0" w:beforeAutospacing="0" w:after="0" w:afterAutospacing="0" w:line="380" w:lineRule="exact"/>
              <w:rPr>
                <w:rFonts w:hint="eastAsia" w:ascii="仿宋_GB2312" w:hAnsi="仿宋_GB2312" w:cs="仿宋_GB2312"/>
                <w:szCs w:val="24"/>
              </w:rPr>
            </w:pPr>
            <w:r>
              <w:rPr>
                <w:rFonts w:hint="eastAsia" w:ascii="仿宋_GB2312" w:hAnsi="仿宋_GB2312" w:cs="仿宋_GB2312"/>
                <w:szCs w:val="24"/>
              </w:rPr>
              <w:t>强化“关键少数”依法履职</w:t>
            </w: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zCs w:val="24"/>
              </w:rPr>
            </w:pPr>
            <w:r>
              <w:rPr>
                <w:rFonts w:hint="eastAsia" w:ascii="仿宋_GB2312" w:hAnsi="仿宋_GB2312" w:cs="仿宋_GB2312"/>
                <w:spacing w:val="-6"/>
                <w:szCs w:val="24"/>
              </w:rPr>
              <w:t>主要负责人熟悉有限空间作业安全相关要求。</w:t>
            </w:r>
          </w:p>
        </w:tc>
        <w:tc>
          <w:tcPr>
            <w:tcW w:w="2730" w:type="dxa"/>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c>
          <w:tcPr>
            <w:tcW w:w="2188" w:type="dxa"/>
            <w:vMerge w:val="restart"/>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将有限空间作业安全纳入教育和培训计划。</w:t>
            </w:r>
          </w:p>
        </w:tc>
        <w:tc>
          <w:tcPr>
            <w:tcW w:w="2730" w:type="dxa"/>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c>
          <w:tcPr>
            <w:tcW w:w="2188"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保证有限空间安全生产投入。</w:t>
            </w:r>
          </w:p>
        </w:tc>
        <w:tc>
          <w:tcPr>
            <w:tcW w:w="2730" w:type="dxa"/>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c>
          <w:tcPr>
            <w:tcW w:w="2188"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主要负责人督促、检查有限空间安全生产工作，及时消除有限空间生产安全事故隐患。</w:t>
            </w:r>
          </w:p>
        </w:tc>
        <w:tc>
          <w:tcPr>
            <w:tcW w:w="2730" w:type="dxa"/>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c>
          <w:tcPr>
            <w:tcW w:w="2188"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pacing w:val="-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2</w:t>
            </w:r>
          </w:p>
        </w:tc>
        <w:tc>
          <w:tcPr>
            <w:tcW w:w="1900" w:type="dxa"/>
            <w:vMerge w:val="restart"/>
            <w:noWrap w:val="0"/>
            <w:vAlign w:val="center"/>
          </w:tcPr>
          <w:p>
            <w:pPr>
              <w:pStyle w:val="9"/>
              <w:spacing w:before="0" w:beforeAutospacing="0" w:after="0" w:afterAutospacing="0" w:line="380" w:lineRule="exact"/>
              <w:jc w:val="both"/>
              <w:rPr>
                <w:rFonts w:hint="eastAsia" w:ascii="仿宋_GB2312" w:hAnsi="仿宋_GB2312" w:cs="仿宋_GB2312"/>
                <w:szCs w:val="24"/>
              </w:rPr>
            </w:pPr>
            <w:r>
              <w:rPr>
                <w:rFonts w:hint="eastAsia" w:ascii="仿宋_GB2312" w:hAnsi="仿宋_GB2312" w:cs="仿宋_GB2312"/>
                <w:szCs w:val="24"/>
              </w:rPr>
              <w:t>强化制度建设</w:t>
            </w: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建立有限空间作业安全生产制度和操作规程。</w:t>
            </w:r>
          </w:p>
        </w:tc>
        <w:tc>
          <w:tcPr>
            <w:tcW w:w="2730" w:type="dxa"/>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c>
          <w:tcPr>
            <w:tcW w:w="2188" w:type="dxa"/>
            <w:vMerge w:val="restart"/>
            <w:noWrap w:val="0"/>
            <w:vAlign w:val="top"/>
          </w:tcPr>
          <w:p>
            <w:pPr>
              <w:pStyle w:val="9"/>
              <w:spacing w:before="0" w:beforeAutospacing="0" w:after="0" w:afterAutospacing="0" w:line="380" w:lineRule="exact"/>
              <w:jc w:val="both"/>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有限空间作业安全生产制度和规程具备科学性、针对性和可操作性。</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before="0" w:beforeAutospacing="0" w:after="0" w:afterAutospacing="0" w:line="380" w:lineRule="exact"/>
              <w:jc w:val="both"/>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有限空间作业相关人员知晓自身有限空间作业安全责任。</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before="0" w:beforeAutospacing="0" w:after="0" w:afterAutospacing="0" w:line="380" w:lineRule="exact"/>
              <w:jc w:val="both"/>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pStyle w:val="9"/>
              <w:spacing w:before="0" w:beforeAutospacing="0" w:after="0" w:afterAutospacing="0" w:line="380" w:lineRule="exact"/>
              <w:jc w:val="both"/>
              <w:rPr>
                <w:rFonts w:hint="eastAsia" w:ascii="仿宋_GB2312" w:hAnsi="仿宋_GB2312" w:cs="仿宋_GB2312"/>
                <w:szCs w:val="24"/>
              </w:rPr>
            </w:pPr>
          </w:p>
        </w:tc>
        <w:tc>
          <w:tcPr>
            <w:tcW w:w="6827" w:type="dxa"/>
            <w:noWrap w:val="0"/>
            <w:vAlign w:val="center"/>
          </w:tcPr>
          <w:p>
            <w:pPr>
              <w:pStyle w:val="9"/>
              <w:numPr>
                <w:ilvl w:val="0"/>
                <w:numId w:val="1"/>
              </w:numPr>
              <w:spacing w:before="0" w:beforeAutospacing="0" w:after="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有限空间作业相关人员掌握有限空间作业安全管理制度和操作规程。</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before="0" w:beforeAutospacing="0" w:after="0" w:afterAutospacing="0" w:line="380" w:lineRule="exact"/>
              <w:jc w:val="both"/>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3</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强化风险辨识和台账建立</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建立有限空间台账。</w:t>
            </w:r>
          </w:p>
        </w:tc>
        <w:tc>
          <w:tcPr>
            <w:tcW w:w="2730" w:type="dxa"/>
            <w:noWrap w:val="0"/>
            <w:vAlign w:val="center"/>
          </w:tcPr>
          <w:p>
            <w:pPr>
              <w:adjustRightInd w:val="0"/>
              <w:snapToGrid w:val="0"/>
              <w:spacing w:line="380" w:lineRule="exact"/>
              <w:rPr>
                <w:rFonts w:hint="eastAsia" w:ascii="仿宋_GB2312" w:hAnsi="仿宋_GB2312" w:cs="仿宋_GB2312"/>
                <w:kern w:val="0"/>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有限空间台账中有限空间名称、位置、危险有害因素、可能事故后果、防护要求和作业主体等要素完备、规范。</w:t>
            </w:r>
          </w:p>
        </w:tc>
        <w:tc>
          <w:tcPr>
            <w:tcW w:w="2730" w:type="dxa"/>
            <w:noWrap w:val="0"/>
            <w:vAlign w:val="center"/>
          </w:tcPr>
          <w:p>
            <w:pPr>
              <w:adjustRightInd w:val="0"/>
              <w:snapToGrid w:val="0"/>
              <w:spacing w:line="380" w:lineRule="exact"/>
              <w:rPr>
                <w:rFonts w:hint="eastAsia" w:ascii="仿宋_GB2312" w:hAnsi="仿宋_GB2312" w:cs="仿宋_GB2312"/>
                <w:kern w:val="0"/>
                <w:sz w:val="24"/>
                <w:szCs w:val="24"/>
              </w:rPr>
            </w:pPr>
          </w:p>
        </w:tc>
        <w:tc>
          <w:tcPr>
            <w:tcW w:w="2188" w:type="dxa"/>
            <w:vMerge w:val="continue"/>
            <w:noWrap w:val="0"/>
            <w:vAlign w:val="top"/>
          </w:tcPr>
          <w:p>
            <w:pPr>
              <w:adjustRightInd w:val="0"/>
              <w:snapToGrid w:val="0"/>
              <w:spacing w:line="380" w:lineRule="exact"/>
              <w:rPr>
                <w:rFonts w:hint="eastAsia" w:ascii="仿宋_GB2312" w:hAnsi="仿宋_GB2312" w:cs="仿宋_GB2312"/>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17"/>
                <w:szCs w:val="24"/>
              </w:rPr>
              <w:t>有限空间台账完整、准确，符合现场实际情况。</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4</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强化作业审批和监护</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作业审批流程符合作业审批制度要求，</w:t>
            </w:r>
            <w:r>
              <w:rPr>
                <w:rFonts w:hint="eastAsia" w:ascii="仿宋_GB2312" w:hAnsi="仿宋_GB2312" w:cs="仿宋_GB2312"/>
                <w:spacing w:val="-6"/>
                <w:szCs w:val="24"/>
              </w:rPr>
              <w:t>经作业负责人同意、作业审批责任人批准。</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top"/>
          </w:tcPr>
          <w:p>
            <w:pPr>
              <w:widowControl/>
              <w:spacing w:line="380" w:lineRule="exact"/>
              <w:textAlignment w:val="baseline"/>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作业审批单等作业记录中危害有害因素辨识准确，气体检测记录完善，对安全防护措施进行了确认。</w:t>
            </w:r>
          </w:p>
        </w:tc>
        <w:tc>
          <w:tcPr>
            <w:tcW w:w="2730" w:type="dxa"/>
            <w:noWrap w:val="0"/>
            <w:vAlign w:val="center"/>
          </w:tcPr>
          <w:p>
            <w:pPr>
              <w:adjustRightInd w:val="0"/>
              <w:snapToGrid w:val="0"/>
              <w:spacing w:line="380" w:lineRule="exact"/>
              <w:rPr>
                <w:rFonts w:hint="eastAsia" w:ascii="仿宋_GB2312" w:hAnsi="仿宋_GB2312" w:cs="仿宋_GB2312"/>
                <w:spacing w:val="-6"/>
                <w:kern w:val="0"/>
                <w:sz w:val="24"/>
                <w:szCs w:val="24"/>
              </w:rPr>
            </w:pPr>
          </w:p>
        </w:tc>
        <w:tc>
          <w:tcPr>
            <w:tcW w:w="2188" w:type="dxa"/>
            <w:vMerge w:val="continue"/>
            <w:noWrap w:val="0"/>
            <w:vAlign w:val="top"/>
          </w:tcPr>
          <w:p>
            <w:pPr>
              <w:widowControl/>
              <w:spacing w:line="380" w:lineRule="exact"/>
              <w:textAlignment w:val="baseline"/>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作业审批单等作业记录明确作业现场负责人、监护人和作业人员</w:t>
            </w:r>
            <w:r>
              <w:rPr>
                <w:rFonts w:hint="eastAsia" w:ascii="仿宋_GB2312" w:hAnsi="仿宋_GB2312" w:cs="仿宋_GB2312"/>
                <w:spacing w:val="-6"/>
                <w:szCs w:val="24"/>
              </w:rPr>
              <w:t>。</w:t>
            </w:r>
          </w:p>
        </w:tc>
        <w:tc>
          <w:tcPr>
            <w:tcW w:w="2730" w:type="dxa"/>
            <w:noWrap w:val="0"/>
            <w:vAlign w:val="center"/>
          </w:tcPr>
          <w:p>
            <w:pPr>
              <w:adjustRightInd w:val="0"/>
              <w:snapToGrid w:val="0"/>
              <w:spacing w:line="380" w:lineRule="exact"/>
              <w:rPr>
                <w:rFonts w:hint="eastAsia" w:ascii="仿宋_GB2312" w:hAnsi="仿宋_GB2312" w:cs="仿宋_GB2312"/>
                <w:spacing w:val="-6"/>
                <w:kern w:val="0"/>
                <w:sz w:val="24"/>
                <w:szCs w:val="24"/>
              </w:rPr>
            </w:pPr>
          </w:p>
        </w:tc>
        <w:tc>
          <w:tcPr>
            <w:tcW w:w="2188" w:type="dxa"/>
            <w:vMerge w:val="continue"/>
            <w:noWrap w:val="0"/>
            <w:vAlign w:val="top"/>
          </w:tcPr>
          <w:p>
            <w:pPr>
              <w:widowControl/>
              <w:spacing w:line="380" w:lineRule="exact"/>
              <w:textAlignment w:val="baseline"/>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作业现场负责人、监护人和作业人员进行安全技术交底。</w:t>
            </w:r>
          </w:p>
        </w:tc>
        <w:tc>
          <w:tcPr>
            <w:tcW w:w="2730" w:type="dxa"/>
            <w:noWrap w:val="0"/>
            <w:vAlign w:val="center"/>
          </w:tcPr>
          <w:p>
            <w:pPr>
              <w:adjustRightInd w:val="0"/>
              <w:snapToGrid w:val="0"/>
              <w:spacing w:line="380" w:lineRule="exact"/>
              <w:rPr>
                <w:rFonts w:hint="eastAsia" w:ascii="仿宋_GB2312" w:hAnsi="仿宋_GB2312" w:cs="仿宋_GB2312"/>
                <w:spacing w:val="-6"/>
                <w:kern w:val="0"/>
                <w:sz w:val="24"/>
                <w:szCs w:val="24"/>
              </w:rPr>
            </w:pPr>
          </w:p>
        </w:tc>
        <w:tc>
          <w:tcPr>
            <w:tcW w:w="2188" w:type="dxa"/>
            <w:vMerge w:val="continue"/>
            <w:noWrap w:val="0"/>
            <w:vAlign w:val="top"/>
          </w:tcPr>
          <w:p>
            <w:pPr>
              <w:widowControl/>
              <w:spacing w:line="380" w:lineRule="exact"/>
              <w:textAlignment w:val="baseline"/>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5</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强化人员培训</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具有有限空间作业专项安全培训记录</w:t>
            </w:r>
            <w:r>
              <w:rPr>
                <w:rFonts w:hint="eastAsia" w:ascii="仿宋_GB2312" w:hAnsi="仿宋_GB2312" w:cs="仿宋_GB2312"/>
                <w:spacing w:val="-6"/>
                <w:szCs w:val="24"/>
              </w:rPr>
              <w:t>，培训内容针对性强，覆盖相关人员。</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center"/>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相关人员了解有限空间作业安全风险、作业程序和防范措施。</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center"/>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6</w:t>
            </w:r>
          </w:p>
        </w:tc>
        <w:tc>
          <w:tcPr>
            <w:tcW w:w="1900" w:type="dxa"/>
            <w:vMerge w:val="restart"/>
            <w:noWrap w:val="0"/>
            <w:vAlign w:val="center"/>
          </w:tcPr>
          <w:p>
            <w:pPr>
              <w:adjustRightInd w:val="0"/>
              <w:snapToGrid w:val="0"/>
              <w:spacing w:line="380" w:lineRule="exact"/>
              <w:rPr>
                <w:rFonts w:hint="eastAsia" w:ascii="仿宋_GB2312" w:hAnsi="仿宋_GB2312" w:cs="仿宋_GB2312"/>
                <w:sz w:val="24"/>
                <w:szCs w:val="24"/>
              </w:rPr>
            </w:pPr>
            <w:r>
              <w:rPr>
                <w:rFonts w:hint="eastAsia" w:ascii="仿宋_GB2312" w:hAnsi="仿宋_GB2312" w:cs="仿宋_GB2312"/>
                <w:sz w:val="24"/>
                <w:szCs w:val="24"/>
              </w:rPr>
              <w:t>隐患排查到位</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企业开展有限空间作业安全相关隐患排查，并进行闭环管理。</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企业发现重大隐患，及时制定整改方案，并将</w:t>
            </w:r>
            <w:r>
              <w:rPr>
                <w:rFonts w:hint="eastAsia" w:ascii="仿宋_GB2312" w:hAnsi="仿宋_GB2312" w:cs="仿宋_GB2312"/>
                <w:bCs/>
                <w:szCs w:val="24"/>
              </w:rPr>
              <w:t>重大事故隐患排查治理情况向负有安全生产监督管理职责的部门报告</w:t>
            </w:r>
            <w:r>
              <w:rPr>
                <w:rFonts w:hint="eastAsia" w:ascii="仿宋_GB2312" w:hAnsi="仿宋_GB2312" w:cs="仿宋_GB2312"/>
                <w:spacing w:val="-6"/>
                <w:szCs w:val="24"/>
              </w:rPr>
              <w:t>。</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7</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标志张贴到位</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有限空间</w:t>
            </w:r>
            <w:r>
              <w:rPr>
                <w:rFonts w:hint="eastAsia" w:ascii="仿宋_GB2312" w:hAnsi="仿宋_GB2312" w:cs="仿宋_GB2312"/>
                <w:spacing w:val="-6"/>
                <w:szCs w:val="24"/>
              </w:rPr>
              <w:t>入口处等醒目位置</w:t>
            </w:r>
            <w:r>
              <w:rPr>
                <w:rFonts w:hint="eastAsia" w:ascii="仿宋_GB2312" w:hAnsi="仿宋_GB2312" w:cs="仿宋_GB2312"/>
                <w:bCs/>
                <w:szCs w:val="24"/>
              </w:rPr>
              <w:t>设置安全警示标志</w:t>
            </w:r>
            <w:r>
              <w:rPr>
                <w:rFonts w:hint="eastAsia" w:ascii="仿宋_GB2312" w:hAnsi="仿宋_GB2312" w:cs="仿宋_GB2312"/>
                <w:spacing w:val="-6"/>
                <w:szCs w:val="24"/>
              </w:rPr>
              <w:t>。</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存在有限空间的场所醒目位置设置安全风险告知牌。</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8</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承包方管理到位</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与有限空间作业承包单位签订专门的安全生产管理协议或在承包合同中明确各方安全生产管理职责。</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对承包单位的有限空间作业进行审批和监督</w:t>
            </w:r>
            <w:r>
              <w:rPr>
                <w:rFonts w:hint="eastAsia" w:ascii="仿宋_GB2312" w:hAnsi="仿宋_GB2312" w:cs="仿宋_GB2312"/>
                <w:spacing w:val="-6"/>
                <w:szCs w:val="24"/>
              </w:rPr>
              <w:t>。</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9</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装备配备到位</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防护用品和装备台账及采购记录，包括安全帽、全身式安全带、安全绳，以及与作业环境危险有害因素相适应的气体检测报警仪、呼吸防护用品、通风设备等。</w:t>
            </w:r>
          </w:p>
        </w:tc>
        <w:tc>
          <w:tcPr>
            <w:tcW w:w="2730" w:type="dxa"/>
            <w:noWrap w:val="0"/>
            <w:vAlign w:val="center"/>
          </w:tcPr>
          <w:p>
            <w:pPr>
              <w:adjustRightInd w:val="0"/>
              <w:snapToGrid w:val="0"/>
              <w:spacing w:line="380" w:lineRule="exact"/>
              <w:rPr>
                <w:rFonts w:hint="eastAsia" w:ascii="仿宋_GB2312" w:hAnsi="仿宋_GB2312" w:cs="仿宋_GB2312"/>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防护用品和装备满足现场作业防护要求。</w:t>
            </w:r>
          </w:p>
        </w:tc>
        <w:tc>
          <w:tcPr>
            <w:tcW w:w="2730" w:type="dxa"/>
            <w:noWrap w:val="0"/>
            <w:vAlign w:val="center"/>
          </w:tcPr>
          <w:p>
            <w:pPr>
              <w:adjustRightInd w:val="0"/>
              <w:snapToGrid w:val="0"/>
              <w:spacing w:line="380" w:lineRule="exact"/>
              <w:rPr>
                <w:rFonts w:hint="eastAsia" w:ascii="仿宋_GB2312" w:hAnsi="仿宋_GB2312" w:cs="仿宋_GB2312"/>
                <w:spacing w:val="-6"/>
                <w:sz w:val="24"/>
                <w:szCs w:val="24"/>
              </w:rPr>
            </w:pPr>
          </w:p>
        </w:tc>
        <w:tc>
          <w:tcPr>
            <w:tcW w:w="2188" w:type="dxa"/>
            <w:vMerge w:val="continue"/>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bCs/>
                <w:szCs w:val="24"/>
              </w:rPr>
            </w:pPr>
            <w:r>
              <w:rPr>
                <w:rFonts w:hint="eastAsia" w:ascii="仿宋_GB2312" w:hAnsi="仿宋_GB2312" w:cs="仿宋_GB2312"/>
                <w:bCs/>
                <w:szCs w:val="24"/>
              </w:rPr>
              <w:t>防护用品和装备能够正常使用，气瓶、气体检测报警仪定期检验、检定或校准。</w:t>
            </w:r>
          </w:p>
        </w:tc>
        <w:tc>
          <w:tcPr>
            <w:tcW w:w="2730" w:type="dxa"/>
            <w:noWrap w:val="0"/>
            <w:vAlign w:val="center"/>
          </w:tcPr>
          <w:p>
            <w:pPr>
              <w:adjustRightInd w:val="0"/>
              <w:snapToGrid w:val="0"/>
              <w:spacing w:line="380" w:lineRule="exact"/>
              <w:rPr>
                <w:rFonts w:hint="eastAsia" w:ascii="仿宋_GB2312" w:hAnsi="仿宋_GB2312" w:cs="仿宋_GB2312"/>
                <w:spacing w:val="-6"/>
                <w:sz w:val="24"/>
                <w:szCs w:val="24"/>
              </w:rPr>
            </w:pPr>
          </w:p>
        </w:tc>
        <w:tc>
          <w:tcPr>
            <w:tcW w:w="2188" w:type="dxa"/>
            <w:vMerge w:val="continue"/>
            <w:noWrap w:val="0"/>
            <w:vAlign w:val="top"/>
          </w:tcPr>
          <w:p>
            <w:pPr>
              <w:adjustRightInd w:val="0"/>
              <w:snapToGrid w:val="0"/>
              <w:spacing w:line="380" w:lineRule="exact"/>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作业人员、监护人员等人员能够正确佩戴和使用防护用品和装备。</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restart"/>
            <w:noWrap w:val="0"/>
            <w:vAlign w:val="center"/>
          </w:tcPr>
          <w:p>
            <w:pPr>
              <w:spacing w:line="380" w:lineRule="exact"/>
              <w:jc w:val="center"/>
              <w:rPr>
                <w:rFonts w:hint="eastAsia" w:ascii="仿宋_GB2312" w:hAnsi="仿宋_GB2312" w:cs="仿宋_GB2312"/>
                <w:bCs/>
                <w:kern w:val="0"/>
                <w:sz w:val="24"/>
                <w:szCs w:val="24"/>
              </w:rPr>
            </w:pPr>
            <w:r>
              <w:rPr>
                <w:rFonts w:hint="eastAsia" w:ascii="仿宋_GB2312" w:hAnsi="仿宋_GB2312" w:cs="仿宋_GB2312"/>
                <w:bCs/>
                <w:kern w:val="0"/>
                <w:sz w:val="24"/>
                <w:szCs w:val="24"/>
              </w:rPr>
              <w:t>10</w:t>
            </w:r>
          </w:p>
        </w:tc>
        <w:tc>
          <w:tcPr>
            <w:tcW w:w="1900" w:type="dxa"/>
            <w:vMerge w:val="restart"/>
            <w:noWrap w:val="0"/>
            <w:vAlign w:val="center"/>
          </w:tcPr>
          <w:p>
            <w:pPr>
              <w:adjustRightInd w:val="0"/>
              <w:snapToGrid w:val="0"/>
              <w:spacing w:line="380" w:lineRule="exact"/>
              <w:rPr>
                <w:rFonts w:hint="eastAsia" w:ascii="仿宋_GB2312" w:hAnsi="仿宋_GB2312" w:cs="仿宋_GB2312"/>
                <w:kern w:val="0"/>
                <w:sz w:val="24"/>
                <w:szCs w:val="24"/>
              </w:rPr>
            </w:pPr>
            <w:r>
              <w:rPr>
                <w:rFonts w:hint="eastAsia" w:ascii="仿宋_GB2312" w:hAnsi="仿宋_GB2312" w:cs="仿宋_GB2312"/>
                <w:kern w:val="0"/>
                <w:sz w:val="24"/>
                <w:szCs w:val="24"/>
              </w:rPr>
              <w:t>应急处置到位</w:t>
            </w: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制定有限空间作业事故应急救援预案</w:t>
            </w:r>
            <w:r>
              <w:rPr>
                <w:rFonts w:hint="eastAsia" w:ascii="仿宋_GB2312" w:hAnsi="仿宋_GB2312" w:cs="仿宋_GB2312"/>
                <w:spacing w:val="-6"/>
                <w:szCs w:val="24"/>
              </w:rPr>
              <w:t>。</w:t>
            </w:r>
          </w:p>
        </w:tc>
        <w:tc>
          <w:tcPr>
            <w:tcW w:w="2730" w:type="dxa"/>
            <w:noWrap w:val="0"/>
            <w:vAlign w:val="center"/>
          </w:tcPr>
          <w:p>
            <w:pPr>
              <w:adjustRightInd w:val="0"/>
              <w:snapToGrid w:val="0"/>
              <w:spacing w:line="380" w:lineRule="exact"/>
              <w:rPr>
                <w:rFonts w:hint="eastAsia" w:ascii="仿宋_GB2312" w:hAnsi="仿宋_GB2312" w:cs="仿宋_GB2312"/>
                <w:bCs/>
                <w:kern w:val="0"/>
                <w:sz w:val="24"/>
                <w:szCs w:val="24"/>
              </w:rPr>
            </w:pPr>
          </w:p>
        </w:tc>
        <w:tc>
          <w:tcPr>
            <w:tcW w:w="2188" w:type="dxa"/>
            <w:vMerge w:val="restart"/>
            <w:noWrap w:val="0"/>
            <w:vAlign w:val="top"/>
          </w:tcPr>
          <w:p>
            <w:pPr>
              <w:adjustRightInd w:val="0"/>
              <w:snapToGrid w:val="0"/>
              <w:spacing w:line="380" w:lineRule="exact"/>
              <w:rPr>
                <w:rFonts w:hint="eastAsia"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bCs/>
                <w:szCs w:val="24"/>
              </w:rPr>
              <w:t>定期开展有限空间作业事故应急演练</w:t>
            </w:r>
            <w:r>
              <w:rPr>
                <w:rFonts w:hint="eastAsia" w:ascii="仿宋_GB2312" w:hAnsi="仿宋_GB2312" w:cs="仿宋_GB2312"/>
                <w:spacing w:val="-6"/>
                <w:szCs w:val="24"/>
              </w:rPr>
              <w:t>。</w:t>
            </w:r>
          </w:p>
        </w:tc>
        <w:tc>
          <w:tcPr>
            <w:tcW w:w="2730" w:type="dxa"/>
            <w:noWrap w:val="0"/>
            <w:vAlign w:val="center"/>
          </w:tcPr>
          <w:p>
            <w:pPr>
              <w:adjustRightInd w:val="0"/>
              <w:snapToGrid w:val="0"/>
              <w:spacing w:line="380" w:lineRule="exact"/>
              <w:rPr>
                <w:rFonts w:hint="eastAsia" w:ascii="仿宋_GB2312" w:hAnsi="仿宋_GB2312" w:cs="仿宋_GB2312"/>
                <w:spacing w:val="-6"/>
                <w:kern w:val="0"/>
                <w:sz w:val="24"/>
                <w:szCs w:val="24"/>
              </w:rPr>
            </w:pPr>
          </w:p>
        </w:tc>
        <w:tc>
          <w:tcPr>
            <w:tcW w:w="2188" w:type="dxa"/>
            <w:vMerge w:val="continue"/>
            <w:noWrap w:val="0"/>
            <w:vAlign w:val="top"/>
          </w:tcPr>
          <w:p>
            <w:pPr>
              <w:adjustRightInd w:val="0"/>
              <w:snapToGrid w:val="0"/>
              <w:spacing w:line="380" w:lineRule="exact"/>
              <w:rPr>
                <w:rFonts w:hint="eastAsia"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bCs/>
                <w:szCs w:val="24"/>
              </w:rPr>
            </w:pPr>
            <w:r>
              <w:rPr>
                <w:rFonts w:hint="eastAsia" w:ascii="仿宋_GB2312" w:hAnsi="仿宋_GB2312" w:cs="仿宋_GB2312"/>
                <w:bCs/>
                <w:szCs w:val="24"/>
              </w:rPr>
              <w:t>配备正压式呼吸器等应急装备和器材，且可以正常使用。</w:t>
            </w:r>
          </w:p>
        </w:tc>
        <w:tc>
          <w:tcPr>
            <w:tcW w:w="2730" w:type="dxa"/>
            <w:noWrap w:val="0"/>
            <w:vAlign w:val="center"/>
          </w:tcPr>
          <w:p>
            <w:pPr>
              <w:adjustRightInd w:val="0"/>
              <w:snapToGrid w:val="0"/>
              <w:spacing w:line="380" w:lineRule="exact"/>
              <w:rPr>
                <w:rFonts w:hint="eastAsia" w:ascii="仿宋_GB2312" w:hAnsi="仿宋_GB2312" w:cs="仿宋_GB2312"/>
                <w:spacing w:val="-6"/>
                <w:kern w:val="0"/>
                <w:sz w:val="24"/>
                <w:szCs w:val="24"/>
              </w:rPr>
            </w:pPr>
          </w:p>
        </w:tc>
        <w:tc>
          <w:tcPr>
            <w:tcW w:w="2188" w:type="dxa"/>
            <w:vMerge w:val="continue"/>
            <w:noWrap w:val="0"/>
            <w:vAlign w:val="top"/>
          </w:tcPr>
          <w:p>
            <w:pPr>
              <w:adjustRightInd w:val="0"/>
              <w:snapToGrid w:val="0"/>
              <w:spacing w:line="380" w:lineRule="exact"/>
              <w:rPr>
                <w:rFonts w:hint="eastAsia"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0" w:type="dxa"/>
            <w:vMerge w:val="continue"/>
            <w:noWrap w:val="0"/>
            <w:vAlign w:val="center"/>
          </w:tcPr>
          <w:p>
            <w:pPr>
              <w:spacing w:line="380" w:lineRule="exact"/>
              <w:jc w:val="center"/>
              <w:rPr>
                <w:rFonts w:hint="eastAsia" w:ascii="仿宋_GB2312" w:hAnsi="仿宋_GB2312" w:cs="仿宋_GB2312"/>
                <w:bCs/>
                <w:kern w:val="0"/>
                <w:sz w:val="24"/>
                <w:szCs w:val="24"/>
              </w:rPr>
            </w:pPr>
          </w:p>
        </w:tc>
        <w:tc>
          <w:tcPr>
            <w:tcW w:w="1900" w:type="dxa"/>
            <w:vMerge w:val="continue"/>
            <w:noWrap w:val="0"/>
            <w:vAlign w:val="center"/>
          </w:tcPr>
          <w:p>
            <w:pPr>
              <w:adjustRightInd w:val="0"/>
              <w:snapToGrid w:val="0"/>
              <w:spacing w:line="380" w:lineRule="exact"/>
              <w:rPr>
                <w:rFonts w:hint="eastAsia" w:ascii="仿宋_GB2312" w:hAnsi="仿宋_GB2312" w:cs="仿宋_GB2312"/>
                <w:kern w:val="0"/>
                <w:sz w:val="24"/>
                <w:szCs w:val="24"/>
              </w:rPr>
            </w:pPr>
          </w:p>
        </w:tc>
        <w:tc>
          <w:tcPr>
            <w:tcW w:w="6827" w:type="dxa"/>
            <w:noWrap w:val="0"/>
            <w:vAlign w:val="center"/>
          </w:tcPr>
          <w:p>
            <w:pPr>
              <w:pStyle w:val="9"/>
              <w:numPr>
                <w:ilvl w:val="0"/>
                <w:numId w:val="1"/>
              </w:numPr>
              <w:spacing w:before="0" w:beforeAutospacing="0" w:after="60" w:afterAutospacing="0" w:line="380" w:lineRule="exact"/>
              <w:ind w:left="0" w:firstLine="0"/>
              <w:jc w:val="both"/>
              <w:rPr>
                <w:rFonts w:hint="eastAsia" w:ascii="仿宋_GB2312" w:hAnsi="仿宋_GB2312" w:cs="仿宋_GB2312"/>
                <w:spacing w:val="-6"/>
                <w:szCs w:val="24"/>
              </w:rPr>
            </w:pPr>
            <w:r>
              <w:rPr>
                <w:rFonts w:hint="eastAsia" w:ascii="仿宋_GB2312" w:hAnsi="仿宋_GB2312" w:cs="仿宋_GB2312"/>
                <w:spacing w:val="-6"/>
                <w:szCs w:val="24"/>
              </w:rPr>
              <w:t>相关人员知晓应急装备器材位置和使用方法，具备应急处置和救援知识和技能。</w:t>
            </w:r>
          </w:p>
        </w:tc>
        <w:tc>
          <w:tcPr>
            <w:tcW w:w="2730" w:type="dxa"/>
            <w:noWrap w:val="0"/>
            <w:vAlign w:val="center"/>
          </w:tcPr>
          <w:p>
            <w:pPr>
              <w:pStyle w:val="9"/>
              <w:spacing w:before="0" w:beforeAutospacing="0" w:after="60" w:afterAutospacing="0" w:line="380" w:lineRule="exact"/>
              <w:jc w:val="both"/>
              <w:rPr>
                <w:rFonts w:hint="eastAsia" w:ascii="仿宋_GB2312" w:hAnsi="仿宋_GB2312" w:cs="仿宋_GB2312"/>
                <w:spacing w:val="-6"/>
                <w:szCs w:val="24"/>
              </w:rPr>
            </w:pPr>
          </w:p>
        </w:tc>
        <w:tc>
          <w:tcPr>
            <w:tcW w:w="2188" w:type="dxa"/>
            <w:vMerge w:val="continue"/>
            <w:noWrap w:val="0"/>
            <w:vAlign w:val="top"/>
          </w:tcPr>
          <w:p>
            <w:pPr>
              <w:pStyle w:val="9"/>
              <w:spacing w:line="380" w:lineRule="exact"/>
              <w:rPr>
                <w:rFonts w:hint="eastAsia" w:ascii="仿宋_GB2312" w:hAnsi="仿宋_GB2312" w:cs="仿宋_GB2312"/>
                <w:bCs/>
                <w:szCs w:val="24"/>
              </w:rPr>
            </w:pPr>
          </w:p>
        </w:tc>
      </w:tr>
    </w:tbl>
    <w:p>
      <w:bookmarkStart w:id="0" w:name="_GoBack"/>
      <w:bookmarkEnd w:id="0"/>
    </w:p>
    <w:sectPr>
      <w:footerReference r:id="rId3" w:type="default"/>
      <w:footnotePr>
        <w:numFmt w:val="decimalEnclosedCircleChinese"/>
      </w:footnotePr>
      <w:pgSz w:w="16838" w:h="11906" w:orient="landscape"/>
      <w:pgMar w:top="1417" w:right="1417" w:bottom="1417"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7460F"/>
    <w:multiLevelType w:val="multilevel"/>
    <w:tmpl w:val="73E746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NjBiNTg5NTNmYmNiMDZjMDhlNDMxMzI4MDg2MmQifQ=="/>
  </w:docVars>
  <w:rsids>
    <w:rsidRoot w:val="005B4077"/>
    <w:rsid w:val="0000193A"/>
    <w:rsid w:val="00004F33"/>
    <w:rsid w:val="00011E8B"/>
    <w:rsid w:val="00023364"/>
    <w:rsid w:val="00031418"/>
    <w:rsid w:val="000333DA"/>
    <w:rsid w:val="000405C8"/>
    <w:rsid w:val="00074DAA"/>
    <w:rsid w:val="000D65A1"/>
    <w:rsid w:val="000E4684"/>
    <w:rsid w:val="000E79F1"/>
    <w:rsid w:val="000F727D"/>
    <w:rsid w:val="001276B0"/>
    <w:rsid w:val="00130BE6"/>
    <w:rsid w:val="00135C90"/>
    <w:rsid w:val="0014577F"/>
    <w:rsid w:val="00150470"/>
    <w:rsid w:val="00150CFF"/>
    <w:rsid w:val="00165642"/>
    <w:rsid w:val="00192897"/>
    <w:rsid w:val="0019297E"/>
    <w:rsid w:val="00193418"/>
    <w:rsid w:val="001A2D72"/>
    <w:rsid w:val="001A53E0"/>
    <w:rsid w:val="00207286"/>
    <w:rsid w:val="00232680"/>
    <w:rsid w:val="00232CDA"/>
    <w:rsid w:val="00245390"/>
    <w:rsid w:val="00273277"/>
    <w:rsid w:val="002933DB"/>
    <w:rsid w:val="002B66AE"/>
    <w:rsid w:val="002B7A28"/>
    <w:rsid w:val="002C70CD"/>
    <w:rsid w:val="002D3A95"/>
    <w:rsid w:val="002E32E4"/>
    <w:rsid w:val="002F1B22"/>
    <w:rsid w:val="002F28C7"/>
    <w:rsid w:val="00380BDF"/>
    <w:rsid w:val="00382D36"/>
    <w:rsid w:val="003938E0"/>
    <w:rsid w:val="003938E2"/>
    <w:rsid w:val="003A305E"/>
    <w:rsid w:val="003C0D54"/>
    <w:rsid w:val="003C2610"/>
    <w:rsid w:val="003E1CBF"/>
    <w:rsid w:val="003E46B6"/>
    <w:rsid w:val="003F5ED9"/>
    <w:rsid w:val="0040000E"/>
    <w:rsid w:val="00437791"/>
    <w:rsid w:val="00496358"/>
    <w:rsid w:val="004B129E"/>
    <w:rsid w:val="004F093A"/>
    <w:rsid w:val="00502F8B"/>
    <w:rsid w:val="00536178"/>
    <w:rsid w:val="00556F18"/>
    <w:rsid w:val="00562671"/>
    <w:rsid w:val="0056501F"/>
    <w:rsid w:val="005872E6"/>
    <w:rsid w:val="005B4077"/>
    <w:rsid w:val="005B7295"/>
    <w:rsid w:val="005C0EA9"/>
    <w:rsid w:val="005C74A9"/>
    <w:rsid w:val="005D5CF8"/>
    <w:rsid w:val="005F2CF7"/>
    <w:rsid w:val="00617602"/>
    <w:rsid w:val="00632141"/>
    <w:rsid w:val="00633B55"/>
    <w:rsid w:val="00636168"/>
    <w:rsid w:val="00646F16"/>
    <w:rsid w:val="00660C97"/>
    <w:rsid w:val="006757BB"/>
    <w:rsid w:val="006947EF"/>
    <w:rsid w:val="006A435F"/>
    <w:rsid w:val="006F2A2B"/>
    <w:rsid w:val="00713FDE"/>
    <w:rsid w:val="007414A5"/>
    <w:rsid w:val="0076078B"/>
    <w:rsid w:val="0079015D"/>
    <w:rsid w:val="007B28F9"/>
    <w:rsid w:val="008368BC"/>
    <w:rsid w:val="00860012"/>
    <w:rsid w:val="008C419A"/>
    <w:rsid w:val="008C4A8D"/>
    <w:rsid w:val="008C5E6E"/>
    <w:rsid w:val="008D6C84"/>
    <w:rsid w:val="008F1946"/>
    <w:rsid w:val="008F24E4"/>
    <w:rsid w:val="008F37B8"/>
    <w:rsid w:val="00942191"/>
    <w:rsid w:val="009521D5"/>
    <w:rsid w:val="00956186"/>
    <w:rsid w:val="00972CD9"/>
    <w:rsid w:val="009D4F4F"/>
    <w:rsid w:val="00A36A78"/>
    <w:rsid w:val="00A748BD"/>
    <w:rsid w:val="00A76B9E"/>
    <w:rsid w:val="00A84F01"/>
    <w:rsid w:val="00AB2781"/>
    <w:rsid w:val="00AE2A11"/>
    <w:rsid w:val="00AF6F4D"/>
    <w:rsid w:val="00BB6CF7"/>
    <w:rsid w:val="00BC609A"/>
    <w:rsid w:val="00C46CC1"/>
    <w:rsid w:val="00C60CCE"/>
    <w:rsid w:val="00C63081"/>
    <w:rsid w:val="00C9598F"/>
    <w:rsid w:val="00CE29D2"/>
    <w:rsid w:val="00D052C6"/>
    <w:rsid w:val="00D35238"/>
    <w:rsid w:val="00D35744"/>
    <w:rsid w:val="00D63292"/>
    <w:rsid w:val="00D66D14"/>
    <w:rsid w:val="00D76EC5"/>
    <w:rsid w:val="00DC19F2"/>
    <w:rsid w:val="00DC20B5"/>
    <w:rsid w:val="00DD7877"/>
    <w:rsid w:val="00E037D9"/>
    <w:rsid w:val="00E1114C"/>
    <w:rsid w:val="00E3332B"/>
    <w:rsid w:val="00E54084"/>
    <w:rsid w:val="00E75BA8"/>
    <w:rsid w:val="00E76FF8"/>
    <w:rsid w:val="00EA46F0"/>
    <w:rsid w:val="00ED748A"/>
    <w:rsid w:val="00EE021A"/>
    <w:rsid w:val="00EE2594"/>
    <w:rsid w:val="00F077F6"/>
    <w:rsid w:val="00F40400"/>
    <w:rsid w:val="00F44DA4"/>
    <w:rsid w:val="00F7312E"/>
    <w:rsid w:val="00FC7E54"/>
    <w:rsid w:val="03A129EB"/>
    <w:rsid w:val="04780F59"/>
    <w:rsid w:val="0B875FB5"/>
    <w:rsid w:val="0C180AA3"/>
    <w:rsid w:val="112A0A48"/>
    <w:rsid w:val="14107EB2"/>
    <w:rsid w:val="15E40D63"/>
    <w:rsid w:val="1ACA5593"/>
    <w:rsid w:val="1E680BED"/>
    <w:rsid w:val="1EA32334"/>
    <w:rsid w:val="2562692A"/>
    <w:rsid w:val="28687E65"/>
    <w:rsid w:val="2A570191"/>
    <w:rsid w:val="2A9F38E6"/>
    <w:rsid w:val="2B2D19AB"/>
    <w:rsid w:val="2E465F3A"/>
    <w:rsid w:val="2F3C17BB"/>
    <w:rsid w:val="301A3325"/>
    <w:rsid w:val="334F40FB"/>
    <w:rsid w:val="34140EA1"/>
    <w:rsid w:val="35AC300C"/>
    <w:rsid w:val="38966328"/>
    <w:rsid w:val="3AEA6895"/>
    <w:rsid w:val="3D363C36"/>
    <w:rsid w:val="3E393F31"/>
    <w:rsid w:val="3ED53AF6"/>
    <w:rsid w:val="4485290C"/>
    <w:rsid w:val="4596742A"/>
    <w:rsid w:val="46DE4560"/>
    <w:rsid w:val="482814D3"/>
    <w:rsid w:val="48380EBC"/>
    <w:rsid w:val="49FD02CF"/>
    <w:rsid w:val="4C8653CA"/>
    <w:rsid w:val="514E559A"/>
    <w:rsid w:val="53AB6CD4"/>
    <w:rsid w:val="57093794"/>
    <w:rsid w:val="57576C82"/>
    <w:rsid w:val="57C26E49"/>
    <w:rsid w:val="5AB11747"/>
    <w:rsid w:val="5BA0659D"/>
    <w:rsid w:val="5D4C3362"/>
    <w:rsid w:val="5E5C457F"/>
    <w:rsid w:val="5EBD2EAA"/>
    <w:rsid w:val="5F135EAE"/>
    <w:rsid w:val="62F36904"/>
    <w:rsid w:val="630261E5"/>
    <w:rsid w:val="645C2AA4"/>
    <w:rsid w:val="672D0F5C"/>
    <w:rsid w:val="686B482C"/>
    <w:rsid w:val="6B75400C"/>
    <w:rsid w:val="6BAF343A"/>
    <w:rsid w:val="6CDE3856"/>
    <w:rsid w:val="6FCC795E"/>
    <w:rsid w:val="70FA6722"/>
    <w:rsid w:val="74333B60"/>
    <w:rsid w:val="747C501B"/>
    <w:rsid w:val="770C5712"/>
    <w:rsid w:val="77774600"/>
    <w:rsid w:val="795F5CE7"/>
    <w:rsid w:val="7D33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ody Text Indent"/>
    <w:basedOn w:val="1"/>
    <w:link w:val="25"/>
    <w:qFormat/>
    <w:uiPriority w:val="0"/>
    <w:pPr>
      <w:spacing w:after="120"/>
      <w:ind w:left="420" w:leftChars="200"/>
    </w:pPr>
  </w:style>
  <w:style w:type="paragraph" w:styleId="4">
    <w:name w:val="endnote text"/>
    <w:basedOn w:val="1"/>
    <w:link w:val="19"/>
    <w:qFormat/>
    <w:uiPriority w:val="0"/>
    <w:pPr>
      <w:snapToGrid w:val="0"/>
      <w:jc w:val="left"/>
    </w:pPr>
  </w:style>
  <w:style w:type="paragraph" w:styleId="5">
    <w:name w:val="Balloon Text"/>
    <w:basedOn w:val="1"/>
    <w:next w:val="1"/>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qFormat/>
    <w:uiPriority w:val="0"/>
    <w:pPr>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qFormat/>
    <w:uiPriority w:val="0"/>
    <w:pPr>
      <w:ind w:firstLine="420" w:firstLineChars="200"/>
    </w:pPr>
    <w:rPr>
      <w:rFonts w:ascii="Calibri" w:hAnsi="Calibri"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ndnote reference"/>
    <w:basedOn w:val="13"/>
    <w:qFormat/>
    <w:uiPriority w:val="0"/>
    <w:rPr>
      <w:vertAlign w:val="superscript"/>
    </w:rPr>
  </w:style>
  <w:style w:type="character" w:styleId="15">
    <w:name w:val="Hyperlink"/>
    <w:basedOn w:val="13"/>
    <w:qFormat/>
    <w:uiPriority w:val="0"/>
    <w:rPr>
      <w:color w:val="0000FF"/>
      <w:u w:val="single"/>
    </w:rPr>
  </w:style>
  <w:style w:type="character" w:styleId="16">
    <w:name w:val="footnote reference"/>
    <w:basedOn w:val="13"/>
    <w:qFormat/>
    <w:uiPriority w:val="0"/>
    <w:rPr>
      <w:vertAlign w:val="superscript"/>
    </w:rPr>
  </w:style>
  <w:style w:type="character" w:customStyle="1" w:styleId="17">
    <w:name w:val="页眉 Char"/>
    <w:basedOn w:val="13"/>
    <w:link w:val="7"/>
    <w:qFormat/>
    <w:uiPriority w:val="0"/>
    <w:rPr>
      <w:kern w:val="2"/>
      <w:sz w:val="18"/>
      <w:szCs w:val="18"/>
    </w:rPr>
  </w:style>
  <w:style w:type="character" w:customStyle="1" w:styleId="18">
    <w:name w:val="页脚 Char"/>
    <w:basedOn w:val="13"/>
    <w:link w:val="6"/>
    <w:qFormat/>
    <w:uiPriority w:val="99"/>
    <w:rPr>
      <w:kern w:val="2"/>
      <w:sz w:val="18"/>
      <w:szCs w:val="18"/>
    </w:rPr>
  </w:style>
  <w:style w:type="character" w:customStyle="1" w:styleId="19">
    <w:name w:val="尾注文本 Char"/>
    <w:basedOn w:val="13"/>
    <w:link w:val="4"/>
    <w:qFormat/>
    <w:uiPriority w:val="0"/>
    <w:rPr>
      <w:kern w:val="2"/>
      <w:sz w:val="21"/>
      <w:szCs w:val="24"/>
    </w:rPr>
  </w:style>
  <w:style w:type="character" w:customStyle="1" w:styleId="20">
    <w:name w:val="脚注文本 Char"/>
    <w:basedOn w:val="13"/>
    <w:link w:val="8"/>
    <w:qFormat/>
    <w:uiPriority w:val="0"/>
    <w:rPr>
      <w:kern w:val="2"/>
      <w:sz w:val="18"/>
      <w:szCs w:val="18"/>
    </w:rPr>
  </w:style>
  <w:style w:type="paragraph" w:styleId="21">
    <w:name w:val="List Paragraph"/>
    <w:basedOn w:val="1"/>
    <w:qFormat/>
    <w:uiPriority w:val="99"/>
    <w:pPr>
      <w:ind w:firstLine="420" w:firstLineChars="200"/>
    </w:pPr>
  </w:style>
  <w:style w:type="paragraph" w:customStyle="1" w:styleId="22">
    <w:name w:val="正文首行缩进 21"/>
    <w:basedOn w:val="3"/>
    <w:next w:val="1"/>
    <w:qFormat/>
    <w:uiPriority w:val="0"/>
    <w:pPr>
      <w:spacing w:after="0"/>
      <w:ind w:left="0" w:leftChars="0" w:firstLine="420" w:firstLineChars="200"/>
    </w:pPr>
    <w:rPr>
      <w:snapToGrid w:val="0"/>
      <w:kern w:val="0"/>
      <w:sz w:val="32"/>
    </w:rPr>
  </w:style>
  <w:style w:type="paragraph" w:customStyle="1" w:styleId="23">
    <w:name w:val="页脚1"/>
    <w:basedOn w:val="1"/>
    <w:qFormat/>
    <w:uiPriority w:val="0"/>
    <w:pPr>
      <w:tabs>
        <w:tab w:val="center" w:pos="4153"/>
        <w:tab w:val="right" w:pos="8306"/>
      </w:tabs>
      <w:snapToGrid w:val="0"/>
      <w:jc w:val="left"/>
    </w:pPr>
    <w:rPr>
      <w:sz w:val="18"/>
      <w:szCs w:val="18"/>
    </w:rPr>
  </w:style>
  <w:style w:type="character" w:customStyle="1" w:styleId="24">
    <w:name w:val="NormalCharacter"/>
    <w:qFormat/>
    <w:uiPriority w:val="0"/>
    <w:rPr>
      <w:rFonts w:ascii="Calibri" w:hAnsi="Calibri" w:eastAsia="宋体" w:cs="Times New Roman"/>
    </w:rPr>
  </w:style>
  <w:style w:type="character" w:customStyle="1" w:styleId="25">
    <w:name w:val="正文文本缩进 Char"/>
    <w:basedOn w:val="13"/>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9050-111B-4134-A643-C469253706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5235</Words>
  <Characters>5296</Characters>
  <Lines>39</Lines>
  <Paragraphs>10</Paragraphs>
  <TotalTime>24</TotalTime>
  <ScaleCrop>false</ScaleCrop>
  <LinksUpToDate>false</LinksUpToDate>
  <CharactersWithSpaces>5567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2022-05-25T03:42:00Z</dcterms:created>
  <dc:creator>XO</dc:creator>
  <cp:lastModifiedBy>Administrator</cp:lastModifiedBy>
  <cp:lastPrinted>2022-06-08T03:26:00Z</cp:lastPrinted>
  <dcterms:modified xsi:type="dcterms:W3CDTF">2022-06-15T00:35:04Z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E7C44843FB114BF797D7C29FC7EEC926</vt:lpwstr>
  </property>
</Properties>
</file>